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大广坝灌区水利工程运行管护服务（2025.10-2026.9）</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[HNZZ]20250900002[GK]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海南省水利灌区管理局大广坝灌区管理分局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海南中政项目管理有限公司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海南省水利灌区管理局大广坝灌区管理分局</w:t>
      </w:r>
      <w:r>
        <w:rPr>
          <w:rFonts w:ascii="仿宋_GB2312" w:hAnsi="仿宋_GB2312" w:cs="仿宋_GB2312" w:eastAsia="仿宋_GB2312"/>
        </w:rPr>
        <w:t xml:space="preserve"> 委托， </w:t>
      </w:r>
      <w:r>
        <w:rPr>
          <w:rFonts w:ascii="仿宋_GB2312" w:hAnsi="仿宋_GB2312" w:cs="仿宋_GB2312" w:eastAsia="仿宋_GB2312"/>
        </w:rPr>
        <w:t>海南中政项目管理有限公司</w:t>
      </w:r>
      <w:r>
        <w:rPr>
          <w:rFonts w:ascii="仿宋_GB2312" w:hAnsi="仿宋_GB2312" w:cs="仿宋_GB2312" w:eastAsia="仿宋_GB2312"/>
        </w:rPr>
        <w:t xml:space="preserve"> 对 </w:t>
      </w:r>
      <w:r>
        <w:rPr>
          <w:rFonts w:ascii="仿宋_GB2312" w:hAnsi="仿宋_GB2312" w:cs="仿宋_GB2312" w:eastAsia="仿宋_GB2312"/>
        </w:rPr>
        <w:t>大广坝灌区水利工程运行管护服务（2025.10-2026.9）</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[HNZZ]20250900002[GK]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大广坝灌区水利工程运行管护服务（2025.10-2026.9）</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7,190,800.00元</w:t>
      </w:r>
      <w:r>
        <w:rPr>
          <w:rFonts w:ascii="仿宋_GB2312" w:hAnsi="仿宋_GB2312" w:cs="仿宋_GB2312" w:eastAsia="仿宋_GB2312"/>
        </w:rPr>
        <w:t>柒佰壹拾玖万零捌佰元整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2025年10月1日起至2026年9月30日止</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 2、有关本项目采购文件的补遗,澄清及变更信息以上述网站公告与下载为准，采购代理机构不再另行通知，采购文件与更正公告的内容相互矛盾时，以最后发出的更正公告内容为准。 3、本项目采用远程不见面方式开标，投标人无需到达开标现场，远程参加开标解密即可。如需云平台相关咨询，请拨打以下热线电话:热线一：4001691288 。 4、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海南省水利灌区管理局大广坝灌区管理分局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海南省东方市八所镇高坡岭水库西侧大广坝灌区调水中心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0898-25730876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海南中政项目管理有限公司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海南省海口市美兰区美苑路16号春江壹号第9层A901房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13807573671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采购包1：7,190,800.00元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乙方完成本合同项下所有服务工作所需的全部费用，不再额外收取其他费用，最终招标代理服务费以上级部门批复(审查意见)的金额乘以(1-下浮率25%)进行计算，且包含但不限于可能发生的差旅费、会议等。</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1、供应商逾期上传的或未按指定方式上传的投标文件，供应商将无法参加后续采购活动。 2、投标人在递交投标文件截止时间前可修改或撤回其上传的投标文件。修改后的投标文件应重新加密后提交，提交时间以采购文件规定的投标截止时间一致。 3、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如无法确定的，由评标委员会确定。 4、中标单位（成交供应商）在确认中标后须提交3份纸质版响应文件（1正2副，内容与响应文件须完全一致）。 5、※若出现本章第6.2条第6.2.3、6.2.4、6.2.5款规定情形之一，投标人在开标结束前未向采购人或代理机构提出疑义、要求，或对开标记录未签字确认的，视为认可开标结果；如在开标会后就开标过程和开标记录涉及或可能涉及的有关事由（包括但不限于：“投标报价”、“电子投标文件的格式”、“电子投标文件的提交”、“电子投标文件的补充、修改或撤回”等）提出疑义、要求或提出质疑的，将不予支持。</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联系人：冯工</w:t>
      </w:r>
    </w:p>
    <w:p>
      <w:pPr>
        <w:pStyle w:val="null3"/>
        <w:jc w:val="left"/>
      </w:pPr>
      <w:r>
        <w:rPr>
          <w:rFonts w:ascii="仿宋_GB2312" w:hAnsi="仿宋_GB2312" w:cs="仿宋_GB2312" w:eastAsia="仿宋_GB2312"/>
        </w:rPr>
        <w:t>联系电话：13807573671</w:t>
      </w:r>
    </w:p>
    <w:p>
      <w:pPr>
        <w:pStyle w:val="null3"/>
        <w:jc w:val="left"/>
      </w:pPr>
      <w:r>
        <w:rPr>
          <w:rFonts w:ascii="仿宋_GB2312" w:hAnsi="仿宋_GB2312" w:cs="仿宋_GB2312" w:eastAsia="仿宋_GB2312"/>
        </w:rPr>
        <w:t>地址：海南省海口市美兰区美苑路16号春江壹号第9层A901房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 xml:space="preserve"> 项目名称：大广坝灌区水利工程运行管护服务（</w:t>
      </w:r>
      <w:r>
        <w:rPr>
          <w:rFonts w:ascii="仿宋_GB2312" w:hAnsi="仿宋_GB2312" w:cs="仿宋_GB2312" w:eastAsia="仿宋_GB2312"/>
          <w:sz w:val="24"/>
        </w:rPr>
        <w:t>2025.10-2026.9）采购。</w:t>
      </w:r>
    </w:p>
    <w:p>
      <w:pPr>
        <w:pStyle w:val="null3"/>
        <w:ind w:firstLine="559"/>
        <w:jc w:val="both"/>
      </w:pPr>
      <w:r>
        <w:rPr>
          <w:rFonts w:ascii="仿宋_GB2312" w:hAnsi="仿宋_GB2312" w:cs="仿宋_GB2312" w:eastAsia="仿宋_GB2312"/>
          <w:sz w:val="24"/>
        </w:rPr>
        <w:t>项目实施地点：大广坝灌区（二甲水库，高干渠、中干渠、低干渠、昌江干渠及陀兴干渠等灌溉系统）。</w:t>
      </w:r>
    </w:p>
    <w:p>
      <w:pPr>
        <w:pStyle w:val="null3"/>
        <w:ind w:firstLine="559"/>
        <w:jc w:val="both"/>
      </w:pPr>
      <w:r>
        <w:rPr>
          <w:rFonts w:ascii="仿宋_GB2312" w:hAnsi="仿宋_GB2312" w:cs="仿宋_GB2312" w:eastAsia="仿宋_GB2312"/>
          <w:sz w:val="24"/>
        </w:rPr>
        <w:t>服务期限：</w:t>
      </w:r>
      <w:r>
        <w:rPr>
          <w:rFonts w:ascii="仿宋_GB2312" w:hAnsi="仿宋_GB2312" w:cs="仿宋_GB2312" w:eastAsia="仿宋_GB2312"/>
          <w:sz w:val="24"/>
        </w:rPr>
        <w:t>2025年10月1日起至2026年9月30日止。</w:t>
      </w:r>
    </w:p>
    <w:p>
      <w:pPr>
        <w:pStyle w:val="null3"/>
        <w:ind w:firstLine="559"/>
        <w:jc w:val="both"/>
      </w:pPr>
      <w:r>
        <w:rPr>
          <w:rFonts w:ascii="仿宋_GB2312" w:hAnsi="仿宋_GB2312" w:cs="仿宋_GB2312" w:eastAsia="仿宋_GB2312"/>
          <w:sz w:val="24"/>
        </w:rPr>
        <w:t>质量要求：符合国家及行业现行规范合格标准。</w:t>
      </w:r>
    </w:p>
    <w:p>
      <w:pPr>
        <w:pStyle w:val="null3"/>
        <w:ind w:firstLine="559"/>
        <w:jc w:val="left"/>
      </w:pPr>
      <w:r>
        <w:rPr>
          <w:rFonts w:ascii="仿宋_GB2312" w:hAnsi="仿宋_GB2312" w:cs="仿宋_GB2312" w:eastAsia="仿宋_GB2312"/>
          <w:sz w:val="24"/>
        </w:rPr>
        <w:t>项目规模：大广坝灌区设计灌溉面积</w:t>
      </w:r>
      <w:r>
        <w:rPr>
          <w:rFonts w:ascii="仿宋_GB2312" w:hAnsi="仿宋_GB2312" w:cs="仿宋_GB2312" w:eastAsia="仿宋_GB2312"/>
          <w:sz w:val="24"/>
        </w:rPr>
        <w:t>101.08万亩，其中东方市75.52万亩，昌江县16.5万亩，乐东县9.06万亩，设计保证率90%，全灌区多年平均设计总毛需水量为13.03亿m3，取水许可审批总毛需水量12.12亿m3，有效灌溉面积77.17万亩，其中东方市60.95万亩，昌江县13.03万亩，乐东县3.19万亩。大广坝灌区管理分局管理的干渠、分干渠渠道，共有326.56km。全灌区共划分为高干渠、中干渠、低干渠、昌江干渠和陀兴干渠5个灌溉系统。</w:t>
      </w:r>
    </w:p>
    <w:p>
      <w:pPr>
        <w:pStyle w:val="null3"/>
        <w:jc w:val="both"/>
      </w:pPr>
      <w:r>
        <w:rPr>
          <w:rFonts w:ascii="仿宋_GB2312" w:hAnsi="仿宋_GB2312" w:cs="仿宋_GB2312" w:eastAsia="仿宋_GB2312"/>
          <w:sz w:val="24"/>
        </w:rPr>
        <w:t>日常管护范围为：海南省大广坝灌区管理分局管理的二甲水库、大广坝灌区</w:t>
      </w:r>
      <w:r>
        <w:rPr>
          <w:rFonts w:ascii="仿宋_GB2312" w:hAnsi="仿宋_GB2312" w:cs="仿宋_GB2312" w:eastAsia="仿宋_GB2312"/>
          <w:sz w:val="24"/>
        </w:rPr>
        <w:t>326.564km渠道及其建筑物。全灌区共划分为高干渠、中干渠、低干渠、昌江干渠和陀兴干渠5个灌溉系统。大广坝灌区日常运行管护内容可按类别分别为渠道工程（渠道计算长度除隧洞、渡槽、倒虹吸的长度）、隧洞（含暗涵）工程、水闸工程（含泄水闸、节制闸、斗闸）、倒虹吸工程、渠下涵工程、桥梁工程（含人行桥、机耕桥、公路桥）等工程。</w:t>
      </w:r>
    </w:p>
    <w:p>
      <w:pPr>
        <w:pStyle w:val="null3"/>
        <w:ind w:firstLine="480"/>
        <w:jc w:val="left"/>
      </w:pPr>
      <w:r>
        <w:rPr>
          <w:rFonts w:ascii="仿宋_GB2312" w:hAnsi="仿宋_GB2312" w:cs="仿宋_GB2312" w:eastAsia="仿宋_GB2312"/>
          <w:sz w:val="24"/>
        </w:rPr>
        <w:t>大广坝灌区主要渠系建筑物数量统计如下表：</w:t>
      </w:r>
    </w:p>
    <w:tbl>
      <w:tblPr>
        <w:tblW w:w="0" w:type="auto"/>
        <w:tblBorders>
          <w:top w:val="none" w:color="000000" w:sz="4"/>
          <w:left w:val="none" w:color="000000" w:sz="4"/>
          <w:bottom w:val="none" w:color="000000" w:sz="4"/>
          <w:right w:val="none" w:color="000000" w:sz="4"/>
          <w:insideH w:val="none"/>
          <w:insideV w:val="none"/>
        </w:tblBorders>
      </w:tblPr>
      <w:tblGrid>
        <w:gridCol w:w="590"/>
        <w:gridCol w:w="360"/>
        <w:gridCol w:w="720"/>
        <w:gridCol w:w="763"/>
        <w:gridCol w:w="360"/>
        <w:gridCol w:w="360"/>
        <w:gridCol w:w="662"/>
        <w:gridCol w:w="360"/>
        <w:gridCol w:w="360"/>
        <w:gridCol w:w="662"/>
        <w:gridCol w:w="677"/>
        <w:gridCol w:w="446"/>
        <w:gridCol w:w="518"/>
        <w:gridCol w:w="360"/>
        <w:gridCol w:w="662"/>
        <w:gridCol w:w="446"/>
      </w:tblGrid>
      <w:tr>
        <w:tc>
          <w:tcPr>
            <w:tcW w:type="dxa" w:w="8306"/>
            <w:gridSpan w:val="1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4"/>
              </w:rPr>
              <w:t>大广坝灌区主要渠系建筑物统计表（截止到</w:t>
            </w:r>
            <w:r>
              <w:rPr>
                <w:rFonts w:ascii="仿宋_GB2312" w:hAnsi="仿宋_GB2312" w:cs="仿宋_GB2312" w:eastAsia="仿宋_GB2312"/>
                <w:sz w:val="24"/>
              </w:rPr>
              <w:t>2025年1月1日）</w:t>
            </w:r>
          </w:p>
        </w:tc>
      </w:tr>
      <w:tr>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渠系</w:t>
            </w:r>
          </w:p>
        </w:tc>
        <w:tc>
          <w:tcPr>
            <w:tcW w:type="dxa" w:w="184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渠道</w:t>
            </w:r>
          </w:p>
        </w:tc>
        <w:tc>
          <w:tcPr>
            <w:tcW w:type="dxa" w:w="138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渡槽</w:t>
            </w:r>
          </w:p>
        </w:tc>
        <w:tc>
          <w:tcPr>
            <w:tcW w:type="dxa" w:w="138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隧洞（含暗涵）</w:t>
            </w:r>
          </w:p>
        </w:tc>
        <w:tc>
          <w:tcPr>
            <w:tcW w:type="dxa" w:w="112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水闸（含节制闸、泄水闸、斗闸）</w:t>
            </w:r>
          </w:p>
        </w:tc>
        <w:tc>
          <w:tcPr>
            <w:tcW w:type="dxa" w:w="51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桥梁数量（含人行桥、机耕桥、公路桥）</w:t>
            </w:r>
          </w:p>
        </w:tc>
        <w:tc>
          <w:tcPr>
            <w:tcW w:type="dxa" w:w="102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倒虹吸</w:t>
            </w:r>
          </w:p>
        </w:tc>
        <w:tc>
          <w:tcPr>
            <w:tcW w:type="dxa" w:w="44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渠下涵</w:t>
            </w:r>
          </w:p>
        </w:tc>
      </w:tr>
      <w:tr>
        <w:tc>
          <w:tcPr>
            <w:tcW w:type="dxa" w:w="59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等级</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全长（</w:t>
            </w:r>
            <w:r>
              <w:rPr>
                <w:rFonts w:ascii="仿宋_GB2312" w:hAnsi="仿宋_GB2312" w:cs="仿宋_GB2312" w:eastAsia="仿宋_GB2312"/>
                <w:sz w:val="18"/>
              </w:rPr>
              <w:t>Km)</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渠道长度（</w:t>
            </w:r>
            <w:r>
              <w:rPr>
                <w:rFonts w:ascii="仿宋_GB2312" w:hAnsi="仿宋_GB2312" w:cs="仿宋_GB2312" w:eastAsia="仿宋_GB2312"/>
                <w:sz w:val="18"/>
              </w:rPr>
              <w:t>Km，除隧洞、渡槽、倒虹吸）</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等级</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数量</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总长（</w:t>
            </w:r>
            <w:r>
              <w:rPr>
                <w:rFonts w:ascii="仿宋_GB2312" w:hAnsi="仿宋_GB2312" w:cs="仿宋_GB2312" w:eastAsia="仿宋_GB2312"/>
                <w:sz w:val="18"/>
              </w:rPr>
              <w:t>Km)</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等级</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数量</w:t>
            </w:r>
          </w:p>
        </w:tc>
        <w:tc>
          <w:tcPr>
            <w:tcW w:type="dxa" w:w="6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总长（</w:t>
            </w:r>
            <w:r>
              <w:rPr>
                <w:rFonts w:ascii="仿宋_GB2312" w:hAnsi="仿宋_GB2312" w:cs="仿宋_GB2312" w:eastAsia="仿宋_GB2312"/>
                <w:sz w:val="18"/>
              </w:rPr>
              <w:t>Km)</w:t>
            </w:r>
          </w:p>
        </w:tc>
        <w:tc>
          <w:tcPr>
            <w:tcW w:type="dxa" w:w="6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等级</w:t>
            </w:r>
          </w:p>
        </w:tc>
        <w:tc>
          <w:tcPr>
            <w:tcW w:type="dxa" w:w="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数量</w:t>
            </w:r>
          </w:p>
        </w:tc>
        <w:tc>
          <w:tcPr>
            <w:tcW w:type="dxa" w:w="518"/>
            <w:vMerge/>
            <w:tcBorders>
              <w:top w:val="single" w:color="000000" w:sz="4"/>
              <w:left w:val="none" w:color="000000" w:sz="4"/>
              <w:bottom w:val="single" w:color="000000" w:sz="4"/>
              <w:right w:val="single" w:color="000000" w:sz="4"/>
            </w:tcBorders>
          </w:tcP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数量</w:t>
            </w:r>
          </w:p>
        </w:tc>
        <w:tc>
          <w:tcPr>
            <w:tcW w:type="dxa" w:w="6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长度（</w:t>
            </w:r>
            <w:r>
              <w:rPr>
                <w:rFonts w:ascii="仿宋_GB2312" w:hAnsi="仿宋_GB2312" w:cs="仿宋_GB2312" w:eastAsia="仿宋_GB2312"/>
                <w:sz w:val="18"/>
              </w:rPr>
              <w:t>Km)</w:t>
            </w:r>
          </w:p>
        </w:tc>
        <w:tc>
          <w:tcPr>
            <w:tcW w:type="dxa" w:w="446"/>
            <w:vMerge/>
            <w:tcBorders>
              <w:top w:val="single" w:color="000000" w:sz="4"/>
              <w:left w:val="none" w:color="000000" w:sz="4"/>
              <w:bottom w:val="single" w:color="000000" w:sz="4"/>
              <w:right w:val="single" w:color="000000" w:sz="4"/>
            </w:tcBorders>
          </w:tcP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高干总干</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4级</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14.8</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8.552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1.304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4.944</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小（二）</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9</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7</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高干三角路分干</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5级</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10.32</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9.606</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0.714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小（二）</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21</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高干红泉分干</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5级</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24.85</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23.192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1.275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0.383</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小（二）</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0.05</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31</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高干大田分干</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5级</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27.5</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24.821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9</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1.435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1.244</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小（二）</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27</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46</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70</w:t>
            </w:r>
          </w:p>
        </w:tc>
      </w:tr>
      <w:tr>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中干渠</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3级</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46.12</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29.137</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3.905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13.078</w:t>
            </w:r>
          </w:p>
        </w:tc>
        <w:tc>
          <w:tcPr>
            <w:tcW w:type="dxa" w:w="6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小（一）</w:t>
            </w:r>
          </w:p>
        </w:tc>
        <w:tc>
          <w:tcPr>
            <w:tcW w:type="dxa" w:w="4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9</w:t>
            </w:r>
          </w:p>
        </w:tc>
        <w:tc>
          <w:tcPr>
            <w:tcW w:type="dxa" w:w="5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88</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0.029</w:t>
            </w:r>
          </w:p>
        </w:tc>
        <w:tc>
          <w:tcPr>
            <w:tcW w:type="dxa" w:w="4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71</w:t>
            </w:r>
          </w:p>
        </w:tc>
      </w:tr>
      <w:tr>
        <w:tc>
          <w:tcPr>
            <w:tcW w:type="dxa" w:w="59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4级</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24.717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23.895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0.822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77"/>
            <w:vMerge/>
            <w:tcBorders>
              <w:top w:val="none" w:color="000000" w:sz="4"/>
              <w:left w:val="none" w:color="000000" w:sz="4"/>
              <w:bottom w:val="single" w:color="000000" w:sz="4"/>
              <w:right w:val="single" w:color="000000" w:sz="4"/>
            </w:tcBorders>
          </w:tcPr>
          <w:p/>
        </w:tc>
        <w:tc>
          <w:tcPr>
            <w:tcW w:type="dxa" w:w="446"/>
            <w:vMerge/>
            <w:tcBorders>
              <w:top w:val="none" w:color="000000" w:sz="4"/>
              <w:left w:val="none" w:color="000000" w:sz="4"/>
              <w:bottom w:val="single" w:color="000000" w:sz="4"/>
              <w:right w:val="single" w:color="000000" w:sz="4"/>
            </w:tcBorders>
          </w:tcPr>
          <w:p/>
        </w:tc>
        <w:tc>
          <w:tcPr>
            <w:tcW w:type="dxa" w:w="518"/>
            <w:vMerge/>
            <w:tcBorders>
              <w:top w:val="none" w:color="000000" w:sz="4"/>
              <w:left w:val="non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446"/>
            <w:vMerge/>
            <w:tcBorders>
              <w:top w:val="none" w:color="000000" w:sz="4"/>
              <w:left w:val="none" w:color="000000" w:sz="4"/>
              <w:bottom w:val="single" w:color="000000" w:sz="4"/>
              <w:right w:val="single" w:color="000000" w:sz="4"/>
            </w:tcBorders>
          </w:tcPr>
          <w:p/>
        </w:tc>
      </w:tr>
      <w:tr>
        <w:tc>
          <w:tcPr>
            <w:tcW w:type="dxa" w:w="59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5级</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0.273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0.273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小（二）</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26</w:t>
            </w:r>
          </w:p>
        </w:tc>
        <w:tc>
          <w:tcPr>
            <w:tcW w:type="dxa" w:w="518"/>
            <w:vMerge/>
            <w:tcBorders>
              <w:top w:val="none" w:color="000000" w:sz="4"/>
              <w:left w:val="non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446"/>
            <w:vMerge/>
            <w:tcBorders>
              <w:top w:val="none" w:color="000000" w:sz="4"/>
              <w:left w:val="none" w:color="000000" w:sz="4"/>
              <w:bottom w:val="single" w:color="000000" w:sz="4"/>
              <w:right w:val="single" w:color="000000" w:sz="4"/>
            </w:tcBorders>
          </w:tcP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低干干渠</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4级</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44.324</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43.754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0.570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小（二）</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52</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9</w:t>
            </w:r>
          </w:p>
        </w:tc>
      </w:tr>
      <w:tr>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低干北分干</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4级</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4.556</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4.556</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小（二）</w:t>
            </w:r>
          </w:p>
        </w:tc>
        <w:tc>
          <w:tcPr>
            <w:tcW w:type="dxa" w:w="4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8</w:t>
            </w:r>
          </w:p>
        </w:tc>
        <w:tc>
          <w:tcPr>
            <w:tcW w:type="dxa" w:w="5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4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r>
      <w:tr>
        <w:tc>
          <w:tcPr>
            <w:tcW w:type="dxa" w:w="59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5级</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5.644</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5.644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77"/>
            <w:vMerge/>
            <w:tcBorders>
              <w:top w:val="none" w:color="000000" w:sz="4"/>
              <w:left w:val="none" w:color="000000" w:sz="4"/>
              <w:bottom w:val="single" w:color="000000" w:sz="4"/>
              <w:right w:val="single" w:color="000000" w:sz="4"/>
            </w:tcBorders>
          </w:tcPr>
          <w:p/>
        </w:tc>
        <w:tc>
          <w:tcPr>
            <w:tcW w:type="dxa" w:w="446"/>
            <w:vMerge/>
            <w:tcBorders>
              <w:top w:val="none" w:color="000000" w:sz="4"/>
              <w:left w:val="none" w:color="000000" w:sz="4"/>
              <w:bottom w:val="single" w:color="000000" w:sz="4"/>
              <w:right w:val="single" w:color="000000" w:sz="4"/>
            </w:tcBorders>
          </w:tcPr>
          <w:p/>
        </w:tc>
        <w:tc>
          <w:tcPr>
            <w:tcW w:type="dxa" w:w="518"/>
            <w:vMerge/>
            <w:tcBorders>
              <w:top w:val="none" w:color="000000" w:sz="4"/>
              <w:left w:val="non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446"/>
            <w:vMerge/>
            <w:tcBorders>
              <w:top w:val="none" w:color="000000" w:sz="4"/>
              <w:left w:val="none" w:color="000000" w:sz="4"/>
              <w:bottom w:val="single" w:color="000000" w:sz="4"/>
              <w:right w:val="single" w:color="000000" w:sz="4"/>
            </w:tcBorders>
          </w:tcPr>
          <w:p/>
        </w:tc>
      </w:tr>
      <w:tr>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低干南分干</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4级</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9.732</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9.732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小（二）</w:t>
            </w:r>
          </w:p>
        </w:tc>
        <w:tc>
          <w:tcPr>
            <w:tcW w:type="dxa" w:w="4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20</w:t>
            </w:r>
          </w:p>
        </w:tc>
        <w:tc>
          <w:tcPr>
            <w:tcW w:type="dxa" w:w="5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4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w:t>
            </w:r>
          </w:p>
        </w:tc>
      </w:tr>
      <w:tr>
        <w:tc>
          <w:tcPr>
            <w:tcW w:type="dxa" w:w="59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5级</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24.542</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23.21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1.332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77"/>
            <w:vMerge/>
            <w:tcBorders>
              <w:top w:val="none" w:color="000000" w:sz="4"/>
              <w:left w:val="none" w:color="000000" w:sz="4"/>
              <w:bottom w:val="single" w:color="000000" w:sz="4"/>
              <w:right w:val="single" w:color="000000" w:sz="4"/>
            </w:tcBorders>
          </w:tcPr>
          <w:p/>
        </w:tc>
        <w:tc>
          <w:tcPr>
            <w:tcW w:type="dxa" w:w="446"/>
            <w:vMerge/>
            <w:tcBorders>
              <w:top w:val="none" w:color="000000" w:sz="4"/>
              <w:left w:val="none" w:color="000000" w:sz="4"/>
              <w:bottom w:val="single" w:color="000000" w:sz="4"/>
              <w:right w:val="single" w:color="000000" w:sz="4"/>
            </w:tcBorders>
          </w:tcPr>
          <w:p/>
        </w:tc>
        <w:tc>
          <w:tcPr>
            <w:tcW w:type="dxa" w:w="518"/>
            <w:vMerge/>
            <w:tcBorders>
              <w:top w:val="none" w:color="000000" w:sz="4"/>
              <w:left w:val="non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446"/>
            <w:vMerge/>
            <w:tcBorders>
              <w:top w:val="none" w:color="000000" w:sz="4"/>
              <w:left w:val="none" w:color="000000" w:sz="4"/>
              <w:bottom w:val="single" w:color="000000" w:sz="4"/>
              <w:right w:val="single" w:color="000000" w:sz="4"/>
            </w:tcBorders>
          </w:tcPr>
          <w:p/>
        </w:tc>
      </w:tr>
      <w:tr>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昌江干渠</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3级</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1.765</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0.094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1.671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小（二）</w:t>
            </w:r>
          </w:p>
        </w:tc>
        <w:tc>
          <w:tcPr>
            <w:tcW w:type="dxa" w:w="4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37</w:t>
            </w:r>
          </w:p>
        </w:tc>
        <w:tc>
          <w:tcPr>
            <w:tcW w:type="dxa" w:w="5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4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50</w:t>
            </w:r>
          </w:p>
        </w:tc>
      </w:tr>
      <w:tr>
        <w:tc>
          <w:tcPr>
            <w:tcW w:type="dxa" w:w="59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4级</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36.591</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32.238</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2.442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1.911</w:t>
            </w:r>
          </w:p>
        </w:tc>
        <w:tc>
          <w:tcPr>
            <w:tcW w:type="dxa" w:w="677"/>
            <w:vMerge/>
            <w:tcBorders>
              <w:top w:val="none" w:color="000000" w:sz="4"/>
              <w:left w:val="none" w:color="000000" w:sz="4"/>
              <w:bottom w:val="single" w:color="000000" w:sz="4"/>
              <w:right w:val="single" w:color="000000" w:sz="4"/>
            </w:tcBorders>
          </w:tcPr>
          <w:p/>
        </w:tc>
        <w:tc>
          <w:tcPr>
            <w:tcW w:type="dxa" w:w="446"/>
            <w:vMerge/>
            <w:tcBorders>
              <w:top w:val="none" w:color="000000" w:sz="4"/>
              <w:left w:val="none" w:color="000000" w:sz="4"/>
              <w:bottom w:val="single" w:color="000000" w:sz="4"/>
              <w:right w:val="single" w:color="000000" w:sz="4"/>
            </w:tcBorders>
          </w:tcPr>
          <w:p/>
        </w:tc>
        <w:tc>
          <w:tcPr>
            <w:tcW w:type="dxa" w:w="518"/>
            <w:vMerge/>
            <w:tcBorders>
              <w:top w:val="none" w:color="000000" w:sz="4"/>
              <w:left w:val="non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7</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0.478</w:t>
            </w:r>
          </w:p>
        </w:tc>
        <w:tc>
          <w:tcPr>
            <w:tcW w:type="dxa" w:w="446"/>
            <w:vMerge/>
            <w:tcBorders>
              <w:top w:val="none" w:color="000000" w:sz="4"/>
              <w:left w:val="none" w:color="000000" w:sz="4"/>
              <w:bottom w:val="single" w:color="000000" w:sz="4"/>
              <w:right w:val="single" w:color="000000" w:sz="4"/>
            </w:tcBorders>
          </w:tcPr>
          <w:p/>
        </w:tc>
      </w:tr>
      <w:tr>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陀兴干渠</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4级</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29.376</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26.915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8</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1.961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0.5</w:t>
            </w:r>
          </w:p>
        </w:tc>
        <w:tc>
          <w:tcPr>
            <w:tcW w:type="dxa" w:w="6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小（二）</w:t>
            </w:r>
          </w:p>
        </w:tc>
        <w:tc>
          <w:tcPr>
            <w:tcW w:type="dxa" w:w="4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25</w:t>
            </w:r>
          </w:p>
        </w:tc>
        <w:tc>
          <w:tcPr>
            <w:tcW w:type="dxa" w:w="5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71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4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21</w:t>
            </w:r>
          </w:p>
        </w:tc>
      </w:tr>
      <w:tr>
        <w:tc>
          <w:tcPr>
            <w:tcW w:type="dxa" w:w="59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5级</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14.38</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13.683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0.697</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77"/>
            <w:vMerge/>
            <w:tcBorders>
              <w:top w:val="none" w:color="000000" w:sz="4"/>
              <w:left w:val="none" w:color="000000" w:sz="4"/>
              <w:bottom w:val="single" w:color="000000" w:sz="4"/>
              <w:right w:val="single" w:color="000000" w:sz="4"/>
            </w:tcBorders>
          </w:tcPr>
          <w:p/>
        </w:tc>
        <w:tc>
          <w:tcPr>
            <w:tcW w:type="dxa" w:w="446"/>
            <w:vMerge/>
            <w:tcBorders>
              <w:top w:val="none" w:color="000000" w:sz="4"/>
              <w:left w:val="none" w:color="000000" w:sz="4"/>
              <w:bottom w:val="single" w:color="000000" w:sz="4"/>
              <w:right w:val="single" w:color="000000" w:sz="4"/>
            </w:tcBorders>
          </w:tcPr>
          <w:p/>
        </w:tc>
        <w:tc>
          <w:tcPr>
            <w:tcW w:type="dxa" w:w="518"/>
            <w:vMerge/>
            <w:tcBorders>
              <w:top w:val="none" w:color="000000" w:sz="4"/>
              <w:left w:val="non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0.630</w:t>
            </w:r>
          </w:p>
        </w:tc>
        <w:tc>
          <w:tcPr>
            <w:tcW w:type="dxa" w:w="446"/>
            <w:vMerge/>
            <w:tcBorders>
              <w:top w:val="none" w:color="000000" w:sz="4"/>
              <w:left w:val="none" w:color="000000" w:sz="4"/>
              <w:bottom w:val="single" w:color="000000" w:sz="4"/>
              <w:right w:val="single" w:color="000000" w:sz="4"/>
            </w:tcBorders>
          </w:tcP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陀兴北分干</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5级</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7.08</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6.908</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0.172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小（二）</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15</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26</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w:t>
            </w:r>
          </w:p>
        </w:tc>
      </w:tr>
      <w:tr>
        <w:tc>
          <w:tcPr>
            <w:tcW w:type="dxa" w:w="8306"/>
            <w:gridSpan w:val="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小二型水库</w:t>
            </w:r>
            <w:r>
              <w:rPr>
                <w:rFonts w:ascii="仿宋_GB2312" w:hAnsi="仿宋_GB2312" w:cs="仿宋_GB2312" w:eastAsia="仿宋_GB2312"/>
                <w:sz w:val="21"/>
              </w:rPr>
              <w:t>1宗</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合计</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326.564</w:t>
            </w:r>
          </w:p>
        </w:tc>
        <w:tc>
          <w:tcPr>
            <w:tcW w:type="dxa" w:w="7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286.210</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57</w:t>
            </w:r>
          </w:p>
        </w:tc>
        <w:tc>
          <w:tcPr>
            <w:tcW w:type="dxa" w:w="6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18.300</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16</w:t>
            </w:r>
          </w:p>
        </w:tc>
        <w:tc>
          <w:tcPr>
            <w:tcW w:type="dxa" w:w="6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22.060</w:t>
            </w:r>
          </w:p>
        </w:tc>
        <w:tc>
          <w:tcPr>
            <w:tcW w:type="dxa" w:w="6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268</w:t>
            </w:r>
          </w:p>
        </w:tc>
        <w:tc>
          <w:tcPr>
            <w:tcW w:type="dxa" w:w="5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447</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13</w:t>
            </w:r>
          </w:p>
        </w:tc>
        <w:tc>
          <w:tcPr>
            <w:tcW w:type="dxa" w:w="6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1.187</w:t>
            </w:r>
          </w:p>
        </w:tc>
        <w:tc>
          <w:tcPr>
            <w:tcW w:type="dxa" w:w="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276</w:t>
            </w:r>
          </w:p>
        </w:tc>
      </w:tr>
    </w:tbl>
    <w:p>
      <w:pPr>
        <w:pStyle w:val="null3"/>
        <w:ind w:firstLine="559"/>
        <w:jc w:val="both"/>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7,190,800.00</w:t>
      </w:r>
    </w:p>
    <w:p>
      <w:pPr>
        <w:pStyle w:val="null3"/>
        <w:jc w:val="left"/>
      </w:pPr>
      <w:r>
        <w:rPr>
          <w:rFonts w:ascii="仿宋_GB2312" w:hAnsi="仿宋_GB2312" w:cs="仿宋_GB2312" w:eastAsia="仿宋_GB2312"/>
        </w:rPr>
        <w:t>采购包最高限价（元）: 7,190,800.00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C12990000-其他水利管理服务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7,190,800.00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C12990000-其他水利管理服务</w:t>
            </w:r>
          </w:p>
        </w:tc>
        <w:tc>
          <w:tcPr>
            <w:tcW w:type="dxa" w:w="554"/>
          </w:tcPr>
          <w:p>
            <w:pPr>
              <w:pStyle w:val="null3"/>
              <w:jc w:val="left"/>
            </w:pPr>
            <w:r>
              <w:rPr>
                <w:rFonts w:ascii="仿宋_GB2312" w:hAnsi="仿宋_GB2312" w:cs="仿宋_GB2312" w:eastAsia="仿宋_GB2312"/>
              </w:rPr>
              <w:t>元/年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7,190,800.00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标的名称：C12990000-其他水利管理服务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渠道工程：</w:t>
            </w:r>
          </w:p>
          <w:p>
            <w:pPr>
              <w:pStyle w:val="null3"/>
              <w:jc w:val="both"/>
            </w:pPr>
            <w:r>
              <w:rPr>
                <w:rFonts w:ascii="仿宋_GB2312" w:hAnsi="仿宋_GB2312" w:cs="仿宋_GB2312" w:eastAsia="仿宋_GB2312"/>
                <w:sz w:val="24"/>
              </w:rPr>
              <w:t>水利灌区渠道工程日常管护需重点排查以下内容：一是检查渠身结构是否安全；二是观察渠道过水情况；三是检查边坡稳定性，留意滑动等迹象；四是查看衬砌、防渗层是否完好，发现破损、剥蚀及时上报修复；五是关注渠道两岸是否有人员活动；六是关注渠道周边是否存在违规占压、非法取水或施工活动，防范人为破坏。检查中需详细记录问题点位，制定整改措施，确保灌区输水效率与防洪安全。</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隧洞（含暗涵）工程：</w:t>
            </w:r>
          </w:p>
          <w:p>
            <w:pPr>
              <w:pStyle w:val="null3"/>
              <w:jc w:val="both"/>
            </w:pPr>
            <w:r>
              <w:rPr>
                <w:rFonts w:ascii="仿宋_GB2312" w:hAnsi="仿宋_GB2312" w:cs="仿宋_GB2312" w:eastAsia="仿宋_GB2312"/>
                <w:sz w:val="24"/>
              </w:rPr>
              <w:t>水利灌区隧洞（暗涵）工程日常巡查管护需关注结构性安全与功能保障，核查洞身衬砌裂缝、渗漏点位及伸缩缝止水带情况；关注暗涵是否淤积、进出口护坡稳定性，排查违规占压、非法穿跨等行为</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水闸工程（含泄水闸、节制闸、斗闸）：</w:t>
            </w:r>
          </w:p>
          <w:p>
            <w:pPr>
              <w:pStyle w:val="null3"/>
              <w:jc w:val="both"/>
            </w:pPr>
            <w:r>
              <w:rPr>
                <w:rFonts w:ascii="仿宋_GB2312" w:hAnsi="仿宋_GB2312" w:cs="仿宋_GB2312" w:eastAsia="仿宋_GB2312"/>
                <w:sz w:val="24"/>
              </w:rPr>
              <w:t>水利灌区水闸工程日常巡查管护需重点排查以下内容：重点围绕结构完整性、机电设备可靠性及运行功能展开。主要包括闸门主体结构变形监测、混凝土裂缝排查、金属部件锈蚀与启闭机械同步性检测；检查止水系统密封性、消能设施磨损及上下游护坡稳定性，同步观测闸室淤积情况。</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倒虹吸工程：</w:t>
            </w:r>
          </w:p>
          <w:p>
            <w:pPr>
              <w:pStyle w:val="null3"/>
              <w:jc w:val="both"/>
            </w:pPr>
            <w:r>
              <w:rPr>
                <w:rFonts w:ascii="仿宋_GB2312" w:hAnsi="仿宋_GB2312" w:cs="仿宋_GB2312" w:eastAsia="仿宋_GB2312"/>
                <w:sz w:val="24"/>
              </w:rPr>
              <w:t>水利灌区倒虹吸工程日常巡查管护需重点排查以下内容：一是检查进出口结构是否完好；二是检查管身是否存在损坏变形；三是监测镇墩、支墩等支撑结构的稳定性；四是查看倒虹吸管过水断面是否通畅；六是关注周边环境安全。</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渠下涵工程：</w:t>
            </w:r>
          </w:p>
          <w:p>
            <w:pPr>
              <w:pStyle w:val="null3"/>
              <w:jc w:val="both"/>
            </w:pPr>
            <w:r>
              <w:rPr>
                <w:rFonts w:ascii="仿宋_GB2312" w:hAnsi="仿宋_GB2312" w:cs="仿宋_GB2312" w:eastAsia="仿宋_GB2312"/>
                <w:sz w:val="24"/>
              </w:rPr>
              <w:t>水利灌区渠下涵工程日常巡查管护以结构安全与过流能力为核心，重点检查涵身情况，排查上下游翼墙是否稳定。</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桥梁工程（含人行桥、机耕桥、公路桥）：</w:t>
            </w:r>
          </w:p>
          <w:p>
            <w:pPr>
              <w:pStyle w:val="null3"/>
              <w:jc w:val="both"/>
            </w:pPr>
            <w:r>
              <w:rPr>
                <w:rFonts w:ascii="仿宋_GB2312" w:hAnsi="仿宋_GB2312" w:cs="仿宋_GB2312" w:eastAsia="仿宋_GB2312"/>
                <w:sz w:val="24"/>
              </w:rPr>
              <w:t>水利灌区桥梁工程（机耕桥、人行桥、公路桥等）日常巡查管护需重点排查以下内容：一是检查桥面铺装层是否正常使用；二是检查桥墩、桥台及基础是否存在安全隐患；三是观察承重构件是否异常；四是相关警示牌；五是桥下空间是否畅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水库工程：</w:t>
            </w:r>
          </w:p>
          <w:p>
            <w:pPr>
              <w:pStyle w:val="null3"/>
              <w:jc w:val="left"/>
            </w:pPr>
            <w:r>
              <w:rPr>
                <w:rFonts w:ascii="仿宋_GB2312" w:hAnsi="仿宋_GB2312" w:cs="仿宋_GB2312" w:eastAsia="仿宋_GB2312"/>
                <w:sz w:val="24"/>
              </w:rPr>
              <w:t>大广坝灌区管理涉及到二甲水库，二甲水库为</w:t>
            </w:r>
            <w:r>
              <w:rPr>
                <w:rFonts w:ascii="仿宋_GB2312" w:hAnsi="仿宋_GB2312" w:cs="仿宋_GB2312" w:eastAsia="仿宋_GB2312"/>
                <w:sz w:val="24"/>
              </w:rPr>
              <w:t>Ⅴ等小（2）型水库，主要建筑物为5级。水库枢纽主要由挡水坝段、溢流坝段、冲砂闸、大田分干节制闸、三角路分干进水闸5部分组成。</w:t>
            </w:r>
          </w:p>
          <w:p>
            <w:pPr>
              <w:pStyle w:val="null3"/>
              <w:jc w:val="both"/>
            </w:pPr>
            <w:r>
              <w:rPr>
                <w:rFonts w:ascii="仿宋_GB2312" w:hAnsi="仿宋_GB2312" w:cs="仿宋_GB2312" w:eastAsia="仿宋_GB2312"/>
                <w:sz w:val="24"/>
              </w:rPr>
              <w:t>水利灌区水库工程日常巡查管护需重点排查以下内容：一是检查大坝坝体、坝基是否存在险情，关注迎水坡护面；二是检查泄洪设施是否通畅、正常使用；三是监测库区边坡稳定性；四是检查供水建筑物；五是核查观测水库各种监测设施；六是排查库区周边非法行为、人员钓鱼等活动。</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量水测水报水：</w:t>
            </w:r>
          </w:p>
          <w:p>
            <w:pPr>
              <w:pStyle w:val="null3"/>
              <w:jc w:val="both"/>
            </w:pPr>
            <w:r>
              <w:rPr>
                <w:rFonts w:ascii="仿宋_GB2312" w:hAnsi="仿宋_GB2312" w:cs="仿宋_GB2312" w:eastAsia="仿宋_GB2312"/>
                <w:sz w:val="24"/>
              </w:rPr>
              <w:t>灌区日常管护应调度指令要求，在管护过程中进行放水量及水位等数据的测量、记录、上报。每日对计量设施进行巡查，重点检查设备完整性及运行状态，确保流量数据采集准确。</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防风防洪防汛：</w:t>
            </w:r>
          </w:p>
          <w:p>
            <w:pPr>
              <w:pStyle w:val="null3"/>
              <w:jc w:val="both"/>
            </w:pPr>
            <w:r>
              <w:rPr>
                <w:rFonts w:ascii="仿宋_GB2312" w:hAnsi="仿宋_GB2312" w:cs="仿宋_GB2312" w:eastAsia="仿宋_GB2312"/>
                <w:sz w:val="24"/>
              </w:rPr>
              <w:t>台风前做好防御台风灾害措施及应急抢险物料物资，台风后积极进行抢险，对受损部位进行记录反馈。在暴雨台风等恶劣天气进行值班检查，及时预报预警。</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其他内容：</w:t>
            </w:r>
          </w:p>
          <w:p>
            <w:pPr>
              <w:pStyle w:val="null3"/>
              <w:jc w:val="both"/>
            </w:pPr>
            <w:r>
              <w:rPr>
                <w:rFonts w:ascii="仿宋_GB2312" w:hAnsi="仿宋_GB2312" w:cs="仿宋_GB2312" w:eastAsia="仿宋_GB2312"/>
                <w:sz w:val="24"/>
              </w:rPr>
              <w:t>水利灌区日常巡查及管护应做好防溺水的宣传、发现周边人员在灌区渠道、水库钓鱼玩耍需及时制止；巡查过程中应同步检查工程标识牌等设施，对于损坏的标识牌需记录上报，请求更新替换；配合相关部门进行水行政的执法；按照指示要求，对在建工程进行督查，对损坏渠道及建筑物进行应急抢险。</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服务目标：</w:t>
            </w:r>
          </w:p>
          <w:p>
            <w:pPr>
              <w:pStyle w:val="null3"/>
              <w:jc w:val="left"/>
            </w:pPr>
            <w:r>
              <w:rPr>
                <w:rFonts w:ascii="仿宋_GB2312" w:hAnsi="仿宋_GB2312" w:cs="仿宋_GB2312" w:eastAsia="仿宋_GB2312"/>
                <w:sz w:val="24"/>
              </w:rPr>
              <w:t>（一）确保工程安全运行</w:t>
            </w:r>
          </w:p>
          <w:p>
            <w:pPr>
              <w:pStyle w:val="null3"/>
              <w:jc w:val="left"/>
            </w:pPr>
            <w:r>
              <w:rPr>
                <w:rFonts w:ascii="仿宋_GB2312" w:hAnsi="仿宋_GB2312" w:cs="仿宋_GB2312" w:eastAsia="仿宋_GB2312"/>
                <w:sz w:val="24"/>
              </w:rPr>
              <w:t>建立权责明确、监督有效的巡查管护机制，规范化巡查管护队伍建设，保障水利工程安全运行，维护水事秩序，实现水资源高效利用和灌区可持续发展。</w:t>
            </w:r>
          </w:p>
          <w:p>
            <w:pPr>
              <w:pStyle w:val="null3"/>
              <w:jc w:val="left"/>
            </w:pPr>
            <w:r>
              <w:rPr>
                <w:rFonts w:ascii="仿宋_GB2312" w:hAnsi="仿宋_GB2312" w:cs="仿宋_GB2312" w:eastAsia="仿宋_GB2312"/>
                <w:sz w:val="24"/>
              </w:rPr>
              <w:t>（二）调度和运行管理</w:t>
            </w:r>
          </w:p>
          <w:p>
            <w:pPr>
              <w:pStyle w:val="null3"/>
              <w:jc w:val="left"/>
            </w:pPr>
            <w:r>
              <w:rPr>
                <w:rFonts w:ascii="仿宋_GB2312" w:hAnsi="仿宋_GB2312" w:cs="仿宋_GB2312" w:eastAsia="仿宋_GB2312"/>
                <w:sz w:val="24"/>
              </w:rPr>
              <w:t>保障渠道及水工建筑物安全运行，灌区下达的调度指令执行正确率</w:t>
            </w:r>
            <w:r>
              <w:rPr>
                <w:rFonts w:ascii="仿宋_GB2312" w:hAnsi="仿宋_GB2312" w:cs="仿宋_GB2312" w:eastAsia="仿宋_GB2312"/>
                <w:sz w:val="24"/>
              </w:rPr>
              <w:t>100%，相关水利工程建筑物设备操作正确率100%，确保用水调度、调洪调蓄工作顺利进行。</w:t>
            </w:r>
          </w:p>
          <w:p>
            <w:pPr>
              <w:pStyle w:val="null3"/>
              <w:jc w:val="left"/>
            </w:pPr>
            <w:r>
              <w:rPr>
                <w:rFonts w:ascii="仿宋_GB2312" w:hAnsi="仿宋_GB2312" w:cs="仿宋_GB2312" w:eastAsia="仿宋_GB2312"/>
                <w:sz w:val="24"/>
              </w:rPr>
              <w:t>（三）安全生产及文明施工</w:t>
            </w:r>
          </w:p>
          <w:p>
            <w:pPr>
              <w:pStyle w:val="null3"/>
              <w:jc w:val="left"/>
            </w:pPr>
            <w:r>
              <w:rPr>
                <w:rFonts w:ascii="仿宋_GB2312" w:hAnsi="仿宋_GB2312" w:cs="仿宋_GB2312" w:eastAsia="仿宋_GB2312"/>
                <w:sz w:val="24"/>
              </w:rPr>
              <w:t>严格执行国家、行业相关安全规程规范，遵守采购人有关安全生产管理各项规章制度；保证不发生生产安全责任事故，确保</w:t>
            </w:r>
            <w:r>
              <w:rPr>
                <w:rFonts w:ascii="仿宋_GB2312" w:hAnsi="仿宋_GB2312" w:cs="仿宋_GB2312" w:eastAsia="仿宋_GB2312"/>
                <w:sz w:val="24"/>
              </w:rPr>
              <w:t>“工程安全、运行安全、人身安全”。</w:t>
            </w:r>
          </w:p>
          <w:p>
            <w:pPr>
              <w:pStyle w:val="null3"/>
              <w:jc w:val="left"/>
            </w:pPr>
            <w:r>
              <w:rPr>
                <w:rFonts w:ascii="仿宋_GB2312" w:hAnsi="仿宋_GB2312" w:cs="仿宋_GB2312" w:eastAsia="仿宋_GB2312"/>
                <w:sz w:val="24"/>
              </w:rPr>
              <w:t>（四）保障工程效益、延长工程使用寿命</w:t>
            </w:r>
          </w:p>
          <w:p>
            <w:pPr>
              <w:pStyle w:val="null3"/>
              <w:jc w:val="both"/>
            </w:pPr>
            <w:r>
              <w:rPr>
                <w:rFonts w:ascii="仿宋_GB2312" w:hAnsi="仿宋_GB2312" w:cs="仿宋_GB2312" w:eastAsia="仿宋_GB2312"/>
                <w:sz w:val="24"/>
              </w:rPr>
              <w:t>确保防洪、灌溉、发电等设计功能充分实现，充分发挥工程效益。定期检查与修复，延长工程寿命。通过科学管理方法，提高水利工程管理水平。</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rPr>
              <w:t>服务要求:</w:t>
            </w:r>
          </w:p>
          <w:p>
            <w:pPr>
              <w:pStyle w:val="null3"/>
              <w:jc w:val="left"/>
            </w:pPr>
            <w:r>
              <w:rPr>
                <w:rFonts w:ascii="仿宋_GB2312" w:hAnsi="仿宋_GB2312" w:cs="仿宋_GB2312" w:eastAsia="仿宋_GB2312"/>
                <w:sz w:val="24"/>
              </w:rPr>
              <w:t>1.基本要求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1）运行管护承担单位根据运行管护内容及特点制定服务方案，并严格按照方案内容保质保量完成日常运行管护、汛期保障、应急响应等工作，保障工程安全运行。</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2）遵守国家、行业及采购人有关安全生产管理规章制度，建立安全生产责任制，加强安全生产培训与教育，杜绝“三违”行为，实现安全生产目标。承包人对所承担的工作安全负全责。</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3）随时接受采购人的检查，为检查提供便利的条件，检查中发现问题及时整改。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4）运行管护资料应齐全、完整、准确，不得将本项目的资料外借。</w:t>
            </w:r>
          </w:p>
          <w:p>
            <w:pPr>
              <w:pStyle w:val="null3"/>
              <w:jc w:val="left"/>
            </w:pPr>
            <w:r>
              <w:rPr>
                <w:rFonts w:ascii="仿宋_GB2312" w:hAnsi="仿宋_GB2312" w:cs="仿宋_GB2312" w:eastAsia="仿宋_GB2312"/>
                <w:sz w:val="24"/>
              </w:rPr>
              <w:t>2.人员要求</w:t>
            </w:r>
          </w:p>
          <w:p>
            <w:pPr>
              <w:pStyle w:val="null3"/>
              <w:jc w:val="both"/>
            </w:pPr>
            <w:r>
              <w:rPr>
                <w:rFonts w:ascii="仿宋_GB2312" w:hAnsi="仿宋_GB2312" w:cs="仿宋_GB2312" w:eastAsia="仿宋_GB2312"/>
                <w:sz w:val="24"/>
              </w:rPr>
              <w:t>运行管护单位需组建项目管理机构，其中项目负责人、项目现场管理负责人各</w:t>
            </w:r>
            <w:r>
              <w:rPr>
                <w:rFonts w:ascii="仿宋_GB2312" w:hAnsi="仿宋_GB2312" w:cs="仿宋_GB2312" w:eastAsia="仿宋_GB2312"/>
                <w:sz w:val="24"/>
              </w:rPr>
              <w:t>1名且具有本科以上学历。现场运行管护人员不少于96名（后期管护可根据现场运行情况减少人员数量）。</w:t>
            </w:r>
          </w:p>
          <w:p>
            <w:pPr>
              <w:pStyle w:val="null3"/>
              <w:jc w:val="left"/>
            </w:pPr>
            <w:r>
              <w:rPr>
                <w:rFonts w:ascii="仿宋_GB2312" w:hAnsi="仿宋_GB2312" w:cs="仿宋_GB2312" w:eastAsia="仿宋_GB2312"/>
                <w:sz w:val="24"/>
              </w:rPr>
              <w:t>3.专业技术要求</w:t>
            </w:r>
          </w:p>
          <w:p>
            <w:pPr>
              <w:pStyle w:val="null3"/>
              <w:jc w:val="left"/>
            </w:pPr>
            <w:r>
              <w:rPr>
                <w:rFonts w:ascii="仿宋_GB2312" w:hAnsi="仿宋_GB2312" w:cs="仿宋_GB2312" w:eastAsia="仿宋_GB2312"/>
                <w:sz w:val="24"/>
              </w:rPr>
              <w:t>本项目运行管护是指结合大广坝灌区的实际，贯彻执行国家有关法律、法规和相关技术标准与有关规章制度、安全操作规程；执行调度指令，组织实施安全运行作业；保证各类设备和水工建筑物安全运行，发现问题及时上报；对工程及设备设施运行工况进行检查、巡视，发现隐患或故障及时处理并报告；对设备设施进行日常清洁、紧固、润滑和调整；填报、整理各类工程运行记录。</w:t>
            </w:r>
          </w:p>
          <w:p>
            <w:pPr>
              <w:pStyle w:val="null3"/>
              <w:jc w:val="left"/>
            </w:pPr>
            <w:r>
              <w:rPr>
                <w:rFonts w:ascii="仿宋_GB2312" w:hAnsi="仿宋_GB2312" w:cs="仿宋_GB2312" w:eastAsia="仿宋_GB2312"/>
                <w:sz w:val="24"/>
              </w:rPr>
              <w:t>常规调度运行工作要求：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服从采购人管理，严格按照《大广坝灌区管理分局工程运行管理办法》《大广坝灌区管理分局水闸运行与管理规定》《大广坝灌区管理分局运行管理与日常维修养护手册》《“三防”工作手册》和服务方案完成灌区工程巡查、隐患反馈、水量调度等工作，并在工作过程中严格落实安全生产各项措施，做好安全防护，确保工程安全、运行安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运行管护人员应充分掌握各运行设备设施及建筑物的工况，能够在日常值守、巡视检查中预判可能发生的影响工程正常运行的情况并进行处理；出现紧急情况或设备运行故障时，可以作出初步判断，协助采购人找到问题原因，并提出解决建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3）严格按照操作规程正确执行调度指令，协助完成各类设备现场状况的确认检查和现场操作，操作完及时反馈指令执行结果。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4）针对调度业务呼叫及时应答，日常沟通用语规范、表达清晰；熟悉了解工程工况及调度情况，能及时、准确回答建筑物及设备状况、水情数据等情况的了解询问。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5）发生突发事故时，限制事故扩大，视情况作相应处理并及时报告。</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6）运行工作应严格执行相应制度规定，做好运行工作记录，记录应清晰、详细、准确，并按照采购人档案管理相关规定分期分类进行整理、归档、备查。</w:t>
            </w:r>
          </w:p>
          <w:p>
            <w:pPr>
              <w:pStyle w:val="null3"/>
              <w:jc w:val="left"/>
            </w:pPr>
            <w:r>
              <w:rPr>
                <w:rFonts w:ascii="仿宋_GB2312" w:hAnsi="仿宋_GB2312" w:cs="仿宋_GB2312" w:eastAsia="仿宋_GB2312"/>
                <w:sz w:val="24"/>
              </w:rPr>
              <w:t>汛期运行工作要求：</w:t>
            </w:r>
          </w:p>
          <w:p>
            <w:pPr>
              <w:pStyle w:val="null3"/>
              <w:jc w:val="left"/>
            </w:pPr>
            <w:r>
              <w:rPr>
                <w:rFonts w:ascii="仿宋_GB2312" w:hAnsi="仿宋_GB2312" w:cs="仿宋_GB2312" w:eastAsia="仿宋_GB2312"/>
                <w:sz w:val="24"/>
              </w:rPr>
              <w:t>根据我省水务工作运行特点，每年</w:t>
            </w:r>
            <w:r>
              <w:rPr>
                <w:rFonts w:ascii="仿宋_GB2312" w:hAnsi="仿宋_GB2312" w:cs="仿宋_GB2312" w:eastAsia="仿宋_GB2312"/>
                <w:sz w:val="24"/>
              </w:rPr>
              <w:t>5-11月为汛期，汛期管护工作在遵守运行管护工作要求的同时，要协助采购人做好各项防汛预案及应急准备，按要求纳入采购人防汛抢险体系，贯彻执行采购人制定的各项防汛工作要求。汛前，协助隐患排查，确定防汛重点部位；汛中，根据要求安排人员进行防汛值班，在运行值守发生降雨时，值班人员需做好雨中巡查和防汛处理，及时上报雨情、汛情信息及应对措施，并做好相应记录；汛后，做好各类汛期运行资料的分类整理及归档工作。</w:t>
            </w:r>
          </w:p>
          <w:p>
            <w:pPr>
              <w:pStyle w:val="null3"/>
              <w:jc w:val="left"/>
            </w:pPr>
            <w:r>
              <w:rPr>
                <w:rFonts w:ascii="仿宋_GB2312" w:hAnsi="仿宋_GB2312" w:cs="仿宋_GB2312" w:eastAsia="仿宋_GB2312"/>
                <w:sz w:val="24"/>
              </w:rPr>
              <w:t>4.其他要求：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1）承包人应在合同签订后的7日内向采购人提供所有人员名单备案。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2）每月20日前提交本月服务工作总结。</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3）参加采购人组织开展的安全生产、防汛抢险等应急演练和安全生产、三防、工程管理等业务培训。</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4）采购人有权对不满足工作要求的人员，向承包人提出更换。承包人主动提出的人员变更应及时向采购人备案。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承包人应按照采购人项目管理的相关规定形成各类资料，并提交给采购人，主要包括（但不限于）：工程巡查记录本、量水测水记录本、防溺水检查记录本等等，相关记录本由采购人提供；合同期满后移交本项目所有档案资料及采购人要求提交的其他资料；本项目服务资料应齐全、完整、准确，不得将本项目的资料外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6）承包人须加强本项目财务管理，严格执行各项财务规章制度，确保专款专用，单独核算，主动积极配合各级审计工作等。</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rPr>
              <w:t>支付方式及时间：本合同服务费按月支付，每月一期，共</w:t>
            </w:r>
            <w:r>
              <w:rPr>
                <w:rFonts w:ascii="仿宋_GB2312" w:hAnsi="仿宋_GB2312" w:cs="仿宋_GB2312" w:eastAsia="仿宋_GB2312"/>
                <w:sz w:val="24"/>
              </w:rPr>
              <w:t>12期。每月支付的金额按甲乙双方核定的金额支付。乙方每个月及时办理上月的服务费支付手续，办理支付手续之前，乙方应先提出支付申请,并提供相应金额的增值税发票，甲方在收到完整的支付资料后**个工作日内完成付款。</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rPr>
              <w:t>质量要求：符合国家及行业现行规范合格标准。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考核：</w:t>
      </w:r>
    </w:p>
    <w:p>
      <w:pPr>
        <w:pStyle w:val="null3"/>
        <w:ind w:firstLine="480"/>
        <w:jc w:val="both"/>
      </w:pPr>
      <w:r>
        <w:rPr>
          <w:rFonts w:ascii="仿宋_GB2312" w:hAnsi="仿宋_GB2312" w:cs="仿宋_GB2312" w:eastAsia="仿宋_GB2312"/>
          <w:sz w:val="24"/>
        </w:rPr>
        <w:t>（一）考核内容</w:t>
      </w:r>
    </w:p>
    <w:p>
      <w:pPr>
        <w:pStyle w:val="null3"/>
        <w:ind w:firstLine="480"/>
        <w:jc w:val="both"/>
      </w:pPr>
      <w:r>
        <w:rPr>
          <w:rFonts w:ascii="仿宋_GB2312" w:hAnsi="仿宋_GB2312" w:cs="仿宋_GB2312" w:eastAsia="仿宋_GB2312"/>
          <w:sz w:val="24"/>
        </w:rPr>
        <w:t>大广坝灌区水利工程运行管护的主要工作有：日常巡查、设施保养、量水测水、闸门操作、记录规范、隐患处理、保洁服务（渠道）、信息反馈与上报、配合水政执法、汛期值守、服务保障等（详见《大广坝灌区水利工程运行管护服务考核验收标准》）。</w:t>
      </w:r>
    </w:p>
    <w:p>
      <w:pPr>
        <w:pStyle w:val="null3"/>
        <w:ind w:firstLine="480"/>
        <w:jc w:val="both"/>
      </w:pPr>
      <w:r>
        <w:rPr>
          <w:rFonts w:ascii="仿宋_GB2312" w:hAnsi="仿宋_GB2312" w:cs="仿宋_GB2312" w:eastAsia="仿宋_GB2312"/>
          <w:sz w:val="24"/>
        </w:rPr>
        <w:t>大广坝灌区水利工程运行管护实行全过程和分局机关、管理区两级监管、考核，由分局工程管理科牵头，各直属管理区及相关业务科室相互配合完成。相关业务科室按照科室职责，对运行管护的相关工作进行监督、指导和考核。</w:t>
      </w:r>
    </w:p>
    <w:p>
      <w:pPr>
        <w:pStyle w:val="null3"/>
        <w:ind w:firstLine="480"/>
        <w:jc w:val="both"/>
      </w:pPr>
      <w:r>
        <w:rPr>
          <w:rFonts w:ascii="仿宋_GB2312" w:hAnsi="仿宋_GB2312" w:cs="仿宋_GB2312" w:eastAsia="仿宋_GB2312"/>
          <w:sz w:val="24"/>
        </w:rPr>
        <w:t>（二）考核原则</w:t>
      </w:r>
    </w:p>
    <w:p>
      <w:pPr>
        <w:pStyle w:val="null3"/>
        <w:ind w:firstLine="480"/>
        <w:jc w:val="both"/>
      </w:pPr>
      <w:r>
        <w:rPr>
          <w:rFonts w:ascii="仿宋_GB2312" w:hAnsi="仿宋_GB2312" w:cs="仿宋_GB2312" w:eastAsia="仿宋_GB2312"/>
          <w:sz w:val="24"/>
        </w:rPr>
        <w:t>公开、公平、公正：确保考核过程透明，标准统一，结果公正。</w:t>
      </w:r>
    </w:p>
    <w:p>
      <w:pPr>
        <w:pStyle w:val="null3"/>
        <w:ind w:firstLine="480"/>
        <w:jc w:val="both"/>
      </w:pPr>
      <w:r>
        <w:rPr>
          <w:rFonts w:ascii="仿宋_GB2312" w:hAnsi="仿宋_GB2312" w:cs="仿宋_GB2312" w:eastAsia="仿宋_GB2312"/>
          <w:sz w:val="24"/>
        </w:rPr>
        <w:t>客观性：依据事实和实际工作量、数据资料等进行评价，减少主观臆断。</w:t>
      </w:r>
    </w:p>
    <w:p>
      <w:pPr>
        <w:pStyle w:val="null3"/>
        <w:ind w:firstLine="480"/>
        <w:jc w:val="both"/>
      </w:pPr>
      <w:r>
        <w:rPr>
          <w:rFonts w:ascii="仿宋_GB2312" w:hAnsi="仿宋_GB2312" w:cs="仿宋_GB2312" w:eastAsia="仿宋_GB2312"/>
          <w:sz w:val="24"/>
        </w:rPr>
        <w:t>持续改进：考核办法根据实际情况和需要进行适时调整，以适应不断变化的运行环境和管理要求。</w:t>
      </w:r>
    </w:p>
    <w:p>
      <w:pPr>
        <w:pStyle w:val="null3"/>
        <w:ind w:firstLine="480"/>
        <w:jc w:val="both"/>
      </w:pPr>
      <w:r>
        <w:rPr>
          <w:rFonts w:ascii="仿宋_GB2312" w:hAnsi="仿宋_GB2312" w:cs="仿宋_GB2312" w:eastAsia="仿宋_GB2312"/>
          <w:sz w:val="24"/>
        </w:rPr>
        <w:t>采购人每月</w:t>
      </w:r>
      <w:r>
        <w:rPr>
          <w:rFonts w:ascii="仿宋_GB2312" w:hAnsi="仿宋_GB2312" w:cs="仿宋_GB2312" w:eastAsia="仿宋_GB2312"/>
          <w:sz w:val="24"/>
        </w:rPr>
        <w:t>22日前（如遇节假日，顺延至下一个工作日）对当月运行管护工作进行考核评分,并将最终考核结果反馈至运行管护单位。</w:t>
      </w:r>
    </w:p>
    <w:p>
      <w:pPr>
        <w:pStyle w:val="null3"/>
        <w:ind w:firstLine="480"/>
        <w:jc w:val="both"/>
      </w:pPr>
      <w:r>
        <w:rPr>
          <w:rFonts w:ascii="仿宋_GB2312" w:hAnsi="仿宋_GB2312" w:cs="仿宋_GB2312" w:eastAsia="仿宋_GB2312"/>
          <w:sz w:val="24"/>
        </w:rPr>
        <w:t>每月</w:t>
      </w:r>
      <w:r>
        <w:rPr>
          <w:rFonts w:ascii="仿宋_GB2312" w:hAnsi="仿宋_GB2312" w:cs="仿宋_GB2312" w:eastAsia="仿宋_GB2312"/>
          <w:sz w:val="24"/>
        </w:rPr>
        <w:t>28日前支付本月的运行管护服务费。</w:t>
      </w:r>
    </w:p>
    <w:p>
      <w:pPr>
        <w:pStyle w:val="null3"/>
        <w:ind w:firstLine="482"/>
        <w:jc w:val="both"/>
      </w:pPr>
      <w:r>
        <w:rPr>
          <w:rFonts w:ascii="仿宋_GB2312" w:hAnsi="仿宋_GB2312" w:cs="仿宋_GB2312" w:eastAsia="仿宋_GB2312"/>
          <w:sz w:val="24"/>
          <w:b/>
        </w:rPr>
        <w:t>（六）考核结果运用</w:t>
      </w:r>
    </w:p>
    <w:p>
      <w:pPr>
        <w:pStyle w:val="null3"/>
        <w:ind w:firstLine="480"/>
        <w:jc w:val="both"/>
      </w:pPr>
      <w:r>
        <w:rPr>
          <w:rFonts w:ascii="仿宋_GB2312" w:hAnsi="仿宋_GB2312" w:cs="仿宋_GB2312" w:eastAsia="仿宋_GB2312"/>
          <w:sz w:val="24"/>
        </w:rPr>
        <w:t>1.考核实行100分制，90分以上为优秀，80-89分为良好，70-79分为合格，60-69分为基本合格;60分以下为不合格。考核结果作为每月支付运行管护费用的依据。</w:t>
      </w:r>
    </w:p>
    <w:p>
      <w:pPr>
        <w:pStyle w:val="null3"/>
        <w:ind w:firstLine="480"/>
        <w:jc w:val="both"/>
      </w:pPr>
      <w:r>
        <w:rPr>
          <w:rFonts w:ascii="仿宋_GB2312" w:hAnsi="仿宋_GB2312" w:cs="仿宋_GB2312" w:eastAsia="仿宋_GB2312"/>
          <w:sz w:val="24"/>
        </w:rPr>
        <w:t>2.考核达到合格及以上等级，按合同约定支付当月管护费用的100%；考核结果为基本合格等级的，扣减当月管护费用的1.5%；考核结果为不合格等级的，扣减当月管护费用的3%。</w:t>
      </w:r>
    </w:p>
    <w:p>
      <w:pPr>
        <w:pStyle w:val="null3"/>
        <w:ind w:firstLine="480"/>
        <w:jc w:val="left"/>
      </w:pPr>
      <w:r>
        <w:rPr>
          <w:rFonts w:ascii="仿宋_GB2312" w:hAnsi="仿宋_GB2312" w:cs="仿宋_GB2312" w:eastAsia="仿宋_GB2312"/>
          <w:sz w:val="24"/>
          <w:shd w:fill="FFFFFF" w:val="clear"/>
        </w:rPr>
        <w:t>附件：</w:t>
      </w:r>
      <w:r>
        <w:rPr>
          <w:rFonts w:ascii="仿宋_GB2312" w:hAnsi="仿宋_GB2312" w:cs="仿宋_GB2312" w:eastAsia="仿宋_GB2312"/>
          <w:sz w:val="24"/>
          <w:shd w:fill="FFFFFF" w:val="clear"/>
        </w:rPr>
        <w:t>1.大广坝灌区水利工程运行管护服务考核验收标准</w:t>
      </w:r>
    </w:p>
    <w:tbl>
      <w:tblPr>
        <w:tblW w:w="0" w:type="auto"/>
        <w:tblBorders>
          <w:top w:val="none" w:color="000000" w:sz="4"/>
          <w:left w:val="none" w:color="000000" w:sz="4"/>
          <w:bottom w:val="none" w:color="000000" w:sz="4"/>
          <w:right w:val="none" w:color="000000" w:sz="4"/>
          <w:insideH w:val="none"/>
          <w:insideV w:val="none"/>
        </w:tblBorders>
      </w:tblPr>
      <w:tblGrid>
        <w:gridCol w:w="427"/>
        <w:gridCol w:w="972"/>
        <w:gridCol w:w="1134"/>
        <w:gridCol w:w="1944"/>
        <w:gridCol w:w="810"/>
        <w:gridCol w:w="2121"/>
        <w:gridCol w:w="898"/>
      </w:tblGrid>
      <w:tr>
        <w:tc>
          <w:tcPr>
            <w:tcW w:type="dxa" w:w="8306"/>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附件：大广坝灌区水利工程运行管护服务考核验收标准</w:t>
            </w:r>
          </w:p>
        </w:tc>
      </w:tr>
      <w:tr>
        <w:tc>
          <w:tcPr>
            <w:tcW w:type="dxa" w:w="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序号</w:t>
            </w:r>
          </w:p>
        </w:tc>
        <w:tc>
          <w:tcPr>
            <w:tcW w:type="dxa" w:w="9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项目</w:t>
            </w:r>
          </w:p>
        </w:tc>
        <w:tc>
          <w:tcPr>
            <w:tcW w:type="dxa" w:w="1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内容</w:t>
            </w:r>
          </w:p>
        </w:tc>
        <w:tc>
          <w:tcPr>
            <w:tcW w:type="dxa" w:w="19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要求</w:t>
            </w:r>
          </w:p>
        </w:tc>
        <w:tc>
          <w:tcPr>
            <w:tcW w:type="dxa" w:w="8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分值</w:t>
            </w:r>
          </w:p>
        </w:tc>
        <w:tc>
          <w:tcPr>
            <w:tcW w:type="dxa" w:w="2121"/>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评分标准</w:t>
            </w:r>
          </w:p>
        </w:tc>
        <w:tc>
          <w:tcPr>
            <w:tcW w:type="dxa" w:w="8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提交支撑材料</w:t>
            </w:r>
          </w:p>
        </w:tc>
      </w:tr>
      <w:tr>
        <w:tc>
          <w:tcPr>
            <w:tcW w:type="dxa" w:w="4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w:t>
            </w:r>
          </w:p>
        </w:tc>
        <w:tc>
          <w:tcPr>
            <w:tcW w:type="dxa" w:w="9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日常巡查（</w:t>
            </w:r>
            <w:r>
              <w:rPr>
                <w:rFonts w:ascii="仿宋_GB2312" w:hAnsi="仿宋_GB2312" w:cs="仿宋_GB2312" w:eastAsia="仿宋_GB2312"/>
                <w:sz w:val="21"/>
              </w:rPr>
              <w:t>40分）</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1.渠道安全巡查</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每天巡查</w:t>
            </w:r>
            <w:r>
              <w:rPr>
                <w:rFonts w:ascii="仿宋_GB2312" w:hAnsi="仿宋_GB2312" w:cs="仿宋_GB2312" w:eastAsia="仿宋_GB2312"/>
                <w:sz w:val="21"/>
              </w:rPr>
              <w:t>2次（含）且每次巡查3个小时以上，巡查渠道总长326.564公里。</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每少一次扣</w:t>
            </w:r>
            <w:r>
              <w:rPr>
                <w:rFonts w:ascii="仿宋_GB2312" w:hAnsi="仿宋_GB2312" w:cs="仿宋_GB2312" w:eastAsia="仿宋_GB2312"/>
                <w:sz w:val="21"/>
              </w:rPr>
              <w:t>2分；每天巡查时间不足6小时扣1分；巡查渠道长度每少4公里扣1分。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考勤和巡查记录</w:t>
            </w:r>
          </w:p>
        </w:tc>
      </w:tr>
      <w:tr>
        <w:tc>
          <w:tcPr>
            <w:tcW w:type="dxa" w:w="427"/>
            <w:vMerge/>
            <w:tcBorders>
              <w:top w:val="none" w:color="000000" w:sz="4"/>
              <w:left w:val="single" w:color="000000" w:sz="4"/>
              <w:bottom w:val="single" w:color="000000" w:sz="4"/>
              <w:right w:val="single" w:color="000000" w:sz="4"/>
            </w:tcBorders>
          </w:tcPr>
          <w:p/>
        </w:tc>
        <w:tc>
          <w:tcPr>
            <w:tcW w:type="dxa" w:w="972"/>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2.配套设施巡查</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每天巡查</w:t>
            </w:r>
            <w:r>
              <w:rPr>
                <w:rFonts w:ascii="仿宋_GB2312" w:hAnsi="仿宋_GB2312" w:cs="仿宋_GB2312" w:eastAsia="仿宋_GB2312"/>
                <w:sz w:val="21"/>
              </w:rPr>
              <w:t>2次以上</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每少</w:t>
            </w:r>
            <w:r>
              <w:rPr>
                <w:rFonts w:ascii="仿宋_GB2312" w:hAnsi="仿宋_GB2312" w:cs="仿宋_GB2312" w:eastAsia="仿宋_GB2312"/>
                <w:sz w:val="21"/>
              </w:rPr>
              <w:t>1次扣1分；配套设施巡查每少1座扣1分。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巡查记录</w:t>
            </w:r>
          </w:p>
        </w:tc>
      </w:tr>
      <w:tr>
        <w:tc>
          <w:tcPr>
            <w:tcW w:type="dxa" w:w="427"/>
            <w:vMerge/>
            <w:tcBorders>
              <w:top w:val="none" w:color="000000" w:sz="4"/>
              <w:left w:val="single" w:color="000000" w:sz="4"/>
              <w:bottom w:val="single" w:color="000000" w:sz="4"/>
              <w:right w:val="single" w:color="000000" w:sz="4"/>
            </w:tcBorders>
          </w:tcPr>
          <w:p/>
        </w:tc>
        <w:tc>
          <w:tcPr>
            <w:tcW w:type="dxa" w:w="972"/>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3.信息化专项设施</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每天巡查</w:t>
            </w:r>
            <w:r>
              <w:rPr>
                <w:rFonts w:ascii="仿宋_GB2312" w:hAnsi="仿宋_GB2312" w:cs="仿宋_GB2312" w:eastAsia="仿宋_GB2312"/>
                <w:sz w:val="21"/>
              </w:rPr>
              <w:t>2次以上。</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每少</w:t>
            </w:r>
            <w:r>
              <w:rPr>
                <w:rFonts w:ascii="仿宋_GB2312" w:hAnsi="仿宋_GB2312" w:cs="仿宋_GB2312" w:eastAsia="仿宋_GB2312"/>
                <w:sz w:val="21"/>
              </w:rPr>
              <w:t>1次扣1分。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巡查记录</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二</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设施保养（</w:t>
            </w:r>
            <w:r>
              <w:rPr>
                <w:rFonts w:ascii="仿宋_GB2312" w:hAnsi="仿宋_GB2312" w:cs="仿宋_GB2312" w:eastAsia="仿宋_GB2312"/>
                <w:sz w:val="21"/>
              </w:rPr>
              <w:t>6分）</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4.动力机械设备保养</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斗闸门和机电设备每月试机保养一次。</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6</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月保养、试机每少</w:t>
            </w:r>
            <w:r>
              <w:rPr>
                <w:rFonts w:ascii="仿宋_GB2312" w:hAnsi="仿宋_GB2312" w:cs="仿宋_GB2312" w:eastAsia="仿宋_GB2312"/>
                <w:sz w:val="21"/>
              </w:rPr>
              <w:t>1宗扣1分。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保养记录</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量水测水（</w:t>
            </w:r>
            <w:r>
              <w:rPr>
                <w:rFonts w:ascii="仿宋_GB2312" w:hAnsi="仿宋_GB2312" w:cs="仿宋_GB2312" w:eastAsia="仿宋_GB2312"/>
                <w:sz w:val="21"/>
              </w:rPr>
              <w:t>5分）</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5.水位观测和水量统计</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每天进行水闸水位及渠道水位观测和水量统计</w:t>
            </w:r>
            <w:r>
              <w:rPr>
                <w:rFonts w:ascii="仿宋_GB2312" w:hAnsi="仿宋_GB2312" w:cs="仿宋_GB2312" w:eastAsia="仿宋_GB2312"/>
                <w:sz w:val="21"/>
              </w:rPr>
              <w:t>1次，并作好记录。</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5</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水位观测每少</w:t>
            </w:r>
            <w:r>
              <w:rPr>
                <w:rFonts w:ascii="仿宋_GB2312" w:hAnsi="仿宋_GB2312" w:cs="仿宋_GB2312" w:eastAsia="仿宋_GB2312"/>
                <w:sz w:val="21"/>
              </w:rPr>
              <w:t>1次，扣1分；统计不准确，每处扣0.2分。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观测记录</w:t>
            </w:r>
          </w:p>
        </w:tc>
      </w:tr>
      <w:tr>
        <w:tc>
          <w:tcPr>
            <w:tcW w:type="dxa" w:w="4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四</w:t>
            </w:r>
          </w:p>
        </w:tc>
        <w:tc>
          <w:tcPr>
            <w:tcW w:type="dxa" w:w="9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闸门操作</w:t>
            </w:r>
            <w:r>
              <w:br/>
            </w:r>
            <w:r>
              <w:rPr>
                <w:rFonts w:ascii="仿宋_GB2312" w:hAnsi="仿宋_GB2312" w:cs="仿宋_GB2312" w:eastAsia="仿宋_GB2312"/>
                <w:sz w:val="21"/>
              </w:rPr>
              <w:t>（</w:t>
            </w:r>
            <w:r>
              <w:rPr>
                <w:rFonts w:ascii="仿宋_GB2312" w:hAnsi="仿宋_GB2312" w:cs="仿宋_GB2312" w:eastAsia="仿宋_GB2312"/>
                <w:sz w:val="21"/>
              </w:rPr>
              <w:t>4分）</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6.闸门启闭</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熟悉闸门启闭操作规程，每座闸门指定</w:t>
            </w:r>
            <w:r>
              <w:rPr>
                <w:rFonts w:ascii="仿宋_GB2312" w:hAnsi="仿宋_GB2312" w:cs="仿宋_GB2312" w:eastAsia="仿宋_GB2312"/>
                <w:sz w:val="21"/>
              </w:rPr>
              <w:t>2名专人操作。</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2</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不熟悉闸门启闭操作扣</w:t>
            </w:r>
            <w:r>
              <w:rPr>
                <w:rFonts w:ascii="仿宋_GB2312" w:hAnsi="仿宋_GB2312" w:cs="仿宋_GB2312" w:eastAsia="仿宋_GB2312"/>
                <w:sz w:val="21"/>
              </w:rPr>
              <w:t>2分；不指定2名专人操作员扣2分。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现场检查</w:t>
            </w:r>
          </w:p>
        </w:tc>
      </w:tr>
      <w:tr>
        <w:tc>
          <w:tcPr>
            <w:tcW w:type="dxa" w:w="427"/>
            <w:vMerge/>
            <w:tcBorders>
              <w:top w:val="none" w:color="000000" w:sz="4"/>
              <w:left w:val="single" w:color="000000" w:sz="4"/>
              <w:bottom w:val="single" w:color="000000" w:sz="4"/>
              <w:right w:val="single" w:color="000000" w:sz="4"/>
            </w:tcBorders>
          </w:tcPr>
          <w:p/>
        </w:tc>
        <w:tc>
          <w:tcPr>
            <w:tcW w:type="dxa" w:w="972"/>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7.服从调度</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服从分局或管区调度指令，闸门启闭及时、规范。</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2</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不服从调度指令</w:t>
            </w:r>
            <w:r>
              <w:rPr>
                <w:rFonts w:ascii="仿宋_GB2312" w:hAnsi="仿宋_GB2312" w:cs="仿宋_GB2312" w:eastAsia="仿宋_GB2312"/>
                <w:sz w:val="21"/>
              </w:rPr>
              <w:t>1次扣1分；启闭操作延时1次扣1分。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操作记录</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五</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记录规范</w:t>
            </w:r>
            <w:r>
              <w:br/>
            </w:r>
            <w:r>
              <w:rPr>
                <w:rFonts w:ascii="仿宋_GB2312" w:hAnsi="仿宋_GB2312" w:cs="仿宋_GB2312" w:eastAsia="仿宋_GB2312"/>
                <w:sz w:val="21"/>
              </w:rPr>
              <w:t>（</w:t>
            </w:r>
            <w:r>
              <w:rPr>
                <w:rFonts w:ascii="仿宋_GB2312" w:hAnsi="仿宋_GB2312" w:cs="仿宋_GB2312" w:eastAsia="仿宋_GB2312"/>
                <w:sz w:val="21"/>
              </w:rPr>
              <w:t>5分）</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8.渠道巡查、设备试机记录</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每次巡查、试机按要求填写巡查、试机记录。</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5</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记录每少</w:t>
            </w:r>
            <w:r>
              <w:rPr>
                <w:rFonts w:ascii="仿宋_GB2312" w:hAnsi="仿宋_GB2312" w:cs="仿宋_GB2312" w:eastAsia="仿宋_GB2312"/>
                <w:sz w:val="21"/>
              </w:rPr>
              <w:t>1次扣0.5分；填写记录不规范每次扣0.5分。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巡查记录</w:t>
            </w:r>
          </w:p>
        </w:tc>
      </w:tr>
      <w:tr>
        <w:tc>
          <w:tcPr>
            <w:tcW w:type="dxa" w:w="42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w:t>
            </w:r>
          </w:p>
        </w:tc>
        <w:tc>
          <w:tcPr>
            <w:tcW w:type="dxa" w:w="97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隐患处理（</w:t>
            </w:r>
            <w:r>
              <w:rPr>
                <w:rFonts w:ascii="仿宋_GB2312" w:hAnsi="仿宋_GB2312" w:cs="仿宋_GB2312" w:eastAsia="仿宋_GB2312"/>
                <w:sz w:val="21"/>
              </w:rPr>
              <w:t>7分）</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9.巡查发现问题处理</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日常巡查发现问题、隐患及时处理或提出处理意见。</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3</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发现问题、隐患未及时处理或提出处理意见每</w:t>
            </w:r>
            <w:r>
              <w:rPr>
                <w:rFonts w:ascii="仿宋_GB2312" w:hAnsi="仿宋_GB2312" w:cs="仿宋_GB2312" w:eastAsia="仿宋_GB2312"/>
                <w:sz w:val="21"/>
              </w:rPr>
              <w:t>1次扣1分。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现场检查</w:t>
            </w:r>
          </w:p>
        </w:tc>
      </w:tr>
      <w:tr>
        <w:tc>
          <w:tcPr>
            <w:tcW w:type="dxa" w:w="427"/>
            <w:vMerge/>
            <w:tcBorders>
              <w:top w:val="none" w:color="000000" w:sz="4"/>
              <w:left w:val="single" w:color="000000" w:sz="4"/>
              <w:bottom w:val="none" w:color="000000" w:sz="4"/>
              <w:right w:val="single" w:color="000000" w:sz="4"/>
            </w:tcBorders>
          </w:tcPr>
          <w:p/>
        </w:tc>
        <w:tc>
          <w:tcPr>
            <w:tcW w:type="dxa" w:w="972"/>
            <w:vMerge/>
            <w:tcBorders>
              <w:top w:val="none" w:color="000000" w:sz="4"/>
              <w:left w:val="none" w:color="000000" w:sz="4"/>
              <w:bottom w:val="non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10.堤顶排水</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及时对渠道堤顶积水地段开沟排水，确保无积水。</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2</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未及时对渠道堤顶积水地段开沟排水，确保无积水，每处扣</w:t>
            </w:r>
            <w:r>
              <w:rPr>
                <w:rFonts w:ascii="仿宋_GB2312" w:hAnsi="仿宋_GB2312" w:cs="仿宋_GB2312" w:eastAsia="仿宋_GB2312"/>
                <w:sz w:val="21"/>
              </w:rPr>
              <w:t>0.2分。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现场检查</w:t>
            </w:r>
          </w:p>
        </w:tc>
      </w:tr>
      <w:tr>
        <w:tc>
          <w:tcPr>
            <w:tcW w:type="dxa" w:w="427"/>
            <w:vMerge/>
            <w:tcBorders>
              <w:top w:val="none" w:color="000000" w:sz="4"/>
              <w:left w:val="single" w:color="000000" w:sz="4"/>
              <w:bottom w:val="none" w:color="000000" w:sz="4"/>
              <w:right w:val="single" w:color="000000" w:sz="4"/>
            </w:tcBorders>
          </w:tcPr>
          <w:p/>
        </w:tc>
        <w:tc>
          <w:tcPr>
            <w:tcW w:type="dxa" w:w="972"/>
            <w:vMerge/>
            <w:tcBorders>
              <w:top w:val="none" w:color="000000" w:sz="4"/>
              <w:left w:val="none" w:color="000000" w:sz="4"/>
              <w:bottom w:val="non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11.防汛抢险</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根据指令，参与分局或管区组织的防汛抢险。</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2</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未按照指令派员参加防汛抢险，每次扣</w:t>
            </w:r>
            <w:r>
              <w:rPr>
                <w:rFonts w:ascii="仿宋_GB2312" w:hAnsi="仿宋_GB2312" w:cs="仿宋_GB2312" w:eastAsia="仿宋_GB2312"/>
                <w:sz w:val="21"/>
              </w:rPr>
              <w:t>2分。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防汛抢险记录</w:t>
            </w:r>
          </w:p>
        </w:tc>
      </w:tr>
      <w:tr>
        <w:tc>
          <w:tcPr>
            <w:tcW w:type="dxa" w:w="4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七</w:t>
            </w:r>
          </w:p>
        </w:tc>
        <w:tc>
          <w:tcPr>
            <w:tcW w:type="dxa" w:w="9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工程管理范围内杂杂物清理（</w:t>
            </w:r>
            <w:r>
              <w:rPr>
                <w:rFonts w:ascii="仿宋_GB2312" w:hAnsi="仿宋_GB2312" w:cs="仿宋_GB2312" w:eastAsia="仿宋_GB2312"/>
                <w:sz w:val="21"/>
              </w:rPr>
              <w:t>3分）</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12.清理渠内漂浮物</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及时清理渠道运行中的阻碍物。</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1.5</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未及时清理渠道运行中的阻碍物每处扣</w:t>
            </w:r>
            <w:r>
              <w:rPr>
                <w:rFonts w:ascii="仿宋_GB2312" w:hAnsi="仿宋_GB2312" w:cs="仿宋_GB2312" w:eastAsia="仿宋_GB2312"/>
                <w:sz w:val="21"/>
              </w:rPr>
              <w:t>0.2分。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现场检查</w:t>
            </w:r>
          </w:p>
        </w:tc>
      </w:tr>
      <w:tr>
        <w:tc>
          <w:tcPr>
            <w:tcW w:type="dxa" w:w="427"/>
            <w:vMerge/>
            <w:tcBorders>
              <w:top w:val="none" w:color="000000" w:sz="4"/>
              <w:left w:val="single" w:color="000000" w:sz="4"/>
              <w:bottom w:val="single" w:color="000000" w:sz="4"/>
              <w:right w:val="single" w:color="000000" w:sz="4"/>
            </w:tcBorders>
          </w:tcPr>
          <w:p/>
        </w:tc>
        <w:tc>
          <w:tcPr>
            <w:tcW w:type="dxa" w:w="972"/>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13.渠外周边保洁</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及时清理管理范围内的垃圾、枯枝等杂物。</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1.5</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未及时清理管理范围内的垃圾、枯枝等杂物每处扣</w:t>
            </w:r>
            <w:r>
              <w:rPr>
                <w:rFonts w:ascii="仿宋_GB2312" w:hAnsi="仿宋_GB2312" w:cs="仿宋_GB2312" w:eastAsia="仿宋_GB2312"/>
                <w:sz w:val="21"/>
              </w:rPr>
              <w:t>0.2分。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现场检查</w:t>
            </w:r>
          </w:p>
        </w:tc>
      </w:tr>
      <w:tr>
        <w:tc>
          <w:tcPr>
            <w:tcW w:type="dxa" w:w="4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八</w:t>
            </w:r>
          </w:p>
        </w:tc>
        <w:tc>
          <w:tcPr>
            <w:tcW w:type="dxa" w:w="9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信息反馈与上报（</w:t>
            </w:r>
            <w:r>
              <w:rPr>
                <w:rFonts w:ascii="仿宋_GB2312" w:hAnsi="仿宋_GB2312" w:cs="仿宋_GB2312" w:eastAsia="仿宋_GB2312"/>
                <w:sz w:val="21"/>
              </w:rPr>
              <w:t>7分）</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14.日常巡查情况上报</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日常巡查发现问题、隐患及时上报所属管理区。</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3</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日常巡查发现问题、隐患不及时上报所属管理区每次扣</w:t>
            </w:r>
            <w:r>
              <w:rPr>
                <w:rFonts w:ascii="仿宋_GB2312" w:hAnsi="仿宋_GB2312" w:cs="仿宋_GB2312" w:eastAsia="仿宋_GB2312"/>
                <w:sz w:val="21"/>
              </w:rPr>
              <w:t>1分。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巡查记录和现场检查</w:t>
            </w:r>
          </w:p>
        </w:tc>
      </w:tr>
      <w:tr>
        <w:tc>
          <w:tcPr>
            <w:tcW w:type="dxa" w:w="427"/>
            <w:vMerge/>
            <w:tcBorders>
              <w:top w:val="none" w:color="000000" w:sz="4"/>
              <w:left w:val="single" w:color="000000" w:sz="4"/>
              <w:bottom w:val="single" w:color="000000" w:sz="4"/>
              <w:right w:val="single" w:color="000000" w:sz="4"/>
            </w:tcBorders>
          </w:tcPr>
          <w:p/>
        </w:tc>
        <w:tc>
          <w:tcPr>
            <w:tcW w:type="dxa" w:w="972"/>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15.汛期值守情况上报</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按照防汛应急响应要求严密监视水情、雨情、工期，发现异常情况及时上报。</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4</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发现异常情况未及时上报每次扣</w:t>
            </w:r>
            <w:r>
              <w:rPr>
                <w:rFonts w:ascii="仿宋_GB2312" w:hAnsi="仿宋_GB2312" w:cs="仿宋_GB2312" w:eastAsia="仿宋_GB2312"/>
                <w:sz w:val="21"/>
              </w:rPr>
              <w:t>1分。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巡查记录和现场检查</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九</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配合水政执法（</w:t>
            </w:r>
            <w:r>
              <w:rPr>
                <w:rFonts w:ascii="仿宋_GB2312" w:hAnsi="仿宋_GB2312" w:cs="仿宋_GB2312" w:eastAsia="仿宋_GB2312"/>
                <w:sz w:val="21"/>
              </w:rPr>
              <w:t>6分）</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16.涉水法规知识宣传</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配合采购人开展水法宣传活动</w:t>
            </w:r>
            <w:r>
              <w:rPr>
                <w:rFonts w:ascii="仿宋_GB2312" w:hAnsi="仿宋_GB2312" w:cs="仿宋_GB2312" w:eastAsia="仿宋_GB2312"/>
                <w:sz w:val="21"/>
              </w:rPr>
              <w:t>1次以上。</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1</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未配合开展水法宣传活动扣</w:t>
            </w:r>
            <w:r>
              <w:rPr>
                <w:rFonts w:ascii="仿宋_GB2312" w:hAnsi="仿宋_GB2312" w:cs="仿宋_GB2312" w:eastAsia="仿宋_GB2312"/>
                <w:sz w:val="21"/>
              </w:rPr>
              <w:t>1分。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活动照片</w:t>
            </w:r>
          </w:p>
        </w:tc>
      </w:tr>
      <w:tr>
        <w:tc>
          <w:tcPr>
            <w:tcW w:type="dxa" w:w="42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九</w:t>
            </w:r>
          </w:p>
        </w:tc>
        <w:tc>
          <w:tcPr>
            <w:tcW w:type="dxa" w:w="97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配合水政执法（</w:t>
            </w:r>
            <w:r>
              <w:rPr>
                <w:rFonts w:ascii="仿宋_GB2312" w:hAnsi="仿宋_GB2312" w:cs="仿宋_GB2312" w:eastAsia="仿宋_GB2312"/>
                <w:sz w:val="21"/>
              </w:rPr>
              <w:t>6分）</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17.防溺水</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配合采购人在每个管区开展防溺水宣传活动</w:t>
            </w:r>
            <w:r>
              <w:rPr>
                <w:rFonts w:ascii="仿宋_GB2312" w:hAnsi="仿宋_GB2312" w:cs="仿宋_GB2312" w:eastAsia="仿宋_GB2312"/>
                <w:sz w:val="21"/>
              </w:rPr>
              <w:t>2次以上，确保无溺水事件发生。</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未配合采购人开展防溺水宣传活动少</w:t>
            </w:r>
            <w:r>
              <w:rPr>
                <w:rFonts w:ascii="仿宋_GB2312" w:hAnsi="仿宋_GB2312" w:cs="仿宋_GB2312" w:eastAsia="仿宋_GB2312"/>
                <w:sz w:val="21"/>
              </w:rPr>
              <w:t>1次扣1分；发生溺水事件1次扣2分。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活动照片和巡查记录</w:t>
            </w:r>
          </w:p>
        </w:tc>
      </w:tr>
      <w:tr>
        <w:tc>
          <w:tcPr>
            <w:tcW w:type="dxa" w:w="427"/>
            <w:vMerge/>
            <w:tcBorders>
              <w:top w:val="none" w:color="000000" w:sz="4"/>
              <w:left w:val="single" w:color="000000" w:sz="4"/>
              <w:bottom w:val="none" w:color="000000" w:sz="4"/>
              <w:right w:val="single" w:color="000000" w:sz="4"/>
            </w:tcBorders>
          </w:tcPr>
          <w:p/>
        </w:tc>
        <w:tc>
          <w:tcPr>
            <w:tcW w:type="dxa" w:w="972"/>
            <w:vMerge/>
            <w:tcBorders>
              <w:top w:val="none" w:color="000000" w:sz="4"/>
              <w:left w:val="none" w:color="000000" w:sz="4"/>
              <w:bottom w:val="non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18.制止违法行为</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及时发现、制止和上报各类水事违法行为。</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未及时发现、制止和上报各类水事违法行为，每次扣</w:t>
            </w:r>
            <w:r>
              <w:rPr>
                <w:rFonts w:ascii="仿宋_GB2312" w:hAnsi="仿宋_GB2312" w:cs="仿宋_GB2312" w:eastAsia="仿宋_GB2312"/>
                <w:sz w:val="21"/>
              </w:rPr>
              <w:t>0.5分。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巡查记录和现场检查</w:t>
            </w:r>
          </w:p>
        </w:tc>
      </w:tr>
      <w:tr>
        <w:tc>
          <w:tcPr>
            <w:tcW w:type="dxa" w:w="4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十</w:t>
            </w:r>
          </w:p>
        </w:tc>
        <w:tc>
          <w:tcPr>
            <w:tcW w:type="dxa" w:w="9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汛期值守</w:t>
            </w:r>
            <w:r>
              <w:br/>
            </w:r>
            <w:r>
              <w:rPr>
                <w:rFonts w:ascii="仿宋_GB2312" w:hAnsi="仿宋_GB2312" w:cs="仿宋_GB2312" w:eastAsia="仿宋_GB2312"/>
                <w:sz w:val="21"/>
              </w:rPr>
              <w:t>（</w:t>
            </w:r>
            <w:r>
              <w:rPr>
                <w:rFonts w:ascii="仿宋_GB2312" w:hAnsi="仿宋_GB2312" w:cs="仿宋_GB2312" w:eastAsia="仿宋_GB2312"/>
                <w:sz w:val="21"/>
              </w:rPr>
              <w:t>7分）</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19.防汛应急响应值班</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根据应急响应要求，坚持</w:t>
            </w:r>
            <w:r>
              <w:rPr>
                <w:rFonts w:ascii="仿宋_GB2312" w:hAnsi="仿宋_GB2312" w:cs="仿宋_GB2312" w:eastAsia="仿宋_GB2312"/>
                <w:sz w:val="21"/>
              </w:rPr>
              <w:t>24小时值班，并增加巡查频次。</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未按要求值班，每人次扣</w:t>
            </w:r>
            <w:r>
              <w:rPr>
                <w:rFonts w:ascii="仿宋_GB2312" w:hAnsi="仿宋_GB2312" w:cs="仿宋_GB2312" w:eastAsia="仿宋_GB2312"/>
                <w:sz w:val="21"/>
              </w:rPr>
              <w:t>2分。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巡查记录和现场检查</w:t>
            </w:r>
          </w:p>
        </w:tc>
      </w:tr>
      <w:tr>
        <w:tc>
          <w:tcPr>
            <w:tcW w:type="dxa" w:w="427"/>
            <w:vMerge/>
            <w:tcBorders>
              <w:top w:val="none" w:color="000000" w:sz="4"/>
              <w:left w:val="single" w:color="000000" w:sz="4"/>
              <w:bottom w:val="single" w:color="000000" w:sz="4"/>
              <w:right w:val="single" w:color="000000" w:sz="4"/>
            </w:tcBorders>
          </w:tcPr>
          <w:p/>
        </w:tc>
        <w:tc>
          <w:tcPr>
            <w:tcW w:type="dxa" w:w="972"/>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20.薄弱部位盯守</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出现险情，派员盯守工程隐患部位。</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出现险情未派员盯守工程隐患部位，每次扣</w:t>
            </w:r>
            <w:r>
              <w:rPr>
                <w:rFonts w:ascii="仿宋_GB2312" w:hAnsi="仿宋_GB2312" w:cs="仿宋_GB2312" w:eastAsia="仿宋_GB2312"/>
                <w:sz w:val="21"/>
              </w:rPr>
              <w:t>1分。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现场检查</w:t>
            </w:r>
          </w:p>
        </w:tc>
      </w:tr>
      <w:tr>
        <w:tc>
          <w:tcPr>
            <w:tcW w:type="dxa" w:w="42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十一</w:t>
            </w:r>
          </w:p>
        </w:tc>
        <w:tc>
          <w:tcPr>
            <w:tcW w:type="dxa" w:w="97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服务保障（</w:t>
            </w:r>
            <w:r>
              <w:rPr>
                <w:rFonts w:ascii="仿宋_GB2312" w:hAnsi="仿宋_GB2312" w:cs="仿宋_GB2312" w:eastAsia="仿宋_GB2312"/>
                <w:sz w:val="21"/>
              </w:rPr>
              <w:t>10分）</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21.人员保障</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对工程实行网格化管理。</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未指定专人负责巡查管护渠段，每</w:t>
            </w:r>
            <w:r>
              <w:rPr>
                <w:rFonts w:ascii="仿宋_GB2312" w:hAnsi="仿宋_GB2312" w:cs="仿宋_GB2312" w:eastAsia="仿宋_GB2312"/>
                <w:sz w:val="21"/>
              </w:rPr>
              <w:t>4公里扣1分。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人员花名册</w:t>
            </w:r>
          </w:p>
        </w:tc>
      </w:tr>
      <w:tr>
        <w:tc>
          <w:tcPr>
            <w:tcW w:type="dxa" w:w="427"/>
            <w:vMerge/>
            <w:tcBorders>
              <w:top w:val="none" w:color="000000" w:sz="4"/>
              <w:left w:val="single" w:color="000000" w:sz="4"/>
              <w:bottom w:val="none" w:color="000000" w:sz="4"/>
              <w:right w:val="single" w:color="000000" w:sz="4"/>
            </w:tcBorders>
          </w:tcPr>
          <w:p/>
        </w:tc>
        <w:tc>
          <w:tcPr>
            <w:tcW w:type="dxa" w:w="972"/>
            <w:vMerge/>
            <w:tcBorders>
              <w:top w:val="none" w:color="000000" w:sz="4"/>
              <w:left w:val="none" w:color="000000" w:sz="4"/>
              <w:bottom w:val="non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22.抢险保障</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配合各管理区组建防汛抢险队</w:t>
            </w:r>
            <w:r>
              <w:rPr>
                <w:rFonts w:ascii="仿宋_GB2312" w:hAnsi="仿宋_GB2312" w:cs="仿宋_GB2312" w:eastAsia="仿宋_GB2312"/>
                <w:sz w:val="21"/>
              </w:rPr>
              <w:t>5支以上，每支队伍12人以上。</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每少</w:t>
            </w:r>
            <w:r>
              <w:rPr>
                <w:rFonts w:ascii="仿宋_GB2312" w:hAnsi="仿宋_GB2312" w:cs="仿宋_GB2312" w:eastAsia="仿宋_GB2312"/>
                <w:sz w:val="21"/>
              </w:rPr>
              <w:t>1支抢险队伍扣1分，抢险队伍每少1人扣1分。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人员花名册</w:t>
            </w:r>
          </w:p>
        </w:tc>
      </w:tr>
      <w:tr>
        <w:tc>
          <w:tcPr>
            <w:tcW w:type="dxa" w:w="427"/>
            <w:vMerge/>
            <w:tcBorders>
              <w:top w:val="none" w:color="000000" w:sz="4"/>
              <w:left w:val="single" w:color="000000" w:sz="4"/>
              <w:bottom w:val="none" w:color="000000" w:sz="4"/>
              <w:right w:val="single" w:color="000000" w:sz="4"/>
            </w:tcBorders>
          </w:tcPr>
          <w:p/>
        </w:tc>
        <w:tc>
          <w:tcPr>
            <w:tcW w:type="dxa" w:w="972"/>
            <w:vMerge/>
            <w:tcBorders>
              <w:top w:val="none" w:color="000000" w:sz="4"/>
              <w:left w:val="none" w:color="000000" w:sz="4"/>
              <w:bottom w:val="non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23.能力保障</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日常管护人员参加防汛抢险演练</w:t>
            </w:r>
            <w:r>
              <w:rPr>
                <w:rFonts w:ascii="仿宋_GB2312" w:hAnsi="仿宋_GB2312" w:cs="仿宋_GB2312" w:eastAsia="仿宋_GB2312"/>
                <w:sz w:val="21"/>
              </w:rPr>
              <w:t>1次以上。</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未参加防汛抢险演练扣</w:t>
            </w:r>
            <w:r>
              <w:rPr>
                <w:rFonts w:ascii="仿宋_GB2312" w:hAnsi="仿宋_GB2312" w:cs="仿宋_GB2312" w:eastAsia="仿宋_GB2312"/>
                <w:sz w:val="21"/>
              </w:rPr>
              <w:t>1分。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现场检查</w:t>
            </w:r>
          </w:p>
        </w:tc>
      </w:tr>
      <w:tr>
        <w:tc>
          <w:tcPr>
            <w:tcW w:type="dxa" w:w="427"/>
            <w:vMerge/>
            <w:tcBorders>
              <w:top w:val="none" w:color="000000" w:sz="4"/>
              <w:left w:val="single" w:color="000000" w:sz="4"/>
              <w:bottom w:val="none" w:color="000000" w:sz="4"/>
              <w:right w:val="single" w:color="000000" w:sz="4"/>
            </w:tcBorders>
          </w:tcPr>
          <w:p/>
        </w:tc>
        <w:tc>
          <w:tcPr>
            <w:tcW w:type="dxa" w:w="972"/>
            <w:vMerge/>
            <w:tcBorders>
              <w:top w:val="none" w:color="000000" w:sz="4"/>
              <w:left w:val="none" w:color="000000" w:sz="4"/>
              <w:bottom w:val="non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24.抢险物资管护</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每月做好抢险物料、设备的管护，并对抢险设备进行检查、调试。</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现有防汛物料管理混乱，账目不清，</w:t>
            </w:r>
            <w:r>
              <w:rPr>
                <w:rFonts w:ascii="仿宋_GB2312" w:hAnsi="仿宋_GB2312" w:cs="仿宋_GB2312" w:eastAsia="仿宋_GB2312"/>
                <w:sz w:val="21"/>
              </w:rPr>
              <w:t>1次扣0.5分；现有抢险设备管护不到位，1台扣0.5分。</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现场检查</w:t>
            </w:r>
          </w:p>
        </w:tc>
      </w:tr>
      <w:tr>
        <w:tc>
          <w:tcPr>
            <w:tcW w:type="dxa" w:w="1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合计</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100</w:t>
            </w:r>
          </w:p>
        </w:tc>
        <w:tc>
          <w:tcPr>
            <w:tcW w:type="dxa" w:w="21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ind w:firstLine="480"/>
              <w:jc w:val="both"/>
            </w:pP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408"/>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1.验收方式。甲方每月对乙方服务工作进行1次考核，服务期满进行项目总体验收。</w:t>
            </w:r>
          </w:p>
        </w:tc>
        <w:tc>
          <w:tcPr>
            <w:tcW w:type="dxa" w:w="8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80"/>
              <w:jc w:val="both"/>
            </w:pPr>
          </w:p>
        </w:tc>
      </w:tr>
      <w:tr>
        <w:tc>
          <w:tcPr>
            <w:tcW w:type="dxa" w:w="7408"/>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2.验收等次。验收标准实行100制，90分以上为优，80-89分为良好，70-79分为合格，60-69分为基本合格;60分以下为不合格。</w:t>
            </w:r>
          </w:p>
        </w:tc>
        <w:tc>
          <w:tcPr>
            <w:tcW w:type="dxa" w:w="8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80"/>
              <w:jc w:val="both"/>
            </w:pPr>
          </w:p>
        </w:tc>
      </w:tr>
      <w:tr>
        <w:tc>
          <w:tcPr>
            <w:tcW w:type="dxa" w:w="7408"/>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3.各单项扣分和得分最高均为各单项标准分。</w:t>
            </w:r>
          </w:p>
        </w:tc>
        <w:tc>
          <w:tcPr>
            <w:tcW w:type="dxa" w:w="8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80"/>
              <w:jc w:val="both"/>
            </w:pPr>
          </w:p>
        </w:tc>
      </w:tr>
      <w:tr>
        <w:tc>
          <w:tcPr>
            <w:tcW w:type="dxa" w:w="7408"/>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4.结果应用：考核结果达到合格及以上等级，按合同约定支付当期服务费；考核结果为基本合格等级的，扣减当期服务费的3%；考核结果为不合格等级的，扣减当期服务费的5%。</w:t>
            </w:r>
          </w:p>
        </w:tc>
        <w:tc>
          <w:tcPr>
            <w:tcW w:type="dxa" w:w="8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80"/>
              <w:jc w:val="both"/>
            </w:pPr>
          </w:p>
        </w:tc>
      </w:tr>
    </w:tbl>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供应商须保证在本项目投标过程中所提供资料真实有效，若发现有伪造编制，弄虚作假骗取中标，采购人将取消中标资格，并将其不良行为上报有关行政主管部门。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商务评审 残疾人福利性单位声明函 技术评审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采购需求</w:t>
            </w:r>
          </w:p>
        </w:tc>
        <w:tc>
          <w:tcPr>
            <w:tcW w:type="dxa" w:w="3322"/>
          </w:tcPr>
          <w:p>
            <w:pPr>
              <w:pStyle w:val="null3"/>
              <w:jc w:val="left"/>
            </w:pPr>
            <w:r>
              <w:rPr>
                <w:rFonts w:ascii="仿宋_GB2312" w:hAnsi="仿宋_GB2312" w:cs="仿宋_GB2312" w:eastAsia="仿宋_GB2312"/>
              </w:rPr>
              <w:t>满足采购需求中★的要求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管护工作方案</w:t>
            </w:r>
          </w:p>
        </w:tc>
        <w:tc>
          <w:tcPr>
            <w:tcW w:type="dxa" w:w="2492"/>
          </w:tcPr>
          <w:p>
            <w:pPr>
              <w:pStyle w:val="null3"/>
              <w:jc w:val="both"/>
            </w:pPr>
            <w:r>
              <w:rPr>
                <w:rFonts w:ascii="仿宋_GB2312" w:hAnsi="仿宋_GB2312" w:cs="仿宋_GB2312" w:eastAsia="仿宋_GB2312"/>
              </w:rPr>
              <w:t>内容包含但不限于：①项目的管护;②检查;③修理等进行综合分析评比：方案涵盖上述所有内容满足采购需求的得9分；方案每缺少一项上述内容，扣3分；每有一项方案存在一处缺陷扣2分，扣完为止。注：内容缺陷指不满足本项目采购需求，存在不适用本项目实际情况的情形（与项目实际不匹配、不符合项目特点）、凭空捏造、逻辑漏洞、科学原理错误及不可实现的夸大情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tcPr>
          <w:p/>
        </w:tc>
        <w:tc>
          <w:tcPr>
            <w:tcW w:type="dxa" w:w="1661"/>
          </w:tcPr>
          <w:p>
            <w:pPr>
              <w:pStyle w:val="null3"/>
              <w:jc w:val="both"/>
            </w:pPr>
            <w:r>
              <w:rPr>
                <w:rFonts w:ascii="仿宋_GB2312" w:hAnsi="仿宋_GB2312" w:cs="仿宋_GB2312" w:eastAsia="仿宋_GB2312"/>
              </w:rPr>
              <w:t>安全、质量管理和保障措施</w:t>
            </w:r>
          </w:p>
        </w:tc>
        <w:tc>
          <w:tcPr>
            <w:tcW w:type="dxa" w:w="2492"/>
          </w:tcPr>
          <w:p>
            <w:pPr>
              <w:pStyle w:val="null3"/>
              <w:jc w:val="both"/>
            </w:pPr>
            <w:r>
              <w:rPr>
                <w:rFonts w:ascii="仿宋_GB2312" w:hAnsi="仿宋_GB2312" w:cs="仿宋_GB2312" w:eastAsia="仿宋_GB2312"/>
              </w:rPr>
              <w:t>内容包含但不限于：①安全管理制度;②安全保障措施;③质量管理制度;④质量保障措施等进行综合分析评比：方案涵盖上述所有内容满足采购需求的得8分；方案每缺少一项上述内容，扣2分；每有一项方案存在一处缺陷扣1分，扣完为止。注：内容缺陷指不满足本项目采购需求，存在不适用本项目实际情况的情形（与项目实际不匹配、不符合项目特点）、凭空捏造、逻辑漏洞、科学原理错误及不可实现的夸大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tcPr>
          <w:p/>
        </w:tc>
        <w:tc>
          <w:tcPr>
            <w:tcW w:type="dxa" w:w="1661"/>
          </w:tcPr>
          <w:p>
            <w:pPr>
              <w:pStyle w:val="null3"/>
              <w:jc w:val="both"/>
            </w:pPr>
            <w:r>
              <w:rPr>
                <w:rFonts w:ascii="仿宋_GB2312" w:hAnsi="仿宋_GB2312" w:cs="仿宋_GB2312" w:eastAsia="仿宋_GB2312"/>
              </w:rPr>
              <w:t>人员操作规范及工作制度</w:t>
            </w:r>
          </w:p>
        </w:tc>
        <w:tc>
          <w:tcPr>
            <w:tcW w:type="dxa" w:w="2492"/>
          </w:tcPr>
          <w:p>
            <w:pPr>
              <w:pStyle w:val="null3"/>
              <w:jc w:val="both"/>
            </w:pPr>
            <w:r>
              <w:rPr>
                <w:rFonts w:ascii="仿宋_GB2312" w:hAnsi="仿宋_GB2312" w:cs="仿宋_GB2312" w:eastAsia="仿宋_GB2312"/>
              </w:rPr>
              <w:t>内容包含但不限于：①人员操作规范;②专业培训人员配备;③人员培训制度等进行综合分析评比：方案涵盖上述所有内容满足采购需求的得9分；方案每缺少一项上述内容，扣3分；每有一项方案存在一处缺陷扣1分，扣完为止。注：内容缺陷指不满足本项目采购需求，存在不适用本项目实际情况的情形（与项目实际不匹配、不符合项目特点）、凭空捏造、逻辑漏洞、科学原理错误及不可实现的夸大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tcPr>
          <w:p/>
        </w:tc>
        <w:tc>
          <w:tcPr>
            <w:tcW w:type="dxa" w:w="1661"/>
          </w:tcPr>
          <w:p>
            <w:pPr>
              <w:pStyle w:val="null3"/>
              <w:jc w:val="both"/>
            </w:pPr>
            <w:r>
              <w:rPr>
                <w:rFonts w:ascii="仿宋_GB2312" w:hAnsi="仿宋_GB2312" w:cs="仿宋_GB2312" w:eastAsia="仿宋_GB2312"/>
              </w:rPr>
              <w:t>项目拟派的团队</w:t>
            </w:r>
          </w:p>
        </w:tc>
        <w:tc>
          <w:tcPr>
            <w:tcW w:type="dxa" w:w="2492"/>
          </w:tcPr>
          <w:p>
            <w:pPr>
              <w:pStyle w:val="null3"/>
              <w:jc w:val="both"/>
            </w:pPr>
            <w:r>
              <w:rPr>
                <w:rFonts w:ascii="仿宋_GB2312" w:hAnsi="仿宋_GB2312" w:cs="仿宋_GB2312" w:eastAsia="仿宋_GB2312"/>
              </w:rPr>
              <w:t>内容包含但不限于：①人员进场计划安排;②人员分工制度;③人员流动管理制度等进行综合分析评比：方案涵盖上述所有内容满足采购需求的得9分；方案每缺少一项上述内容，扣3分；每有一项方案存在一处缺陷扣2分，扣完为止。注：内容缺陷指不满足本项目采购需求，存在不适用本项目实际情况的情形（与项目实际不匹配、不符合项目特点）、凭空捏造、逻辑漏洞、科学原理错误及不可实现的夸大情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内容包含但不限于：①售后响应时间;②应急措施;③应急人员安排等进行综合分析评比：方案涵盖上述所有内容满足采购需求的得9分；方案每缺少一项上述内容，扣3分；每有一项方案存在一处缺陷扣1分，扣完为止。注：内容缺陷指不满足本项目采购需求，存在不适用本项目实际情况的情形（与项目实际不匹配、不符合项目特点）、凭空捏造、逻辑漏洞、科学原理错误及不可实现的夸大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投标人自2022年1月1日（合同以签订时间为准）承接过水利工程管理服务、公共设施管理服务、工程管理服务等服务业绩等，每个业绩4分，满分12分。 证明材料：提供合同关键页复印件加盖公章。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商务评审</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拟投入的项目负责人具有人力资源管理师三级职称证书或具有经济师（人力资源）中级职称证书，得3分；具有人力资源管理师二级（含以上）职称证书或具有经济师（人力资源）高级职称证书，得6分。本小项满分6分。 证明材料:①提供身份证、学历证、职称证等材料复印件并加盖公章;②提供2025年01月至今任意1个月的社保缴纳证明材料或劳动合同加盖公章。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商务评审</w:t>
            </w:r>
          </w:p>
        </w:tc>
      </w:tr>
      <w:tr>
        <w:tc>
          <w:tcPr>
            <w:tcW w:type="dxa" w:w="831"/>
            <w:vMerge/>
          </w:tcPr>
          <w:p/>
        </w:tc>
        <w:tc>
          <w:tcPr>
            <w:tcW w:type="dxa" w:w="1661"/>
          </w:tcPr>
          <w:p>
            <w:pPr>
              <w:pStyle w:val="null3"/>
              <w:jc w:val="both"/>
            </w:pPr>
            <w:r>
              <w:rPr>
                <w:rFonts w:ascii="仿宋_GB2312" w:hAnsi="仿宋_GB2312" w:cs="仿宋_GB2312" w:eastAsia="仿宋_GB2312"/>
              </w:rPr>
              <w:t>现场管理负责人</w:t>
            </w:r>
          </w:p>
        </w:tc>
        <w:tc>
          <w:tcPr>
            <w:tcW w:type="dxa" w:w="2492"/>
          </w:tcPr>
          <w:p>
            <w:pPr>
              <w:pStyle w:val="null3"/>
              <w:jc w:val="both"/>
            </w:pPr>
            <w:r>
              <w:rPr>
                <w:rFonts w:ascii="仿宋_GB2312" w:hAnsi="仿宋_GB2312" w:cs="仿宋_GB2312" w:eastAsia="仿宋_GB2312"/>
              </w:rPr>
              <w:t>拟投入的现场管理负责人具有人力资源管理师四级职称证书或具有经济师（人力资源）初级职称证书，得3分，具有人力资源管理师三级（含以上）职称证书或具有经济师（人力资源）中级职称证书，得6分。本小项满分6分。 证明材料:①提供身份证、学历证、职称证等材料复印件并加盖公章;②提供2025年01月至今任意1个月的社保缴纳证明材料或劳动合同加盖公章。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商务评审</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[HNZZ]20250900002[GK]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大广坝灌区水利工程运行管护服务（2025.10-2026.9）</w:t>
      </w:r>
    </w:p>
    <w:p>
      <w:pPr>
        <w:pStyle w:val="null3"/>
        <w:jc w:val="left"/>
      </w:pPr>
      <w:r>
        <w:rPr>
          <w:rFonts w:ascii="仿宋_GB2312" w:hAnsi="仿宋_GB2312" w:cs="仿宋_GB2312" w:eastAsia="仿宋_GB2312"/>
        </w:rPr>
        <w:t>采购包：</w:t>
      </w:r>
      <w:r>
        <w:rPr>
          <w:rFonts w:ascii="仿宋_GB2312" w:hAnsi="仿宋_GB2312" w:cs="仿宋_GB2312" w:eastAsia="仿宋_GB2312"/>
        </w:rPr>
        <w:t>大广坝灌区水利工程运行管护服务（2025.10-2026.9）采购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C12990000-其他水利管理服务</w:t>
            </w:r>
          </w:p>
        </w:tc>
        <w:tc>
          <w:tcPr>
            <w:tcW w:type="dxa" w:w="1038"/>
          </w:tcPr>
          <w:p>
            <w:pPr>
              <w:pStyle w:val="null3"/>
              <w:jc w:val="left"/>
            </w:pPr>
            <w:r>
              <w:rPr>
                <w:rFonts w:ascii="仿宋_GB2312" w:hAnsi="仿宋_GB2312" w:cs="仿宋_GB2312" w:eastAsia="仿宋_GB2312"/>
              </w:rPr>
              <w:t xml:space="preserve"> 1.00元/年</w:t>
            </w:r>
          </w:p>
        </w:tc>
        <w:tc>
          <w:tcPr>
            <w:tcW w:type="dxa" w:w="1038"/>
          </w:tcPr>
          <w:p>
            <w:pPr>
              <w:pStyle w:val="null3"/>
              <w:jc w:val="left"/>
            </w:pPr>
            <w:r>
              <w:rPr>
                <w:rFonts w:ascii="仿宋_GB2312" w:hAnsi="仿宋_GB2312" w:cs="仿宋_GB2312" w:eastAsia="仿宋_GB2312"/>
              </w:rPr>
              <w:t xml:space="preserve"> 7190800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详见附件：商务评审</w:t>
      </w:r>
    </w:p>
    <w:p>
      <w:pPr>
        <w:pStyle w:val="null3"/>
        <w:ind w:firstLine="960"/>
        <w:jc w:val="left"/>
      </w:pPr>
      <w:r>
        <w:rPr>
          <w:rFonts w:ascii="仿宋_GB2312" w:hAnsi="仿宋_GB2312" w:cs="仿宋_GB2312" w:eastAsia="仿宋_GB2312"/>
        </w:rPr>
        <w:t>详见附件：技术评审</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