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IT基础设备购置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HCZB-2025-ZB1360</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海南医科大学第一附属医院</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华采招标集团有限公司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海南医科大学第一附属医院</w:t>
      </w:r>
      <w:r>
        <w:rPr>
          <w:rFonts w:ascii="仿宋_GB2312" w:hAnsi="仿宋_GB2312" w:cs="仿宋_GB2312" w:eastAsia="仿宋_GB2312"/>
        </w:rPr>
        <w:t xml:space="preserve"> 委托， </w:t>
      </w:r>
      <w:r>
        <w:rPr>
          <w:rFonts w:ascii="仿宋_GB2312" w:hAnsi="仿宋_GB2312" w:cs="仿宋_GB2312" w:eastAsia="仿宋_GB2312"/>
        </w:rPr>
        <w:t>华采招标集团有限公司</w:t>
      </w:r>
      <w:r>
        <w:rPr>
          <w:rFonts w:ascii="仿宋_GB2312" w:hAnsi="仿宋_GB2312" w:cs="仿宋_GB2312" w:eastAsia="仿宋_GB2312"/>
        </w:rPr>
        <w:t xml:space="preserve"> 对 </w:t>
      </w:r>
      <w:r>
        <w:rPr>
          <w:rFonts w:ascii="仿宋_GB2312" w:hAnsi="仿宋_GB2312" w:cs="仿宋_GB2312" w:eastAsia="仿宋_GB2312"/>
        </w:rPr>
        <w:t>IT基础设备购置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HCZB-2025-ZB1360</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IT基础设备购置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3,071,375.00元</w:t>
      </w:r>
      <w:r>
        <w:rPr>
          <w:rFonts w:ascii="仿宋_GB2312" w:hAnsi="仿宋_GB2312" w:cs="仿宋_GB2312" w:eastAsia="仿宋_GB2312"/>
        </w:rPr>
        <w:t>叁佰零柒万壹仟叁佰柒拾伍元整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合同签订后45天内交货且安装调试完毕交付使用</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1、环保类行政处罚记录：参加政府采购活动前三年内，在经营活动中没有环保类行政处罚记录，提供承诺函【投标人注册成立时间不足三年的，从注册时间起算，加盖公章】；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1、请投标人（供应商）自行在海南省政府采购智慧云平台-办事指南查看相应的系统操作指南，严格按照操作指南要求进行系统操作。 技术支持电话：4001691288。 本项目需使用蓝色CA锁，CA数字证书认证咨询电话：0898-66668096。 2、投标人须在海南政府采购网 (https://ccgp-hainan.gov.cn/maincms-web/)中的海南省政府采购智慧云平台进行注册并完善信息，然后下载参与投标项 目电子招标文件（数据包）及其他文件；3、电子标（招标文件数据包后缀名.wtbwj）:必须使用投标工具（帮助中心下载） 制作电子版的投标文件，并使用数字证书（https://www.yuque.com/haonan123/bzzx /ugmn1f）进行签字和加密，投标 截至时间前，必须登录系统上传加密的电子投标文件（后缀名. wenc）,开标前必须进入电子开标大厅在线签到（未签到视为 无效投标）； 4、非电子标：按照招标文件要求进行线下办理投标业务； 注意事项：电子标采用全程电子化操作，供应商应 详细阅读海南政府采购网的通知《海南省财政厅关于进一步推进政府采购全流程电子化的通知》，供应商使用交易系统遇到问 题可致电技术支持：4001691288。</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海南医科大学第一附属医院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海南省海口市龙华区龙华路31号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胡静月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0898-66713010</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华采招标集团有限公司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北京市丰台区广安路9号院6号楼1518室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贾东敏、 吴坤祥、施晨、林嘉嘉、符绩顺</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0898-65392579</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采购包1：3,071,375.00元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提交投标文件的截止之日起不少于90天。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代理服务费收费标准：本项目招标代理服务费参照“计价格【2002】1980 号”之规定由中标人支付。中标供应商应在中标公告发布之日起3个工作日内，向招标代理机构缴纳招标代理服务费。 单位名称：华采招标集团有限公司海南分公司， 开户银行：中国农业银行海口科技支行， 银行帐号：21164001040015455。</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16.1、投标保证金将被没收的情形：①投标人在投标文件中提供虚假材料的；②投标人在投标活动中有违反法律、违反政策规定行为的； 16.2、履约保证金将被没收：①中标人擅自转包、转让的；②中标人在投标活动中有违反法律、违反政策规定行为的；③采购合同规定的其他情形。 16.3、投标无效情形：①如投标人在非开标现场上传的电子标书的IP地址相同，则IP地址相同的投标按无效标处理。②如投标人提交的投标文件为虚假材料的，按无效标处理。 16.4述标和/或产（样）品演（展）示：无 16.5是否接受进口产品投标：详见采购文件第三章“采购需求” 16.6采购需求：（1）采购需求（参考配置及技术要求为定制产品除外） 本项目所有产品均不接受定制产品投标，否则将作为无效投标处理。（2）采购标的物需按照国家相关标准、行业标准、地方标准或者其他标准、规范执行。 16.7委托代表人的资格条件：投标时须提供法定代表人授权委托书和被授权人身份证复印件。 16.8委托代表人的代理权限：委托代表人只能代表委托人处置投标活动中的一般事务。提出质疑、投诉等特殊事项，必须经法定代表人特别授权。 16.9是否允许选择性报价：不接受选择性报价 16.10本项目所属行业：根据《统计上大中小微型企业划分办法（2017）》，本项目所属行业为制造业。 16.11评标委员会的组建：（1）评标委员会由采购人代表和评审专家共5人以上单数组成，其中评审专家人数不少于成员总数的2/3（采购人有权根据项目和本单位实际情况决定是否委派采购人代表参与评审）。（2）评审专家从：海南省公共资源交易综合评标评审专家库中随机抽取。 16.12充分、公平竞争保障措施：提供相同品牌产品处理：（1） 采用最低评标价法的采购项目。 提供相同品牌产品的不同投标人参加同一合同项下投标的，以其中通过资格审查、符性审查且报价最低的参加评标；报价相同的，由评标委员会采取随机抽取方式确定一个投标人获得中标人推荐资格，其他同品牌投标人不作为中标候选人。（2）采用综合评分法的采购项目。提供相同品牌产品且通过资格审查、符合性审查的不同投标人参加同一合同项下投标的，按一家投标人计算，评审后得分最高的同品牌投标人获得中标人推荐资格；评审得分相同的，投标报价最低的投标人获得中标人推荐资格；评审得分和投标报价相同的，技术评审得分最高的投标人获得中标人推荐资格；评审得分、投标报价和技术评审得分相同的，由评标委员会采取随机抽取方式确定一个投标人获得中标人推荐资格，其他同品牌投标人不作为中标候选人。 非单一产品采购项目，采购人应当根据采购项目技术构成、产品价格比重等合理确定核心产品，并在招标文件中载明。多家投标人提供的核心产品品牌相同的，按前两款规定处理。因字数受限，请在第三章采购需求中的“四、其他事项”继续查看或下载附件中的须知前附表完整查看。 备注：如有招标文件因系统自动转换为PDF版本与WORD版招标文件不一致时，以发布的WORD版招标文件内容为准。</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联系人：贾东敏、吴坤祥、施晨、林嘉嘉、符绩顺</w:t>
      </w:r>
    </w:p>
    <w:p>
      <w:pPr>
        <w:pStyle w:val="null3"/>
        <w:jc w:val="left"/>
      </w:pPr>
      <w:r>
        <w:rPr>
          <w:rFonts w:ascii="仿宋_GB2312" w:hAnsi="仿宋_GB2312" w:cs="仿宋_GB2312" w:eastAsia="仿宋_GB2312"/>
        </w:rPr>
        <w:t>联系电话：0898-65392579</w:t>
      </w:r>
    </w:p>
    <w:p>
      <w:pPr>
        <w:pStyle w:val="null3"/>
        <w:jc w:val="left"/>
      </w:pPr>
      <w:r>
        <w:rPr>
          <w:rFonts w:ascii="仿宋_GB2312" w:hAnsi="仿宋_GB2312" w:cs="仿宋_GB2312" w:eastAsia="仿宋_GB2312"/>
        </w:rPr>
        <w:t>地址：海南省海口市龙华区金宇街道金濂路1-3号绿地领海广场10号楼9层906室</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outlineLvl w:val="1"/>
      </w:pPr>
      <w:r>
        <w:rPr>
          <w:rFonts w:ascii="仿宋_GB2312" w:hAnsi="仿宋_GB2312" w:cs="仿宋_GB2312" w:eastAsia="仿宋_GB2312"/>
          <w:sz w:val="28"/>
          <w:b/>
        </w:rPr>
        <w:t>（一</w:t>
      </w:r>
      <w:r>
        <w:rPr>
          <w:rFonts w:ascii="仿宋_GB2312" w:hAnsi="仿宋_GB2312" w:cs="仿宋_GB2312" w:eastAsia="仿宋_GB2312"/>
          <w:sz w:val="28"/>
          <w:b/>
        </w:rPr>
        <w:t>）</w:t>
      </w:r>
      <w:r>
        <w:rPr>
          <w:rFonts w:ascii="仿宋_GB2312" w:hAnsi="仿宋_GB2312" w:cs="仿宋_GB2312" w:eastAsia="仿宋_GB2312"/>
          <w:sz w:val="28"/>
          <w:b/>
        </w:rPr>
        <w:t>、</w:t>
      </w:r>
      <w:r>
        <w:rPr>
          <w:rFonts w:ascii="仿宋_GB2312" w:hAnsi="仿宋_GB2312" w:cs="仿宋_GB2312" w:eastAsia="仿宋_GB2312"/>
          <w:sz w:val="28"/>
          <w:b/>
        </w:rPr>
        <w:t>采购需求一览表</w:t>
      </w:r>
    </w:p>
    <w:tbl>
      <w:tblPr>
        <w:tblW w:w="0" w:type="auto"/>
        <w:tblBorders>
          <w:top w:val="none" w:color="000000" w:sz="4"/>
          <w:left w:val="none" w:color="000000" w:sz="4"/>
          <w:bottom w:val="none" w:color="000000" w:sz="4"/>
          <w:right w:val="none" w:color="000000" w:sz="4"/>
          <w:insideH w:val="none"/>
          <w:insideV w:val="none"/>
        </w:tblBorders>
      </w:tblPr>
      <w:tblGrid>
        <w:gridCol w:w="1038"/>
        <w:gridCol w:w="1038"/>
        <w:gridCol w:w="1038"/>
        <w:gridCol w:w="1038"/>
        <w:gridCol w:w="1038"/>
        <w:gridCol w:w="1038"/>
        <w:gridCol w:w="1038"/>
        <w:gridCol w:w="1038"/>
      </w:tblGrid>
      <w:tr>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采购品目名称</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预算单价</w:t>
            </w:r>
          </w:p>
          <w:p>
            <w:pPr>
              <w:pStyle w:val="null3"/>
              <w:jc w:val="center"/>
            </w:pPr>
            <w:r>
              <w:rPr>
                <w:rFonts w:ascii="仿宋_GB2312" w:hAnsi="仿宋_GB2312" w:cs="仿宋_GB2312" w:eastAsia="仿宋_GB2312"/>
                <w:sz w:val="21"/>
              </w:rPr>
              <w:t>（单价限价）（元）</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总价（元）</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是否允许进口产品投标</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是否核心产品</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四路</w:t>
            </w:r>
            <w:r>
              <w:rPr>
                <w:rFonts w:ascii="仿宋_GB2312" w:hAnsi="仿宋_GB2312" w:cs="仿宋_GB2312" w:eastAsia="仿宋_GB2312"/>
                <w:sz w:val="21"/>
                <w:color w:val="000000"/>
              </w:rPr>
              <w:t>X86服务器</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170985</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170985</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集中式存储扩容</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108500</w:t>
            </w:r>
            <w:r>
              <w:rPr>
                <w:rFonts w:ascii="仿宋_GB2312" w:hAnsi="仿宋_GB2312" w:cs="仿宋_GB2312" w:eastAsia="仿宋_GB2312"/>
                <w:sz w:val="21"/>
              </w:rPr>
              <w:t>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108500</w:t>
            </w:r>
            <w:r>
              <w:rPr>
                <w:rFonts w:ascii="仿宋_GB2312" w:hAnsi="仿宋_GB2312" w:cs="仿宋_GB2312" w:eastAsia="仿宋_GB2312"/>
                <w:sz w:val="21"/>
              </w:rPr>
              <w:t>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光纤交换机</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102900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411600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超融</w:t>
            </w:r>
            <w:r>
              <w:rPr>
                <w:rFonts w:ascii="仿宋_GB2312" w:hAnsi="仿宋_GB2312" w:cs="仿宋_GB2312" w:eastAsia="仿宋_GB2312"/>
                <w:sz w:val="21"/>
                <w:color w:val="000000"/>
              </w:rPr>
              <w:t>合服务器</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176700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530100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服务器交换机</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122000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存储交换机</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管理交换机</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内存扩容</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162400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162400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分布式存储</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166430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499290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b/>
        </w:rPr>
        <w:t>注：投标人报价如超过此单价限价的，将作为无效投标处理。</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3,071,375.00</w:t>
      </w:r>
    </w:p>
    <w:p>
      <w:pPr>
        <w:pStyle w:val="null3"/>
        <w:jc w:val="left"/>
      </w:pPr>
      <w:r>
        <w:rPr>
          <w:rFonts w:ascii="仿宋_GB2312" w:hAnsi="仿宋_GB2312" w:cs="仿宋_GB2312" w:eastAsia="仿宋_GB2312"/>
        </w:rPr>
        <w:t>采购包最高限价（元）: 3,071,375.00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四路X86服务器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170,985.00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集中式存储扩容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1,085,000.00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光纤交换机</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411,600.00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超融合服务器</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530,100.00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服务器交换机</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122,000.00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6</w:t>
            </w:r>
          </w:p>
        </w:tc>
        <w:tc>
          <w:tcPr>
            <w:tcW w:type="dxa" w:w="831"/>
          </w:tcPr>
          <w:p>
            <w:pPr>
              <w:pStyle w:val="null3"/>
              <w:jc w:val="left"/>
            </w:pPr>
            <w:r>
              <w:rPr>
                <w:rFonts w:ascii="仿宋_GB2312" w:hAnsi="仿宋_GB2312" w:cs="仿宋_GB2312" w:eastAsia="仿宋_GB2312"/>
              </w:rPr>
              <w:t>存储交换机</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7</w:t>
            </w:r>
          </w:p>
        </w:tc>
        <w:tc>
          <w:tcPr>
            <w:tcW w:type="dxa" w:w="831"/>
          </w:tcPr>
          <w:p>
            <w:pPr>
              <w:pStyle w:val="null3"/>
              <w:jc w:val="left"/>
            </w:pPr>
            <w:r>
              <w:rPr>
                <w:rFonts w:ascii="仿宋_GB2312" w:hAnsi="仿宋_GB2312" w:cs="仿宋_GB2312" w:eastAsia="仿宋_GB2312"/>
              </w:rPr>
              <w:t>管理交换机</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8</w:t>
            </w:r>
          </w:p>
        </w:tc>
        <w:tc>
          <w:tcPr>
            <w:tcW w:type="dxa" w:w="831"/>
          </w:tcPr>
          <w:p>
            <w:pPr>
              <w:pStyle w:val="null3"/>
              <w:jc w:val="left"/>
            </w:pPr>
            <w:r>
              <w:rPr>
                <w:rFonts w:ascii="仿宋_GB2312" w:hAnsi="仿宋_GB2312" w:cs="仿宋_GB2312" w:eastAsia="仿宋_GB2312"/>
              </w:rPr>
              <w:t>内存扩容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162,400.00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9</w:t>
            </w:r>
          </w:p>
        </w:tc>
        <w:tc>
          <w:tcPr>
            <w:tcW w:type="dxa" w:w="831"/>
          </w:tcPr>
          <w:p>
            <w:pPr>
              <w:pStyle w:val="null3"/>
              <w:jc w:val="left"/>
            </w:pPr>
            <w:r>
              <w:rPr>
                <w:rFonts w:ascii="仿宋_GB2312" w:hAnsi="仿宋_GB2312" w:cs="仿宋_GB2312" w:eastAsia="仿宋_GB2312"/>
              </w:rPr>
              <w:t>分布式储存</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499,290.00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四路X86服务器</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170,985.00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集中式存储扩容</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1,085,000.00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光纤交换机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411,600.00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超融合服务器</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530,100.00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服务器交换机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存储交换机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管理交换机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w:t>
            </w:r>
          </w:p>
        </w:tc>
        <w:tc>
          <w:tcPr>
            <w:tcW w:type="dxa" w:w="3046"/>
          </w:tcPr>
          <w:p>
            <w:pPr>
              <w:pStyle w:val="null3"/>
              <w:jc w:val="left"/>
            </w:pPr>
            <w:r>
              <w:rPr>
                <w:rFonts w:ascii="仿宋_GB2312" w:hAnsi="仿宋_GB2312" w:cs="仿宋_GB2312" w:eastAsia="仿宋_GB2312"/>
              </w:rPr>
              <w:t>内存扩容</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162,400.00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w:t>
            </w:r>
          </w:p>
        </w:tc>
        <w:tc>
          <w:tcPr>
            <w:tcW w:type="dxa" w:w="3046"/>
          </w:tcPr>
          <w:p>
            <w:pPr>
              <w:pStyle w:val="null3"/>
              <w:jc w:val="left"/>
            </w:pPr>
            <w:r>
              <w:rPr>
                <w:rFonts w:ascii="仿宋_GB2312" w:hAnsi="仿宋_GB2312" w:cs="仿宋_GB2312" w:eastAsia="仿宋_GB2312"/>
              </w:rPr>
              <w:t>分布式储存</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499,290.00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标的名称：四路X86服务器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具体参数性质、技术参数与性能指标详见附件</w:t>
            </w:r>
            <w:r>
              <w:rPr>
                <w:rFonts w:ascii="仿宋_GB2312" w:hAnsi="仿宋_GB2312" w:cs="仿宋_GB2312" w:eastAsia="仿宋_GB2312"/>
                <w:sz w:val="21"/>
              </w:rPr>
              <w:t>-《第三章采购需求-二、技术参数、规格及要求》</w:t>
            </w:r>
          </w:p>
        </w:tc>
      </w:tr>
    </w:tbl>
    <w:p>
      <w:pPr>
        <w:pStyle w:val="null3"/>
        <w:jc w:val="left"/>
      </w:pPr>
      <w:r>
        <w:rPr>
          <w:rFonts w:ascii="仿宋_GB2312" w:hAnsi="仿宋_GB2312" w:cs="仿宋_GB2312" w:eastAsia="仿宋_GB2312"/>
        </w:rPr>
        <w:t>标的名称：集中式存储扩容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具体参数性质、技术参数与性能指标详见附件</w:t>
            </w:r>
            <w:r>
              <w:rPr>
                <w:rFonts w:ascii="仿宋_GB2312" w:hAnsi="仿宋_GB2312" w:cs="仿宋_GB2312" w:eastAsia="仿宋_GB2312"/>
                <w:sz w:val="21"/>
              </w:rPr>
              <w:t>-《第三章采购需求-二、技术参数、规格及要求》</w:t>
            </w:r>
          </w:p>
        </w:tc>
      </w:tr>
    </w:tbl>
    <w:p>
      <w:pPr>
        <w:pStyle w:val="null3"/>
        <w:jc w:val="left"/>
      </w:pPr>
      <w:r>
        <w:rPr>
          <w:rFonts w:ascii="仿宋_GB2312" w:hAnsi="仿宋_GB2312" w:cs="仿宋_GB2312" w:eastAsia="仿宋_GB2312"/>
        </w:rPr>
        <w:t>标的名称：光纤交换机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具体参数性质、技术参数与性能指标详见附件</w:t>
            </w:r>
            <w:r>
              <w:rPr>
                <w:rFonts w:ascii="仿宋_GB2312" w:hAnsi="仿宋_GB2312" w:cs="仿宋_GB2312" w:eastAsia="仿宋_GB2312"/>
                <w:sz w:val="21"/>
              </w:rPr>
              <w:t>-《第三章采购需求-二、技术参数、规格及要求》</w:t>
            </w:r>
          </w:p>
        </w:tc>
      </w:tr>
    </w:tbl>
    <w:p>
      <w:pPr>
        <w:pStyle w:val="null3"/>
        <w:jc w:val="left"/>
      </w:pPr>
      <w:r>
        <w:rPr>
          <w:rFonts w:ascii="仿宋_GB2312" w:hAnsi="仿宋_GB2312" w:cs="仿宋_GB2312" w:eastAsia="仿宋_GB2312"/>
        </w:rPr>
        <w:t>标的名称：超融合服务器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具体参数性质、技术参数与性能指标详见附件</w:t>
            </w:r>
            <w:r>
              <w:rPr>
                <w:rFonts w:ascii="仿宋_GB2312" w:hAnsi="仿宋_GB2312" w:cs="仿宋_GB2312" w:eastAsia="仿宋_GB2312"/>
                <w:sz w:val="21"/>
              </w:rPr>
              <w:t>-《第三章采购需求-二、技术参数、规格及要求》</w:t>
            </w:r>
          </w:p>
        </w:tc>
      </w:tr>
    </w:tbl>
    <w:p>
      <w:pPr>
        <w:pStyle w:val="null3"/>
        <w:jc w:val="left"/>
      </w:pPr>
      <w:r>
        <w:rPr>
          <w:rFonts w:ascii="仿宋_GB2312" w:hAnsi="仿宋_GB2312" w:cs="仿宋_GB2312" w:eastAsia="仿宋_GB2312"/>
        </w:rPr>
        <w:t>标的名称：服务器交换机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具体参数性质、技术参数与性能指标详见附件</w:t>
            </w:r>
            <w:r>
              <w:rPr>
                <w:rFonts w:ascii="仿宋_GB2312" w:hAnsi="仿宋_GB2312" w:cs="仿宋_GB2312" w:eastAsia="仿宋_GB2312"/>
                <w:sz w:val="21"/>
              </w:rPr>
              <w:t>-《第三章采购需求-二、技术参数、规格及要求》</w:t>
            </w:r>
          </w:p>
        </w:tc>
      </w:tr>
    </w:tbl>
    <w:p>
      <w:pPr>
        <w:pStyle w:val="null3"/>
        <w:jc w:val="left"/>
      </w:pPr>
      <w:r>
        <w:rPr>
          <w:rFonts w:ascii="仿宋_GB2312" w:hAnsi="仿宋_GB2312" w:cs="仿宋_GB2312" w:eastAsia="仿宋_GB2312"/>
        </w:rPr>
        <w:t>标的名称：存储交换机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具体参数性质、技术参数与性能指标详见附件</w:t>
            </w:r>
            <w:r>
              <w:rPr>
                <w:rFonts w:ascii="仿宋_GB2312" w:hAnsi="仿宋_GB2312" w:cs="仿宋_GB2312" w:eastAsia="仿宋_GB2312"/>
                <w:sz w:val="21"/>
              </w:rPr>
              <w:t>-《第三章采购需求-二、技术参数、规格及要求》</w:t>
            </w:r>
          </w:p>
        </w:tc>
      </w:tr>
    </w:tbl>
    <w:p>
      <w:pPr>
        <w:pStyle w:val="null3"/>
        <w:jc w:val="left"/>
      </w:pPr>
      <w:r>
        <w:rPr>
          <w:rFonts w:ascii="仿宋_GB2312" w:hAnsi="仿宋_GB2312" w:cs="仿宋_GB2312" w:eastAsia="仿宋_GB2312"/>
        </w:rPr>
        <w:t>标的名称：管理交换机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具体参数性质、技术参数与性能指标详见附件</w:t>
            </w:r>
            <w:r>
              <w:rPr>
                <w:rFonts w:ascii="仿宋_GB2312" w:hAnsi="仿宋_GB2312" w:cs="仿宋_GB2312" w:eastAsia="仿宋_GB2312"/>
                <w:sz w:val="21"/>
              </w:rPr>
              <w:t>-《第三章采购需求-二、技术参数、规格及要求》</w:t>
            </w:r>
          </w:p>
        </w:tc>
      </w:tr>
    </w:tbl>
    <w:p>
      <w:pPr>
        <w:pStyle w:val="null3"/>
        <w:jc w:val="left"/>
      </w:pPr>
      <w:r>
        <w:rPr>
          <w:rFonts w:ascii="仿宋_GB2312" w:hAnsi="仿宋_GB2312" w:cs="仿宋_GB2312" w:eastAsia="仿宋_GB2312"/>
        </w:rPr>
        <w:t>标的名称：内存扩容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具体参数性质、技术参数与性能指标详见附件</w:t>
            </w:r>
            <w:r>
              <w:rPr>
                <w:rFonts w:ascii="仿宋_GB2312" w:hAnsi="仿宋_GB2312" w:cs="仿宋_GB2312" w:eastAsia="仿宋_GB2312"/>
                <w:sz w:val="21"/>
              </w:rPr>
              <w:t>-《第三章采购需求-二、技术参数、规格及要求》</w:t>
            </w:r>
          </w:p>
        </w:tc>
      </w:tr>
    </w:tbl>
    <w:p>
      <w:pPr>
        <w:pStyle w:val="null3"/>
        <w:jc w:val="left"/>
      </w:pPr>
      <w:r>
        <w:rPr>
          <w:rFonts w:ascii="仿宋_GB2312" w:hAnsi="仿宋_GB2312" w:cs="仿宋_GB2312" w:eastAsia="仿宋_GB2312"/>
        </w:rPr>
        <w:t>标的名称：分布式储存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具体参数性质、技术参数与性能指标详见附件</w:t>
            </w:r>
            <w:r>
              <w:rPr>
                <w:rFonts w:ascii="仿宋_GB2312" w:hAnsi="仿宋_GB2312" w:cs="仿宋_GB2312" w:eastAsia="仿宋_GB2312"/>
                <w:sz w:val="21"/>
              </w:rPr>
              <w:t>-《第三章采购需求-二、技术参数、规格及要求》</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具体参数性质、技术参数与性能指标详见附件</w:t>
            </w:r>
            <w:r>
              <w:rPr>
                <w:rFonts w:ascii="仿宋_GB2312" w:hAnsi="仿宋_GB2312" w:cs="仿宋_GB2312" w:eastAsia="仿宋_GB2312"/>
                <w:sz w:val="21"/>
              </w:rPr>
              <w:t>-《第三章采购</w:t>
            </w:r>
            <w:r>
              <w:rPr>
                <w:rFonts w:ascii="仿宋_GB2312" w:hAnsi="仿宋_GB2312" w:cs="仿宋_GB2312" w:eastAsia="仿宋_GB2312"/>
                <w:sz w:val="21"/>
              </w:rPr>
              <w:t>需求-四、商务要求</w:t>
            </w:r>
            <w:r>
              <w:rPr>
                <w:rFonts w:ascii="仿宋_GB2312" w:hAnsi="仿宋_GB2312" w:cs="仿宋_GB2312" w:eastAsia="仿宋_GB2312"/>
                <w:sz w:val="21"/>
              </w:rPr>
              <w:t>》</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4"/>
          <w:b/>
        </w:rPr>
        <w:t>附件中合同模板：</w:t>
      </w:r>
    </w:p>
    <w:p>
      <w:pPr>
        <w:pStyle w:val="null3"/>
        <w:jc w:val="left"/>
      </w:pPr>
      <w:r>
        <w:rPr>
          <w:rFonts w:ascii="仿宋_GB2312" w:hAnsi="仿宋_GB2312" w:cs="仿宋_GB2312" w:eastAsia="仿宋_GB2312"/>
          <w:sz w:val="44"/>
        </w:rPr>
        <w:t>合同文本（本项目合同以此为准）</w:t>
      </w:r>
    </w:p>
    <w:tbl>
      <w:tblPr>
        <w:tblW w:w="0" w:type="auto"/>
        <w:tblBorders>
          <w:top w:val="none" w:color="000000" w:sz="4"/>
          <w:left w:val="none" w:color="000000" w:sz="4"/>
          <w:bottom w:val="none" w:color="000000" w:sz="4"/>
          <w:right w:val="none" w:color="000000" w:sz="4"/>
          <w:insideH w:val="none"/>
          <w:insideV w:val="none"/>
        </w:tblBorders>
      </w:tblPr>
      <w:tblGrid>
        <w:gridCol w:w="1118"/>
        <w:gridCol w:w="1527"/>
        <w:gridCol w:w="368"/>
        <w:gridCol w:w="1486"/>
        <w:gridCol w:w="1336"/>
        <w:gridCol w:w="1213"/>
        <w:gridCol w:w="722"/>
        <w:gridCol w:w="518"/>
      </w:tblGrid>
      <w:tr>
        <w:tc>
          <w:tcPr>
            <w:tcW w:type="dxa" w:w="3013"/>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ind w:firstLine="2052"/>
              <w:jc w:val="left"/>
            </w:pPr>
          </w:p>
        </w:tc>
        <w:tc>
          <w:tcPr>
            <w:tcW w:type="dxa" w:w="14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分类号</w:t>
            </w:r>
          </w:p>
          <w:p>
            <w:pPr>
              <w:pStyle w:val="null3"/>
              <w:jc w:val="left"/>
            </w:pPr>
            <w:r>
              <w:rPr>
                <w:rFonts w:ascii="仿宋_GB2312" w:hAnsi="仿宋_GB2312" w:cs="仿宋_GB2312" w:eastAsia="仿宋_GB2312"/>
                <w:sz w:val="19"/>
              </w:rPr>
              <w:t xml:space="preserve"> </w:t>
            </w:r>
          </w:p>
        </w:tc>
        <w:tc>
          <w:tcPr>
            <w:tcW w:type="dxa" w:w="1336"/>
            <w:tcBorders>
              <w:top w:val="none" w:color="000000" w:sz="4"/>
              <w:left w:val="none" w:color="000000" w:sz="4"/>
              <w:bottom w:val="dashed" w:color="000000" w:sz="4"/>
              <w:right w:val="none" w:color="000000" w:sz="4"/>
            </w:tcBorders>
            <w:tcMar>
              <w:top w:type="dxa" w:w="0"/>
              <w:left w:type="dxa" w:w="105"/>
              <w:bottom w:type="dxa" w:w="0"/>
              <w:right w:type="dxa" w:w="105"/>
            </w:tcMar>
            <w:vAlign w:val="bottom"/>
          </w:tcPr>
          <w:p>
            <w:pPr>
              <w:pStyle w:val="null3"/>
              <w:jc w:val="left"/>
            </w:pPr>
          </w:p>
        </w:tc>
        <w:tc>
          <w:tcPr>
            <w:tcW w:type="dxa" w:w="1213"/>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8"/>
              </w:rPr>
              <w:t>归</w:t>
            </w:r>
            <w:r>
              <w:rPr>
                <w:rFonts w:ascii="仿宋_GB2312" w:hAnsi="仿宋_GB2312" w:cs="仿宋_GB2312" w:eastAsia="仿宋_GB2312"/>
                <w:sz w:val="28"/>
              </w:rPr>
              <w:t>属</w:t>
            </w:r>
          </w:p>
        </w:tc>
        <w:tc>
          <w:tcPr>
            <w:tcW w:type="dxa" w:w="1240"/>
            <w:gridSpan w:val="2"/>
            <w:tcBorders>
              <w:top w:val="none" w:color="000000" w:sz="4"/>
              <w:left w:val="none" w:color="000000" w:sz="4"/>
              <w:bottom w:val="dashed" w:color="000000" w:sz="4"/>
              <w:right w:val="none" w:color="000000" w:sz="4"/>
            </w:tcBorders>
            <w:tcMar>
              <w:top w:type="dxa" w:w="0"/>
              <w:left w:type="dxa" w:w="105"/>
              <w:bottom w:type="dxa" w:w="0"/>
              <w:right w:type="dxa" w:w="105"/>
            </w:tcMar>
            <w:vAlign w:val="bottom"/>
          </w:tcPr>
          <w:p>
            <w:pPr>
              <w:pStyle w:val="null3"/>
              <w:jc w:val="left"/>
            </w:pPr>
          </w:p>
        </w:tc>
      </w:tr>
      <w:tr>
        <w:tc>
          <w:tcPr>
            <w:tcW w:type="dxa" w:w="3013"/>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tc>
        <w:tc>
          <w:tcPr>
            <w:tcW w:type="dxa" w:w="1486"/>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度</w:t>
            </w:r>
          </w:p>
        </w:tc>
        <w:tc>
          <w:tcPr>
            <w:tcW w:type="dxa" w:w="1336"/>
            <w:tcBorders>
              <w:top w:val="none" w:color="000000" w:sz="4"/>
              <w:left w:val="none" w:color="000000" w:sz="4"/>
              <w:bottom w:val="dashed"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8"/>
              </w:rPr>
              <w:t>2025</w:t>
            </w:r>
          </w:p>
        </w:tc>
        <w:tc>
          <w:tcPr>
            <w:tcW w:type="dxa" w:w="1213"/>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ind w:firstLine="280"/>
              <w:jc w:val="left"/>
            </w:pPr>
            <w:r>
              <w:rPr>
                <w:rFonts w:ascii="仿宋_GB2312" w:hAnsi="仿宋_GB2312" w:cs="仿宋_GB2312" w:eastAsia="仿宋_GB2312"/>
                <w:sz w:val="28"/>
              </w:rPr>
              <w:t>编</w:t>
            </w:r>
            <w:r>
              <w:rPr>
                <w:rFonts w:ascii="仿宋_GB2312" w:hAnsi="仿宋_GB2312" w:cs="仿宋_GB2312" w:eastAsia="仿宋_GB2312"/>
                <w:sz w:val="28"/>
              </w:rPr>
              <w:t>号</w:t>
            </w:r>
          </w:p>
        </w:tc>
        <w:tc>
          <w:tcPr>
            <w:tcW w:type="dxa" w:w="1240"/>
            <w:gridSpan w:val="2"/>
            <w:tcBorders>
              <w:top w:val="none" w:color="000000" w:sz="4"/>
              <w:left w:val="none" w:color="000000" w:sz="4"/>
              <w:bottom w:val="dashed" w:color="000000" w:sz="4"/>
              <w:right w:val="none" w:color="000000" w:sz="4"/>
            </w:tcBorders>
            <w:tcMar>
              <w:top w:type="dxa" w:w="0"/>
              <w:left w:type="dxa" w:w="105"/>
              <w:bottom w:type="dxa" w:w="0"/>
              <w:right w:type="dxa" w:w="105"/>
            </w:tcMar>
            <w:vAlign w:val="bottom"/>
          </w:tcPr>
          <w:p>
            <w:pPr>
              <w:pStyle w:val="null3"/>
              <w:jc w:val="left"/>
            </w:pPr>
          </w:p>
        </w:tc>
      </w:tr>
      <w:tr>
        <w:tc>
          <w:tcPr>
            <w:tcW w:type="dxa" w:w="8288"/>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288"/>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56"/>
                <w:b/>
                <w:color w:val="000000"/>
              </w:rPr>
              <w:t>海南医科大学第一附属医院</w:t>
            </w:r>
          </w:p>
        </w:tc>
      </w:tr>
      <w:tr>
        <w:tc>
          <w:tcPr>
            <w:tcW w:type="dxa" w:w="8288"/>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r>
      <w:tr>
        <w:tc>
          <w:tcPr>
            <w:tcW w:type="dxa" w:w="8288"/>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52"/>
                <w:b/>
              </w:rPr>
              <w:t>采购合同</w:t>
            </w:r>
          </w:p>
        </w:tc>
      </w:tr>
      <w:tr>
        <w:tc>
          <w:tcPr>
            <w:tcW w:type="dxa" w:w="1118"/>
            <w:vMerge w:val="restart"/>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15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项目名称：</w:t>
            </w:r>
          </w:p>
        </w:tc>
        <w:tc>
          <w:tcPr>
            <w:tcW w:type="dxa" w:w="5125"/>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518"/>
            <w:vMerge w:val="restart"/>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118"/>
            <w:vMerge/>
            <w:tcBorders>
              <w:top w:val="none" w:color="000000" w:sz="4"/>
              <w:left w:val="none" w:color="000000" w:sz="4"/>
              <w:bottom w:val="none" w:color="000000" w:sz="4"/>
              <w:right w:val="none" w:color="000000" w:sz="4"/>
            </w:tcBorders>
          </w:tcPr>
          <w:p/>
        </w:tc>
        <w:tc>
          <w:tcPr>
            <w:tcW w:type="dxa" w:w="15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供货单位：</w:t>
            </w:r>
          </w:p>
        </w:tc>
        <w:tc>
          <w:tcPr>
            <w:tcW w:type="dxa" w:w="5125"/>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1118"/>
            <w:vMerge/>
            <w:tcBorders>
              <w:top w:val="none" w:color="000000" w:sz="4"/>
              <w:left w:val="none" w:color="000000" w:sz="4"/>
              <w:bottom w:val="none" w:color="000000" w:sz="4"/>
              <w:right w:val="none" w:color="000000" w:sz="4"/>
            </w:tcBorders>
          </w:tcPr>
          <w:p/>
        </w:tc>
        <w:tc>
          <w:tcPr>
            <w:tcW w:type="dxa" w:w="15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单位地址：</w:t>
            </w:r>
          </w:p>
        </w:tc>
        <w:tc>
          <w:tcPr>
            <w:tcW w:type="dxa" w:w="5125"/>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288"/>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二〇二</w:t>
            </w:r>
            <w:r>
              <w:rPr>
                <w:rFonts w:ascii="仿宋_GB2312" w:hAnsi="仿宋_GB2312" w:cs="仿宋_GB2312" w:eastAsia="仿宋_GB2312"/>
                <w:sz w:val="32"/>
              </w:rPr>
              <w:t>五</w:t>
            </w:r>
            <w:r>
              <w:rPr>
                <w:rFonts w:ascii="仿宋_GB2312" w:hAnsi="仿宋_GB2312" w:cs="仿宋_GB2312" w:eastAsia="仿宋_GB2312"/>
                <w:sz w:val="32"/>
              </w:rPr>
              <w:t>年</w:t>
            </w:r>
            <w:r>
              <w:rPr>
                <w:rFonts w:ascii="仿宋_GB2312" w:hAnsi="仿宋_GB2312" w:cs="仿宋_GB2312" w:eastAsia="仿宋_GB2312"/>
                <w:sz w:val="19"/>
              </w:rPr>
              <w:t xml:space="preserve"> </w:t>
            </w:r>
            <w:r>
              <w:rPr>
                <w:rFonts w:ascii="仿宋_GB2312" w:hAnsi="仿宋_GB2312" w:cs="仿宋_GB2312" w:eastAsia="仿宋_GB2312"/>
                <w:sz w:val="32"/>
              </w:rPr>
              <w:t>月</w:t>
            </w:r>
          </w:p>
          <w:p>
            <w:pPr>
              <w:pStyle w:val="null3"/>
              <w:jc w:val="both"/>
              <w:outlineLvl w:val="0"/>
            </w:pPr>
            <w:r>
              <w:rPr>
                <w:rFonts w:ascii="仿宋_GB2312" w:hAnsi="仿宋_GB2312" w:cs="仿宋_GB2312" w:eastAsia="仿宋_GB2312"/>
                <w:sz w:val="52"/>
                <w:b/>
                <w:color w:val="366091"/>
              </w:rPr>
              <w:t>合同须知</w:t>
            </w:r>
          </w:p>
          <w:p>
            <w:pPr>
              <w:pStyle w:val="null3"/>
              <w:numPr>
                <w:ilvl w:val="0"/>
                <w:numId w:val="1"/>
              </w:numPr>
              <w:jc w:val="both"/>
            </w:pPr>
            <w:r>
              <w:rPr>
                <w:rFonts w:ascii="仿宋_GB2312" w:hAnsi="仿宋_GB2312" w:cs="仿宋_GB2312" w:eastAsia="仿宋_GB2312"/>
                <w:sz w:val="28"/>
                <w:b/>
              </w:rPr>
              <w:t>合同遵循不留空白的原则（无约定的空白处划</w:t>
            </w:r>
            <w:r>
              <w:rPr>
                <w:rFonts w:ascii="仿宋_GB2312" w:hAnsi="仿宋_GB2312" w:cs="仿宋_GB2312" w:eastAsia="仿宋_GB2312"/>
                <w:sz w:val="28"/>
                <w:b/>
              </w:rPr>
              <w:t>“/”）。</w:t>
            </w:r>
          </w:p>
          <w:p>
            <w:pPr>
              <w:pStyle w:val="null3"/>
              <w:numPr>
                <w:ilvl w:val="0"/>
                <w:numId w:val="1"/>
              </w:numPr>
              <w:jc w:val="both"/>
            </w:pPr>
            <w:r>
              <w:rPr>
                <w:rFonts w:ascii="仿宋_GB2312" w:hAnsi="仿宋_GB2312" w:cs="仿宋_GB2312" w:eastAsia="仿宋_GB2312"/>
                <w:sz w:val="28"/>
                <w:b/>
              </w:rPr>
              <w:t>产品价格按甲乙双方商定的最终价格规范填写，不允许乱写涂改。</w:t>
            </w:r>
          </w:p>
          <w:p>
            <w:pPr>
              <w:pStyle w:val="null3"/>
              <w:numPr>
                <w:ilvl w:val="0"/>
                <w:numId w:val="1"/>
              </w:numPr>
              <w:jc w:val="both"/>
            </w:pPr>
            <w:r>
              <w:rPr>
                <w:rFonts w:ascii="仿宋_GB2312" w:hAnsi="仿宋_GB2312" w:cs="仿宋_GB2312" w:eastAsia="仿宋_GB2312"/>
                <w:sz w:val="28"/>
                <w:b/>
              </w:rPr>
              <w:t>合同金额要同时规范填写大写和小写形式。</w:t>
            </w:r>
          </w:p>
          <w:p>
            <w:pPr>
              <w:pStyle w:val="null3"/>
              <w:numPr>
                <w:ilvl w:val="0"/>
                <w:numId w:val="1"/>
              </w:numPr>
              <w:jc w:val="both"/>
            </w:pPr>
            <w:r>
              <w:rPr>
                <w:rFonts w:ascii="仿宋_GB2312" w:hAnsi="仿宋_GB2312" w:cs="仿宋_GB2312" w:eastAsia="仿宋_GB2312"/>
                <w:sz w:val="28"/>
                <w:b/>
              </w:rPr>
              <w:t>合同正文尾页的法定代表人或委托代理人签字原则上为手签，信息填写完善后加盖公章。</w:t>
            </w:r>
          </w:p>
          <w:p>
            <w:pPr>
              <w:pStyle w:val="null3"/>
              <w:numPr>
                <w:ilvl w:val="0"/>
                <w:numId w:val="1"/>
              </w:numPr>
              <w:jc w:val="both"/>
            </w:pPr>
            <w:r>
              <w:rPr>
                <w:rFonts w:ascii="仿宋_GB2312" w:hAnsi="仿宋_GB2312" w:cs="仿宋_GB2312" w:eastAsia="仿宋_GB2312"/>
                <w:sz w:val="28"/>
                <w:b/>
              </w:rPr>
              <w:t>合同双面打印，加盖骑缝章。</w:t>
            </w:r>
          </w:p>
          <w:p>
            <w:pPr>
              <w:pStyle w:val="null3"/>
              <w:jc w:val="left"/>
              <w:outlineLvl w:val="1"/>
            </w:pPr>
            <w:r>
              <w:rPr>
                <w:rFonts w:ascii="仿宋_GB2312" w:hAnsi="仿宋_GB2312" w:cs="仿宋_GB2312" w:eastAsia="仿宋_GB2312"/>
                <w:sz w:val="36"/>
                <w:b/>
              </w:rPr>
              <w:t>海南医科大学第一附属医院</w:t>
            </w:r>
            <w:r>
              <w:rPr>
                <w:rFonts w:ascii="仿宋_GB2312" w:hAnsi="仿宋_GB2312" w:cs="仿宋_GB2312" w:eastAsia="仿宋_GB2312"/>
                <w:sz w:val="36"/>
                <w:b/>
              </w:rPr>
              <w:t>采购</w:t>
            </w:r>
            <w:r>
              <w:rPr>
                <w:rFonts w:ascii="仿宋_GB2312" w:hAnsi="仿宋_GB2312" w:cs="仿宋_GB2312" w:eastAsia="仿宋_GB2312"/>
                <w:sz w:val="36"/>
                <w:b/>
              </w:rPr>
              <w:t>合同</w:t>
            </w:r>
          </w:p>
          <w:tbl>
            <w:tblPr>
              <w:tblInd w:type="dxa" w:w="135"/>
              <w:tblBorders>
                <w:top w:val="none" w:color="000000" w:sz="4"/>
                <w:left w:val="none" w:color="000000" w:sz="4"/>
                <w:bottom w:val="none" w:color="000000" w:sz="4"/>
                <w:right w:val="none" w:color="000000" w:sz="4"/>
                <w:insideH w:val="none"/>
                <w:insideV w:val="none"/>
              </w:tblBorders>
            </w:tblPr>
            <w:tblGrid>
              <w:gridCol w:w="3909"/>
              <w:gridCol w:w="4151"/>
            </w:tblGrid>
            <w:tr>
              <w:tc>
                <w:tcPr>
                  <w:tcW w:type="dxa" w:w="39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甲方</w:t>
                  </w:r>
                  <w:r>
                    <w:rPr>
                      <w:rFonts w:ascii="仿宋_GB2312" w:hAnsi="仿宋_GB2312" w:cs="仿宋_GB2312" w:eastAsia="仿宋_GB2312"/>
                      <w:sz w:val="24"/>
                    </w:rPr>
                    <w:t>（采购人）</w:t>
                  </w:r>
                  <w:r>
                    <w:rPr>
                      <w:rFonts w:ascii="仿宋_GB2312" w:hAnsi="仿宋_GB2312" w:cs="仿宋_GB2312" w:eastAsia="仿宋_GB2312"/>
                      <w:sz w:val="24"/>
                    </w:rPr>
                    <w:t>：</w:t>
                  </w:r>
                  <w:r>
                    <w:rPr>
                      <w:rFonts w:ascii="仿宋_GB2312" w:hAnsi="仿宋_GB2312" w:cs="仿宋_GB2312" w:eastAsia="仿宋_GB2312"/>
                      <w:sz w:val="24"/>
                    </w:rPr>
                    <w:t>海南医科大学第一附属医院</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乙方（中标人）：</w:t>
                  </w:r>
                </w:p>
              </w:tc>
            </w:tr>
            <w:tr>
              <w:tc>
                <w:tcPr>
                  <w:tcW w:type="dxa" w:w="39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地址：海口市龙华路</w:t>
                  </w:r>
                  <w:r>
                    <w:rPr>
                      <w:rFonts w:ascii="仿宋_GB2312" w:hAnsi="仿宋_GB2312" w:cs="仿宋_GB2312" w:eastAsia="仿宋_GB2312"/>
                      <w:sz w:val="24"/>
                    </w:rPr>
                    <w:t>31号</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地址：</w:t>
                  </w:r>
                </w:p>
                <w:p>
                  <w:pPr>
                    <w:pStyle w:val="null3"/>
                    <w:jc w:val="both"/>
                  </w:pPr>
                  <w:r>
                    <w:rPr>
                      <w:rFonts w:ascii="仿宋_GB2312" w:hAnsi="仿宋_GB2312" w:cs="仿宋_GB2312" w:eastAsia="仿宋_GB2312"/>
                      <w:sz w:val="24"/>
                    </w:rPr>
                    <w:t>富民三期厂房</w:t>
                  </w:r>
                  <w:r>
                    <w:rPr>
                      <w:rFonts w:ascii="仿宋_GB2312" w:hAnsi="仿宋_GB2312" w:cs="仿宋_GB2312" w:eastAsia="仿宋_GB2312"/>
                      <w:sz w:val="24"/>
                    </w:rPr>
                    <w:t>3幢</w:t>
                  </w:r>
                </w:p>
                <w:p>
                  <w:pPr>
                    <w:pStyle w:val="null3"/>
                    <w:jc w:val="both"/>
                  </w:pPr>
                </w:p>
              </w:tc>
            </w:tr>
            <w:tr>
              <w:tc>
                <w:tcPr>
                  <w:tcW w:type="dxa" w:w="39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法定代表人：</w:t>
                  </w:r>
                  <w:r>
                    <w:rPr>
                      <w:rFonts w:ascii="仿宋_GB2312" w:hAnsi="仿宋_GB2312" w:cs="仿宋_GB2312" w:eastAsia="仿宋_GB2312"/>
                      <w:sz w:val="24"/>
                    </w:rPr>
                    <w:t>李琪</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法定代表人：</w:t>
                  </w:r>
                </w:p>
              </w:tc>
            </w:tr>
            <w:tr>
              <w:tc>
                <w:tcPr>
                  <w:tcW w:type="dxa" w:w="39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开户银行：兴业银行海口滨海支行</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开户银行：</w:t>
                  </w:r>
                </w:p>
              </w:tc>
            </w:tr>
            <w:tr>
              <w:tc>
                <w:tcPr>
                  <w:tcW w:type="dxa" w:w="39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账号：</w:t>
                  </w:r>
                  <w:r>
                    <w:rPr>
                      <w:rFonts w:ascii="仿宋_GB2312" w:hAnsi="仿宋_GB2312" w:cs="仿宋_GB2312" w:eastAsia="仿宋_GB2312"/>
                      <w:sz w:val="24"/>
                    </w:rPr>
                    <w:t>622020100100109943</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账号</w:t>
                  </w:r>
                  <w:r>
                    <w:rPr>
                      <w:rFonts w:ascii="仿宋_GB2312" w:hAnsi="仿宋_GB2312" w:cs="仿宋_GB2312" w:eastAsia="仿宋_GB2312"/>
                      <w:sz w:val="24"/>
                    </w:rPr>
                    <w:t>：</w:t>
                  </w:r>
                </w:p>
              </w:tc>
            </w:tr>
            <w:tr>
              <w:tc>
                <w:tcPr>
                  <w:tcW w:type="dxa" w:w="39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税号：</w:t>
                  </w:r>
                  <w:r>
                    <w:rPr>
                      <w:rFonts w:ascii="仿宋_GB2312" w:hAnsi="仿宋_GB2312" w:cs="仿宋_GB2312" w:eastAsia="仿宋_GB2312"/>
                      <w:sz w:val="24"/>
                    </w:rPr>
                    <w:t>12460000428201364</w:t>
                  </w:r>
                  <w:r>
                    <w:rPr>
                      <w:rFonts w:ascii="仿宋_GB2312" w:hAnsi="仿宋_GB2312" w:cs="仿宋_GB2312" w:eastAsia="仿宋_GB2312"/>
                      <w:sz w:val="24"/>
                    </w:rPr>
                    <w:t>F</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税号：</w:t>
                  </w:r>
                </w:p>
              </w:tc>
            </w:tr>
          </w:tbl>
          <w:p>
            <w:pPr>
              <w:pStyle w:val="null3"/>
              <w:spacing w:after="120"/>
              <w:jc w:val="left"/>
            </w:pPr>
            <w:r>
              <w:rPr>
                <w:rFonts w:ascii="仿宋_GB2312" w:hAnsi="仿宋_GB2312" w:cs="仿宋_GB2312" w:eastAsia="仿宋_GB2312"/>
                <w:sz w:val="24"/>
              </w:rPr>
              <w:t>根据</w:t>
            </w:r>
            <w:r>
              <w:rPr>
                <w:rFonts w:ascii="仿宋_GB2312" w:hAnsi="仿宋_GB2312" w:cs="仿宋_GB2312" w:eastAsia="仿宋_GB2312"/>
                <w:sz w:val="24"/>
              </w:rPr>
              <w:t>2025 年  月  日 海南医科大学第一附属医院</w:t>
            </w:r>
            <w:r>
              <w:rPr>
                <w:rFonts w:ascii="仿宋_GB2312" w:hAnsi="仿宋_GB2312" w:cs="仿宋_GB2312" w:eastAsia="仿宋_GB2312"/>
                <w:sz w:val="19"/>
              </w:rPr>
              <w:t xml:space="preserve">            </w:t>
            </w:r>
            <w:r>
              <w:rPr>
                <w:rFonts w:ascii="仿宋_GB2312" w:hAnsi="仿宋_GB2312" w:cs="仿宋_GB2312" w:eastAsia="仿宋_GB2312"/>
                <w:sz w:val="24"/>
              </w:rPr>
              <w:t>项目（项目编号：</w:t>
            </w:r>
            <w:r>
              <w:rPr>
                <w:rFonts w:ascii="仿宋_GB2312" w:hAnsi="仿宋_GB2312" w:cs="仿宋_GB2312" w:eastAsia="仿宋_GB2312"/>
                <w:sz w:val="19"/>
              </w:rPr>
              <w:t xml:space="preserve">        </w:t>
            </w:r>
            <w:r>
              <w:rPr>
                <w:rFonts w:ascii="仿宋_GB2312" w:hAnsi="仿宋_GB2312" w:cs="仿宋_GB2312" w:eastAsia="仿宋_GB2312"/>
                <w:sz w:val="24"/>
              </w:rPr>
              <w:t>）</w:t>
            </w:r>
            <w:r>
              <w:rPr>
                <w:rFonts w:ascii="仿宋_GB2312" w:hAnsi="仿宋_GB2312" w:cs="仿宋_GB2312" w:eastAsia="仿宋_GB2312"/>
                <w:sz w:val="24"/>
              </w:rPr>
              <w:t>公开招标</w:t>
            </w:r>
            <w:r>
              <w:rPr>
                <w:rFonts w:ascii="仿宋_GB2312" w:hAnsi="仿宋_GB2312" w:cs="仿宋_GB2312" w:eastAsia="仿宋_GB2312"/>
                <w:sz w:val="24"/>
              </w:rPr>
              <w:t>结果</w:t>
            </w:r>
            <w:r>
              <w:rPr>
                <w:rFonts w:ascii="仿宋_GB2312" w:hAnsi="仿宋_GB2312" w:cs="仿宋_GB2312" w:eastAsia="仿宋_GB2312"/>
                <w:sz w:val="24"/>
              </w:rPr>
              <w:t>及招标文件要求</w:t>
            </w:r>
            <w:r>
              <w:rPr>
                <w:rFonts w:ascii="仿宋_GB2312" w:hAnsi="仿宋_GB2312" w:cs="仿宋_GB2312" w:eastAsia="仿宋_GB2312"/>
                <w:sz w:val="24"/>
              </w:rPr>
              <w:t>，</w:t>
            </w:r>
            <w:r>
              <w:rPr>
                <w:rFonts w:ascii="仿宋_GB2312" w:hAnsi="仿宋_GB2312" w:cs="仿宋_GB2312" w:eastAsia="仿宋_GB2312"/>
                <w:sz w:val="24"/>
              </w:rPr>
              <w:t>经协商一致，同意以下条款作为本项目合同条款</w:t>
            </w:r>
            <w:r>
              <w:rPr>
                <w:rFonts w:ascii="仿宋_GB2312" w:hAnsi="仿宋_GB2312" w:cs="仿宋_GB2312" w:eastAsia="仿宋_GB2312"/>
                <w:sz w:val="24"/>
              </w:rPr>
              <w:t>，根据《中华人民共和国民法典》及其他有关法律、法规、规章，甲、乙双方同意按照下面的条款和条件签署本合同。</w:t>
            </w:r>
          </w:p>
          <w:p>
            <w:pPr>
              <w:pStyle w:val="null3"/>
              <w:jc w:val="both"/>
            </w:pPr>
            <w:r>
              <w:rPr>
                <w:rFonts w:ascii="仿宋_GB2312" w:hAnsi="仿宋_GB2312" w:cs="仿宋_GB2312" w:eastAsia="仿宋_GB2312"/>
                <w:sz w:val="24"/>
              </w:rPr>
              <w:t>本合同分合同专用条款和合同通用条款，两部分条款不一致的，以合同专用条款为准。</w:t>
            </w:r>
          </w:p>
          <w:p>
            <w:pPr>
              <w:pStyle w:val="null3"/>
              <w:ind w:firstLine="482"/>
              <w:jc w:val="both"/>
            </w:pPr>
            <w:r>
              <w:rPr>
                <w:rFonts w:ascii="仿宋_GB2312" w:hAnsi="仿宋_GB2312" w:cs="仿宋_GB2312" w:eastAsia="仿宋_GB2312"/>
                <w:sz w:val="24"/>
              </w:rPr>
              <w:t>合同专用条款</w:t>
            </w:r>
          </w:p>
          <w:p>
            <w:pPr>
              <w:pStyle w:val="null3"/>
              <w:ind w:firstLine="482"/>
              <w:jc w:val="both"/>
            </w:pPr>
            <w:r>
              <w:rPr>
                <w:rFonts w:ascii="仿宋_GB2312" w:hAnsi="仿宋_GB2312" w:cs="仿宋_GB2312" w:eastAsia="仿宋_GB2312"/>
                <w:sz w:val="24"/>
              </w:rPr>
              <w:t>一、合同文件</w:t>
            </w:r>
          </w:p>
          <w:p>
            <w:pPr>
              <w:pStyle w:val="null3"/>
              <w:ind w:firstLine="480"/>
              <w:jc w:val="both"/>
            </w:pPr>
            <w:r>
              <w:rPr>
                <w:rFonts w:ascii="仿宋_GB2312" w:hAnsi="仿宋_GB2312" w:cs="仿宋_GB2312" w:eastAsia="仿宋_GB2312"/>
                <w:sz w:val="24"/>
              </w:rPr>
              <w:t>本合同所附下列文件是构成本合同不可分割的部分：</w:t>
            </w:r>
          </w:p>
          <w:p>
            <w:pPr>
              <w:pStyle w:val="null3"/>
              <w:ind w:firstLine="480"/>
              <w:jc w:val="both"/>
            </w:pPr>
            <w:r>
              <w:rPr>
                <w:rFonts w:ascii="仿宋_GB2312" w:hAnsi="仿宋_GB2312" w:cs="仿宋_GB2312" w:eastAsia="仿宋_GB2312"/>
                <w:sz w:val="24"/>
              </w:rPr>
              <w:t>1.中标通知书</w:t>
            </w:r>
          </w:p>
          <w:p>
            <w:pPr>
              <w:pStyle w:val="null3"/>
              <w:ind w:firstLine="480"/>
              <w:jc w:val="both"/>
            </w:pPr>
            <w:r>
              <w:rPr>
                <w:rFonts w:ascii="仿宋_GB2312" w:hAnsi="仿宋_GB2312" w:cs="仿宋_GB2312" w:eastAsia="仿宋_GB2312"/>
                <w:sz w:val="24"/>
              </w:rPr>
              <w:t>2.响应资料</w:t>
            </w:r>
          </w:p>
          <w:p>
            <w:pPr>
              <w:pStyle w:val="null3"/>
              <w:ind w:firstLine="480"/>
              <w:jc w:val="both"/>
            </w:pPr>
            <w:r>
              <w:rPr>
                <w:rFonts w:ascii="仿宋_GB2312" w:hAnsi="仿宋_GB2312" w:cs="仿宋_GB2312" w:eastAsia="仿宋_GB2312"/>
                <w:sz w:val="24"/>
              </w:rPr>
              <w:t>3.需求响应（商务偏离、技术偏离）</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售后服务承诺书</w:t>
            </w:r>
            <w:r>
              <w:rPr>
                <w:rFonts w:ascii="仿宋_GB2312" w:hAnsi="仿宋_GB2312" w:cs="仿宋_GB2312" w:eastAsia="仿宋_GB2312"/>
                <w:sz w:val="24"/>
              </w:rPr>
              <w:t>（</w:t>
            </w:r>
            <w:r>
              <w:rPr>
                <w:rFonts w:ascii="仿宋_GB2312" w:hAnsi="仿宋_GB2312" w:cs="仿宋_GB2312" w:eastAsia="仿宋_GB2312"/>
                <w:sz w:val="24"/>
              </w:rPr>
              <w:t>如有</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其他证明材料（如有）</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rPr>
              <w:t>二、货物信息</w:t>
            </w:r>
          </w:p>
          <w:p>
            <w:pPr>
              <w:pStyle w:val="null3"/>
              <w:ind w:firstLine="480"/>
              <w:jc w:val="both"/>
            </w:pPr>
            <w:r>
              <w:rPr>
                <w:rFonts w:ascii="仿宋_GB2312" w:hAnsi="仿宋_GB2312" w:cs="仿宋_GB2312" w:eastAsia="仿宋_GB2312"/>
                <w:sz w:val="24"/>
              </w:rPr>
              <w:t>1.货物名称：</w:t>
            </w:r>
          </w:p>
          <w:p>
            <w:pPr>
              <w:pStyle w:val="null3"/>
              <w:ind w:firstLine="480"/>
              <w:jc w:val="both"/>
            </w:pPr>
            <w:r>
              <w:rPr>
                <w:rFonts w:ascii="仿宋_GB2312" w:hAnsi="仿宋_GB2312" w:cs="仿宋_GB2312" w:eastAsia="仿宋_GB2312"/>
                <w:sz w:val="24"/>
              </w:rPr>
              <w:t>2.品牌：</w:t>
            </w:r>
          </w:p>
          <w:p>
            <w:pPr>
              <w:pStyle w:val="null3"/>
              <w:ind w:firstLine="480"/>
              <w:jc w:val="both"/>
            </w:pPr>
            <w:r>
              <w:rPr>
                <w:rFonts w:ascii="仿宋_GB2312" w:hAnsi="仿宋_GB2312" w:cs="仿宋_GB2312" w:eastAsia="仿宋_GB2312"/>
                <w:sz w:val="24"/>
              </w:rPr>
              <w:t>3.型号：</w:t>
            </w:r>
          </w:p>
          <w:p>
            <w:pPr>
              <w:pStyle w:val="null3"/>
              <w:ind w:firstLine="480"/>
              <w:jc w:val="both"/>
            </w:pPr>
            <w:r>
              <w:rPr>
                <w:rFonts w:ascii="仿宋_GB2312" w:hAnsi="仿宋_GB2312" w:cs="仿宋_GB2312" w:eastAsia="仿宋_GB2312"/>
                <w:sz w:val="24"/>
              </w:rPr>
              <w:t>4.生产厂家：</w:t>
            </w:r>
          </w:p>
          <w:p>
            <w:pPr>
              <w:pStyle w:val="null3"/>
              <w:ind w:firstLine="480"/>
              <w:jc w:val="both"/>
            </w:pPr>
            <w:r>
              <w:rPr>
                <w:rFonts w:ascii="仿宋_GB2312" w:hAnsi="仿宋_GB2312" w:cs="仿宋_GB2312" w:eastAsia="仿宋_GB2312"/>
                <w:sz w:val="24"/>
              </w:rPr>
              <w:t>5.货物数量：</w:t>
            </w:r>
          </w:p>
          <w:p>
            <w:pPr>
              <w:pStyle w:val="null3"/>
              <w:ind w:firstLine="480"/>
              <w:jc w:val="both"/>
            </w:pPr>
            <w:r>
              <w:rPr>
                <w:rFonts w:ascii="仿宋_GB2312" w:hAnsi="仿宋_GB2312" w:cs="仿宋_GB2312" w:eastAsia="仿宋_GB2312"/>
                <w:sz w:val="24"/>
              </w:rPr>
              <w:t>6.货物单价：</w:t>
            </w:r>
          </w:p>
          <w:p>
            <w:pPr>
              <w:pStyle w:val="null3"/>
              <w:ind w:firstLine="480"/>
              <w:jc w:val="both"/>
            </w:pPr>
            <w:r>
              <w:rPr>
                <w:rFonts w:ascii="仿宋_GB2312" w:hAnsi="仿宋_GB2312" w:cs="仿宋_GB2312" w:eastAsia="仿宋_GB2312"/>
                <w:sz w:val="24"/>
              </w:rPr>
              <w:t>7.合同总金额（人民币含税）：        大写：</w:t>
            </w:r>
          </w:p>
          <w:p>
            <w:pPr>
              <w:pStyle w:val="null3"/>
              <w:ind w:firstLine="482"/>
              <w:jc w:val="both"/>
            </w:pPr>
            <w:r>
              <w:rPr>
                <w:rFonts w:ascii="仿宋_GB2312" w:hAnsi="仿宋_GB2312" w:cs="仿宋_GB2312" w:eastAsia="仿宋_GB2312"/>
                <w:sz w:val="24"/>
              </w:rPr>
              <w:t>三、设备质量要求及乙方对质量负责条件和期限</w:t>
            </w:r>
          </w:p>
          <w:p>
            <w:pPr>
              <w:pStyle w:val="null3"/>
              <w:ind w:firstLine="480"/>
              <w:jc w:val="both"/>
            </w:pPr>
            <w:r>
              <w:rPr>
                <w:rFonts w:ascii="仿宋_GB2312" w:hAnsi="仿宋_GB2312" w:cs="仿宋_GB2312" w:eastAsia="仿宋_GB2312"/>
                <w:sz w:val="24"/>
              </w:rPr>
              <w:t>乙方提供的设备必须是全新（包括零部件）的设备</w:t>
            </w:r>
            <w:r>
              <w:rPr>
                <w:rFonts w:ascii="仿宋_GB2312" w:hAnsi="仿宋_GB2312" w:cs="仿宋_GB2312" w:eastAsia="仿宋_GB2312"/>
                <w:sz w:val="24"/>
              </w:rPr>
              <w:t>(软件不作此类要求，具体以清单要求为准)。有关设备必须符合国家检测标准，或具有有关质检部门出具的产品检验合格证明。</w:t>
            </w:r>
          </w:p>
          <w:p>
            <w:pPr>
              <w:pStyle w:val="null3"/>
              <w:ind w:firstLine="480"/>
              <w:jc w:val="both"/>
            </w:pPr>
            <w:r>
              <w:rPr>
                <w:rFonts w:ascii="仿宋_GB2312" w:hAnsi="仿宋_GB2312" w:cs="仿宋_GB2312" w:eastAsia="仿宋_GB2312"/>
                <w:sz w:val="24"/>
              </w:rPr>
              <w:t>乙方对所提供的设备须提供相应的质保期，质保期从设备验收合格之日起至少</w:t>
            </w:r>
            <w:r>
              <w:rPr>
                <w:rFonts w:ascii="仿宋_GB2312" w:hAnsi="仿宋_GB2312" w:cs="仿宋_GB2312" w:eastAsia="仿宋_GB2312"/>
                <w:sz w:val="24"/>
              </w:rPr>
              <w:t>三</w:t>
            </w:r>
            <w:r>
              <w:rPr>
                <w:rFonts w:ascii="仿宋_GB2312" w:hAnsi="仿宋_GB2312" w:cs="仿宋_GB2312" w:eastAsia="仿宋_GB2312"/>
                <w:sz w:val="24"/>
              </w:rPr>
              <w:t>年，质保期内非因甲方的人为原因而出现质量问题，由乙方负责。乙方应在接到甲方通知的</w:t>
            </w:r>
            <w:r>
              <w:rPr>
                <w:rFonts w:ascii="仿宋_GB2312" w:hAnsi="仿宋_GB2312" w:cs="仿宋_GB2312" w:eastAsia="仿宋_GB2312"/>
                <w:sz w:val="24"/>
              </w:rPr>
              <w:t>72小时内负责包换、包修或者包退，并承担修理、调换或退货的实际费用及由此带来的相关损失。约定时间内乙方不能修理或不能调换，按不能交货处理。在质保期满后，乙方应保证以合理的价格，长期提供备件和保养服务，当发生故障时，乙方应按质保期内同样的要求进行维修处理，合理收取维修费。</w:t>
            </w:r>
          </w:p>
          <w:p>
            <w:pPr>
              <w:pStyle w:val="null3"/>
              <w:ind w:firstLine="480"/>
              <w:jc w:val="both"/>
            </w:pPr>
            <w:r>
              <w:rPr>
                <w:rFonts w:ascii="仿宋_GB2312" w:hAnsi="仿宋_GB2312" w:cs="仿宋_GB2312" w:eastAsia="仿宋_GB2312"/>
                <w:sz w:val="24"/>
              </w:rPr>
              <w:t>四、</w:t>
            </w:r>
            <w:r>
              <w:rPr>
                <w:rFonts w:ascii="仿宋_GB2312" w:hAnsi="仿宋_GB2312" w:cs="仿宋_GB2312" w:eastAsia="仿宋_GB2312"/>
                <w:sz w:val="24"/>
              </w:rPr>
              <w:t>交货时间、地点、方式</w:t>
            </w:r>
          </w:p>
          <w:p>
            <w:pPr>
              <w:pStyle w:val="null3"/>
              <w:ind w:firstLine="480"/>
              <w:jc w:val="both"/>
            </w:pPr>
            <w:r>
              <w:rPr>
                <w:rFonts w:ascii="仿宋_GB2312" w:hAnsi="仿宋_GB2312" w:cs="仿宋_GB2312" w:eastAsia="仿宋_GB2312"/>
                <w:sz w:val="24"/>
              </w:rPr>
              <w:t>1、交付时间：</w:t>
            </w:r>
            <w:r>
              <w:rPr>
                <w:rFonts w:ascii="仿宋_GB2312" w:hAnsi="仿宋_GB2312" w:cs="仿宋_GB2312" w:eastAsia="仿宋_GB2312"/>
                <w:sz w:val="24"/>
              </w:rPr>
              <w:t>自</w:t>
            </w:r>
            <w:r>
              <w:rPr>
                <w:rFonts w:ascii="仿宋_GB2312" w:hAnsi="仿宋_GB2312" w:cs="仿宋_GB2312" w:eastAsia="仿宋_GB2312"/>
                <w:sz w:val="24"/>
              </w:rPr>
              <w:t>合同签订后</w:t>
            </w:r>
            <w:r>
              <w:rPr>
                <w:rFonts w:ascii="仿宋_GB2312" w:hAnsi="仿宋_GB2312" w:cs="仿宋_GB2312" w:eastAsia="仿宋_GB2312"/>
                <w:sz w:val="24"/>
              </w:rPr>
              <w:t>45</w:t>
            </w:r>
            <w:r>
              <w:rPr>
                <w:rFonts w:ascii="仿宋_GB2312" w:hAnsi="仿宋_GB2312" w:cs="仿宋_GB2312" w:eastAsia="仿宋_GB2312"/>
                <w:sz w:val="24"/>
              </w:rPr>
              <w:t>天内交货且安装调试完毕交付使用。</w:t>
            </w:r>
          </w:p>
          <w:p>
            <w:pPr>
              <w:pStyle w:val="null3"/>
              <w:ind w:firstLine="480"/>
              <w:jc w:val="both"/>
            </w:pPr>
            <w:r>
              <w:rPr>
                <w:rFonts w:ascii="仿宋_GB2312" w:hAnsi="仿宋_GB2312" w:cs="仿宋_GB2312" w:eastAsia="仿宋_GB2312"/>
                <w:sz w:val="24"/>
              </w:rPr>
              <w:t>2、交付地点：海南省海口市龙华区龙华路31号海南医科大学第一附属医院或采购方指定地点。</w:t>
            </w:r>
          </w:p>
          <w:p>
            <w:pPr>
              <w:pStyle w:val="null3"/>
              <w:ind w:firstLine="482"/>
              <w:jc w:val="both"/>
            </w:pPr>
            <w:r>
              <w:rPr>
                <w:rFonts w:ascii="仿宋_GB2312" w:hAnsi="仿宋_GB2312" w:cs="仿宋_GB2312" w:eastAsia="仿宋_GB2312"/>
                <w:sz w:val="24"/>
              </w:rPr>
              <w:t>五、设备资料</w:t>
            </w:r>
          </w:p>
          <w:p>
            <w:pPr>
              <w:pStyle w:val="null3"/>
              <w:ind w:firstLine="480"/>
              <w:jc w:val="both"/>
            </w:pPr>
            <w:r>
              <w:rPr>
                <w:rFonts w:ascii="仿宋_GB2312" w:hAnsi="仿宋_GB2312" w:cs="仿宋_GB2312" w:eastAsia="仿宋_GB2312"/>
                <w:sz w:val="24"/>
              </w:rPr>
              <w:t>乙方应随设备向甲方交付设备使用说明书及相关的资料。</w:t>
            </w:r>
          </w:p>
          <w:p>
            <w:pPr>
              <w:pStyle w:val="null3"/>
              <w:ind w:firstLine="482"/>
              <w:jc w:val="both"/>
            </w:pPr>
            <w:r>
              <w:rPr>
                <w:rFonts w:ascii="仿宋_GB2312" w:hAnsi="仿宋_GB2312" w:cs="仿宋_GB2312" w:eastAsia="仿宋_GB2312"/>
                <w:sz w:val="24"/>
              </w:rPr>
              <w:t>六</w:t>
            </w:r>
            <w:r>
              <w:rPr>
                <w:rFonts w:ascii="仿宋_GB2312" w:hAnsi="仿宋_GB2312" w:cs="仿宋_GB2312" w:eastAsia="仿宋_GB2312"/>
                <w:sz w:val="24"/>
              </w:rPr>
              <w:t>、付款方式</w:t>
            </w:r>
          </w:p>
          <w:p>
            <w:pPr>
              <w:pStyle w:val="null3"/>
              <w:ind w:firstLine="482"/>
              <w:jc w:val="both"/>
            </w:pPr>
            <w:r>
              <w:rPr>
                <w:rFonts w:ascii="仿宋_GB2312" w:hAnsi="仿宋_GB2312" w:cs="仿宋_GB2312" w:eastAsia="仿宋_GB2312"/>
                <w:sz w:val="24"/>
              </w:rPr>
              <w:t>合同签订后</w:t>
            </w:r>
            <w:r>
              <w:rPr>
                <w:rFonts w:ascii="仿宋_GB2312" w:hAnsi="仿宋_GB2312" w:cs="仿宋_GB2312" w:eastAsia="仿宋_GB2312"/>
                <w:sz w:val="24"/>
              </w:rPr>
              <w:t>7个工作日内，乙方向甲方提交合法有效的增值税发票及合同等相关凭证，甲方在收到相关凭证后30个工作日内向乙方支付合同总金额的30%；乙方产品到货安装调试，经甲方进行上线确认后开始试运行，试运行达到合同约定的性能指标进行项目验收，项目通过验收后，乙方向甲方提交合法有效的增值税发票、项目验收合格书及合同等相关凭证，甲方在收到相关凭证后30个工作日内向乙方支付合同总金额的65%；项目质保期满，经甲方确认设备运转正常且无任何质量、售后问题，甲方向乙方支付合同总金额的5%。</w:t>
            </w:r>
          </w:p>
          <w:p>
            <w:pPr>
              <w:pStyle w:val="null3"/>
              <w:ind w:firstLine="482"/>
              <w:jc w:val="both"/>
            </w:pPr>
            <w:r>
              <w:rPr>
                <w:rFonts w:ascii="仿宋_GB2312" w:hAnsi="仿宋_GB2312" w:cs="仿宋_GB2312" w:eastAsia="仿宋_GB2312"/>
                <w:sz w:val="24"/>
              </w:rPr>
              <w:t>因甲方财务预算、不可抗力等原因造成甲方逾期付款的，乙方表示理解，不视为甲方违约。乙方应按照本合同约定继续履行乙方义务。</w:t>
            </w:r>
          </w:p>
          <w:p>
            <w:pPr>
              <w:pStyle w:val="null3"/>
              <w:ind w:firstLine="482"/>
              <w:jc w:val="both"/>
            </w:pPr>
            <w:r>
              <w:rPr>
                <w:rFonts w:ascii="仿宋_GB2312" w:hAnsi="仿宋_GB2312" w:cs="仿宋_GB2312" w:eastAsia="仿宋_GB2312"/>
                <w:sz w:val="24"/>
              </w:rPr>
              <w:t>七</w:t>
            </w:r>
            <w:r>
              <w:rPr>
                <w:rFonts w:ascii="仿宋_GB2312" w:hAnsi="仿宋_GB2312" w:cs="仿宋_GB2312" w:eastAsia="仿宋_GB2312"/>
                <w:sz w:val="24"/>
              </w:rPr>
              <w:t>、货物验收</w:t>
            </w:r>
          </w:p>
          <w:p>
            <w:pPr>
              <w:pStyle w:val="null3"/>
              <w:ind w:firstLine="480"/>
              <w:jc w:val="both"/>
            </w:pPr>
            <w:r>
              <w:rPr>
                <w:rFonts w:ascii="仿宋_GB2312" w:hAnsi="仿宋_GB2312" w:cs="仿宋_GB2312" w:eastAsia="仿宋_GB2312"/>
                <w:sz w:val="24"/>
              </w:rPr>
              <w:t>(一)验收主体。采购人系验收主体，组织履约验收；包括采购人自行组建履约验收小组或者委托采购代理机构履约验收，必要时可以邀请质量检测机构参加验收，届时通知供应商。</w:t>
            </w:r>
          </w:p>
          <w:p>
            <w:pPr>
              <w:pStyle w:val="null3"/>
              <w:ind w:firstLine="480"/>
              <w:jc w:val="both"/>
            </w:pPr>
            <w:r>
              <w:rPr>
                <w:rFonts w:ascii="仿宋_GB2312" w:hAnsi="仿宋_GB2312" w:cs="仿宋_GB2312" w:eastAsia="仿宋_GB2312"/>
                <w:sz w:val="24"/>
              </w:rPr>
              <w:t>(二)验收时间，根据合同约定的时间，由供应商提出申请，采购人确认的时间验收。</w:t>
            </w:r>
          </w:p>
          <w:p>
            <w:pPr>
              <w:pStyle w:val="null3"/>
              <w:ind w:firstLine="480"/>
              <w:jc w:val="both"/>
            </w:pPr>
            <w:r>
              <w:rPr>
                <w:rFonts w:ascii="仿宋_GB2312" w:hAnsi="仿宋_GB2312" w:cs="仿宋_GB2312" w:eastAsia="仿宋_GB2312"/>
                <w:sz w:val="24"/>
              </w:rPr>
              <w:t>(三)验收方式。采购人对中标（成交）供应商（以下简称供应商）履行采购合同及结果进行实地检验、核实和评估，以确认提供的货物（服务或工程）是否符合采购合同约定的标准和要求。</w:t>
            </w:r>
          </w:p>
          <w:p>
            <w:pPr>
              <w:pStyle w:val="null3"/>
              <w:spacing w:before="105" w:after="105"/>
              <w:ind w:firstLine="480"/>
              <w:jc w:val="left"/>
            </w:pPr>
            <w:r>
              <w:rPr>
                <w:rFonts w:ascii="仿宋_GB2312" w:hAnsi="仿宋_GB2312" w:cs="仿宋_GB2312" w:eastAsia="仿宋_GB2312"/>
                <w:sz w:val="24"/>
              </w:rPr>
              <w:t>(四)验收程序。采购合同</w:t>
            </w:r>
            <w:r>
              <w:rPr>
                <w:rFonts w:ascii="仿宋_GB2312" w:hAnsi="仿宋_GB2312" w:cs="仿宋_GB2312" w:eastAsia="仿宋_GB2312"/>
                <w:sz w:val="24"/>
              </w:rPr>
              <w:t>符合验收条件</w:t>
            </w:r>
            <w:r>
              <w:rPr>
                <w:rFonts w:ascii="仿宋_GB2312" w:hAnsi="仿宋_GB2312" w:cs="仿宋_GB2312" w:eastAsia="仿宋_GB2312"/>
                <w:sz w:val="24"/>
              </w:rPr>
              <w:t>时，供应商</w:t>
            </w:r>
            <w:r>
              <w:rPr>
                <w:rFonts w:ascii="仿宋_GB2312" w:hAnsi="仿宋_GB2312" w:cs="仿宋_GB2312" w:eastAsia="仿宋_GB2312"/>
                <w:sz w:val="24"/>
              </w:rPr>
              <w:t>及时向采购人书面提出验收申请</w:t>
            </w:r>
            <w:r>
              <w:rPr>
                <w:rFonts w:ascii="仿宋_GB2312" w:hAnsi="仿宋_GB2312" w:cs="仿宋_GB2312" w:eastAsia="仿宋_GB2312"/>
                <w:sz w:val="24"/>
              </w:rPr>
              <w:t>，</w:t>
            </w:r>
            <w:r>
              <w:rPr>
                <w:rFonts w:ascii="仿宋_GB2312" w:hAnsi="仿宋_GB2312" w:cs="仿宋_GB2312" w:eastAsia="仿宋_GB2312"/>
                <w:sz w:val="24"/>
              </w:rPr>
              <w:t>采购人自收到验收申请之日起</w:t>
            </w:r>
            <w:r>
              <w:rPr>
                <w:rFonts w:ascii="仿宋_GB2312" w:hAnsi="仿宋_GB2312" w:cs="仿宋_GB2312" w:eastAsia="仿宋_GB2312"/>
                <w:sz w:val="24"/>
              </w:rPr>
              <w:t>7个工作日内启动项目验收</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五)验收内容和验收标准。供应商按照招标文件（谈判文件、磋商文件、询价通知书、征集文件等）、投标文件（响应文件）、采购合同、封样样品等文件及技术标准提供与验收相关的生产、技术、服务、数量、质量、安全等资料并做好技术说明、测试演示或场景应用情况分析等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六</w:t>
            </w:r>
            <w:r>
              <w:rPr>
                <w:rFonts w:ascii="仿宋_GB2312" w:hAnsi="仿宋_GB2312" w:cs="仿宋_GB2312" w:eastAsia="仿宋_GB2312"/>
                <w:sz w:val="24"/>
              </w:rPr>
              <w:t>）乙方必须按时供货并完成验收，逾期安装验收的，乙方须按每日万分之五的比例给付违约金给甲方。</w:t>
            </w:r>
          </w:p>
          <w:p>
            <w:pPr>
              <w:pStyle w:val="null3"/>
              <w:ind w:firstLine="482"/>
              <w:jc w:val="both"/>
            </w:pPr>
            <w:r>
              <w:rPr>
                <w:rFonts w:ascii="仿宋_GB2312" w:hAnsi="仿宋_GB2312" w:cs="仿宋_GB2312" w:eastAsia="仿宋_GB2312"/>
                <w:sz w:val="24"/>
              </w:rPr>
              <w:t>八</w:t>
            </w:r>
            <w:r>
              <w:rPr>
                <w:rFonts w:ascii="仿宋_GB2312" w:hAnsi="仿宋_GB2312" w:cs="仿宋_GB2312" w:eastAsia="仿宋_GB2312"/>
                <w:sz w:val="24"/>
              </w:rPr>
              <w:t>、违约责任</w:t>
            </w:r>
          </w:p>
          <w:p>
            <w:pPr>
              <w:pStyle w:val="null3"/>
              <w:ind w:firstLine="480"/>
              <w:jc w:val="both"/>
            </w:pPr>
            <w:r>
              <w:rPr>
                <w:rFonts w:ascii="仿宋_GB2312" w:hAnsi="仿宋_GB2312" w:cs="仿宋_GB2312" w:eastAsia="仿宋_GB2312"/>
                <w:sz w:val="24"/>
              </w:rPr>
              <w:t>（一）乙方非因不可抗力导致不能按时到货的违约责任</w:t>
            </w:r>
          </w:p>
          <w:p>
            <w:pPr>
              <w:pStyle w:val="null3"/>
              <w:ind w:firstLine="480"/>
              <w:jc w:val="both"/>
            </w:pPr>
            <w:r>
              <w:rPr>
                <w:rFonts w:ascii="仿宋_GB2312" w:hAnsi="仿宋_GB2312" w:cs="仿宋_GB2312" w:eastAsia="仿宋_GB2312"/>
                <w:sz w:val="24"/>
              </w:rPr>
              <w:t>若乙方不能按照约定时间到货，乙方应在违约日开始后的</w:t>
            </w:r>
            <w:r>
              <w:rPr>
                <w:rFonts w:ascii="仿宋_GB2312" w:hAnsi="仿宋_GB2312" w:cs="仿宋_GB2312" w:eastAsia="仿宋_GB2312"/>
                <w:sz w:val="24"/>
              </w:rPr>
              <w:t>15日内全额退还预付款并赔偿从预付款支付至退还期间以一年期贷款市场报价利率的1.5倍计算所产生的利息。（“一年期贷款市场报价利率”指中国人民银行授权全国银行间同业拆借中心自2019年8月20日起每月发布的一年期贷款市场报价利率。）</w:t>
            </w:r>
          </w:p>
          <w:p>
            <w:pPr>
              <w:pStyle w:val="null3"/>
              <w:ind w:firstLine="480"/>
              <w:jc w:val="left"/>
            </w:pPr>
            <w:r>
              <w:rPr>
                <w:rFonts w:ascii="仿宋_GB2312" w:hAnsi="仿宋_GB2312" w:cs="仿宋_GB2312" w:eastAsia="仿宋_GB2312"/>
                <w:sz w:val="24"/>
              </w:rPr>
              <w:t>（二）如果乙方提供的货物、服务不符合合同约定要求，甲方有权要求换货或退货、按合同约定整改服务、拒付合同款项、要求赔偿损失、终止本合同，并将乙方列入甲方采购禁入名单。</w:t>
            </w:r>
          </w:p>
          <w:p>
            <w:pPr>
              <w:pStyle w:val="null3"/>
              <w:ind w:firstLine="480"/>
              <w:jc w:val="left"/>
            </w:pPr>
            <w:r>
              <w:rPr>
                <w:rFonts w:ascii="仿宋_GB2312" w:hAnsi="仿宋_GB2312" w:cs="仿宋_GB2312" w:eastAsia="仿宋_GB2312"/>
                <w:sz w:val="24"/>
              </w:rPr>
              <w:t>（三）如果因乙方原因造成未按时交货或未按时提供服务，每迟延一天，甲方有权要求乙方支付合同总价款的万分之五作为违约金。迟延交付货物或提供服务</w:t>
            </w:r>
            <w:r>
              <w:rPr>
                <w:rFonts w:ascii="仿宋_GB2312" w:hAnsi="仿宋_GB2312" w:cs="仿宋_GB2312" w:eastAsia="仿宋_GB2312"/>
                <w:sz w:val="24"/>
              </w:rPr>
              <w:t>30天以上，甲方有权终止合同，并要求乙方支付相应的违约金或赔偿由此给甲方造成的损失（以二者中孰高者为准）。</w:t>
            </w:r>
          </w:p>
          <w:p>
            <w:pPr>
              <w:pStyle w:val="null3"/>
              <w:ind w:firstLine="480"/>
              <w:jc w:val="left"/>
            </w:pPr>
            <w:r>
              <w:rPr>
                <w:rFonts w:ascii="仿宋_GB2312" w:hAnsi="仿宋_GB2312" w:cs="仿宋_GB2312" w:eastAsia="仿宋_GB2312"/>
                <w:sz w:val="24"/>
              </w:rPr>
              <w:t>（四）因乙方项目人员的原因给甲方造成损害，由乙方（及</w:t>
            </w:r>
            <w:r>
              <w:rPr>
                <w:rFonts w:ascii="仿宋_GB2312" w:hAnsi="仿宋_GB2312" w:cs="仿宋_GB2312" w:eastAsia="仿宋_GB2312"/>
                <w:sz w:val="24"/>
              </w:rPr>
              <w:t>/或原厂商）承担全部责任。</w:t>
            </w:r>
          </w:p>
          <w:p>
            <w:pPr>
              <w:pStyle w:val="null3"/>
              <w:ind w:firstLine="480"/>
              <w:jc w:val="left"/>
            </w:pPr>
            <w:r>
              <w:rPr>
                <w:rFonts w:ascii="仿宋_GB2312" w:hAnsi="仿宋_GB2312" w:cs="仿宋_GB2312" w:eastAsia="仿宋_GB2312"/>
                <w:sz w:val="24"/>
              </w:rPr>
              <w:t>（五）乙方未经甲方书面同意，擅自更换项目人员或者未能按时更换不符合要求的项目人员的，甲方有权终止本合同并要求乙方赔偿相应损失。</w:t>
            </w:r>
          </w:p>
          <w:p>
            <w:pPr>
              <w:pStyle w:val="null3"/>
              <w:ind w:firstLine="480"/>
              <w:jc w:val="left"/>
            </w:pPr>
            <w:r>
              <w:rPr>
                <w:rFonts w:ascii="仿宋_GB2312" w:hAnsi="仿宋_GB2312" w:cs="仿宋_GB2312" w:eastAsia="仿宋_GB2312"/>
                <w:sz w:val="24"/>
              </w:rPr>
              <w:t>（六）保修期内，未能按合同的约定提供维修服务或不能在承诺时间内修复故障，甲方有权聘请第三方进行维修，由此产生的费用和损失由乙方承担。</w:t>
            </w:r>
          </w:p>
          <w:p>
            <w:pPr>
              <w:pStyle w:val="null3"/>
              <w:ind w:firstLine="480"/>
              <w:jc w:val="left"/>
            </w:pPr>
            <w:r>
              <w:rPr>
                <w:rFonts w:ascii="仿宋_GB2312" w:hAnsi="仿宋_GB2312" w:cs="仿宋_GB2312" w:eastAsia="仿宋_GB2312"/>
                <w:sz w:val="24"/>
              </w:rPr>
              <w:t>（七）乙方开具的增值税专用发票符合以下情形之一的，甲方有权延迟支付应付款项，并要求乙方重新提供合格、正确且正式的发票，且不承担任何违约责任，乙方各项义务仍按合同约定履行：</w:t>
            </w:r>
          </w:p>
          <w:p>
            <w:pPr>
              <w:pStyle w:val="null3"/>
              <w:ind w:firstLine="480"/>
              <w:jc w:val="left"/>
            </w:pPr>
            <w:r>
              <w:rPr>
                <w:rFonts w:ascii="仿宋_GB2312" w:hAnsi="仿宋_GB2312" w:cs="仿宋_GB2312" w:eastAsia="仿宋_GB2312"/>
                <w:sz w:val="24"/>
              </w:rPr>
              <w:t>1、开具虚假、作废、无效发票或因违反国家法律法规开具、提供发票的；</w:t>
            </w:r>
          </w:p>
          <w:p>
            <w:pPr>
              <w:pStyle w:val="null3"/>
              <w:ind w:firstLine="480"/>
              <w:jc w:val="left"/>
            </w:pPr>
            <w:r>
              <w:rPr>
                <w:rFonts w:ascii="仿宋_GB2312" w:hAnsi="仿宋_GB2312" w:cs="仿宋_GB2312" w:eastAsia="仿宋_GB2312"/>
                <w:sz w:val="24"/>
              </w:rPr>
              <w:t>2、开具发票种类错误，开具发票税率与合同约定不符；</w:t>
            </w:r>
          </w:p>
          <w:p>
            <w:pPr>
              <w:pStyle w:val="null3"/>
              <w:ind w:firstLine="480"/>
              <w:jc w:val="left"/>
            </w:pPr>
            <w:r>
              <w:rPr>
                <w:rFonts w:ascii="仿宋_GB2312" w:hAnsi="仿宋_GB2312" w:cs="仿宋_GB2312" w:eastAsia="仿宋_GB2312"/>
                <w:sz w:val="24"/>
              </w:rPr>
              <w:t>3、发票上的信息错误的；</w:t>
            </w:r>
          </w:p>
          <w:p>
            <w:pPr>
              <w:pStyle w:val="null3"/>
              <w:ind w:firstLine="480"/>
              <w:jc w:val="left"/>
            </w:pPr>
            <w:r>
              <w:rPr>
                <w:rFonts w:ascii="仿宋_GB2312" w:hAnsi="仿宋_GB2312" w:cs="仿宋_GB2312" w:eastAsia="仿宋_GB2312"/>
                <w:sz w:val="24"/>
              </w:rPr>
              <w:t>4、因乙方延迟送达、开具错误等原因造成发票认证失败等其他情况；</w:t>
            </w:r>
          </w:p>
          <w:p>
            <w:pPr>
              <w:pStyle w:val="null3"/>
              <w:ind w:firstLine="480"/>
              <w:jc w:val="left"/>
            </w:pPr>
            <w:r>
              <w:rPr>
                <w:rFonts w:ascii="仿宋_GB2312" w:hAnsi="仿宋_GB2312" w:cs="仿宋_GB2312" w:eastAsia="仿宋_GB2312"/>
                <w:sz w:val="24"/>
              </w:rPr>
              <w:t>如乙方拒绝重新提供或提供的发票仍不符合法律法规和监管规定的要求，甲方有权解除本合同，并要求乙方承担由此对甲方造成的全部损失。</w:t>
            </w:r>
          </w:p>
          <w:p>
            <w:pPr>
              <w:pStyle w:val="null3"/>
              <w:ind w:firstLine="480"/>
              <w:jc w:val="left"/>
            </w:pPr>
            <w:r>
              <w:rPr>
                <w:rFonts w:ascii="仿宋_GB2312" w:hAnsi="仿宋_GB2312" w:cs="仿宋_GB2312" w:eastAsia="仿宋_GB2312"/>
                <w:sz w:val="24"/>
              </w:rPr>
              <w:t>（八）乙方违约造成甲方的费用增加和损失，甲方有权从未支付的合同剩余款项中直接扣除。如未支付的合同剩余款项不足以弥补甲方上述费用和损失，乙方应按甲方要求向甲方支付不足部分款项。</w:t>
            </w:r>
          </w:p>
          <w:p>
            <w:pPr>
              <w:pStyle w:val="null3"/>
              <w:ind w:firstLine="480"/>
              <w:jc w:val="left"/>
            </w:pPr>
            <w:r>
              <w:rPr>
                <w:rFonts w:ascii="仿宋_GB2312" w:hAnsi="仿宋_GB2312" w:cs="仿宋_GB2312" w:eastAsia="仿宋_GB2312"/>
                <w:sz w:val="24"/>
              </w:rPr>
              <w:t>（九）乙方违反甲方保密或信息保护义务的，甲方有权解除合同，并要求其承担全部法律责任，赔偿因此给甲方所造成的全部损失。</w:t>
            </w:r>
          </w:p>
          <w:p>
            <w:pPr>
              <w:pStyle w:val="null3"/>
              <w:ind w:firstLine="482"/>
              <w:jc w:val="both"/>
            </w:pPr>
            <w:r>
              <w:rPr>
                <w:rFonts w:ascii="仿宋_GB2312" w:hAnsi="仿宋_GB2312" w:cs="仿宋_GB2312" w:eastAsia="仿宋_GB2312"/>
                <w:sz w:val="24"/>
              </w:rPr>
              <w:t>九</w:t>
            </w:r>
            <w:r>
              <w:rPr>
                <w:rFonts w:ascii="仿宋_GB2312" w:hAnsi="仿宋_GB2312" w:cs="仿宋_GB2312" w:eastAsia="仿宋_GB2312"/>
                <w:sz w:val="24"/>
              </w:rPr>
              <w:t>、质量鉴定</w:t>
            </w:r>
          </w:p>
          <w:p>
            <w:pPr>
              <w:pStyle w:val="null3"/>
              <w:ind w:firstLine="480"/>
              <w:jc w:val="both"/>
            </w:pPr>
            <w:r>
              <w:rPr>
                <w:rFonts w:ascii="仿宋_GB2312" w:hAnsi="仿宋_GB2312" w:cs="仿宋_GB2312" w:eastAsia="仿宋_GB2312"/>
                <w:sz w:val="24"/>
              </w:rPr>
              <w:t>因设备的质量问题发生争议，由国家和当地政府指定的技术单位进行质量鉴定，该鉴定结论是终局的，甲乙双方应当接受。</w:t>
            </w:r>
          </w:p>
          <w:p>
            <w:pPr>
              <w:pStyle w:val="null3"/>
              <w:ind w:firstLine="482"/>
              <w:jc w:val="both"/>
            </w:pPr>
            <w:r>
              <w:rPr>
                <w:rFonts w:ascii="仿宋_GB2312" w:hAnsi="仿宋_GB2312" w:cs="仿宋_GB2312" w:eastAsia="仿宋_GB2312"/>
                <w:sz w:val="24"/>
              </w:rPr>
              <w:t>十</w:t>
            </w:r>
            <w:r>
              <w:rPr>
                <w:rFonts w:ascii="仿宋_GB2312" w:hAnsi="仿宋_GB2312" w:cs="仿宋_GB2312" w:eastAsia="仿宋_GB2312"/>
                <w:sz w:val="24"/>
              </w:rPr>
              <w:t>、争议解决</w:t>
            </w:r>
          </w:p>
          <w:p>
            <w:pPr>
              <w:pStyle w:val="null3"/>
              <w:ind w:firstLine="480"/>
              <w:jc w:val="both"/>
            </w:pPr>
            <w:r>
              <w:rPr>
                <w:rFonts w:ascii="仿宋_GB2312" w:hAnsi="仿宋_GB2312" w:cs="仿宋_GB2312" w:eastAsia="仿宋_GB2312"/>
                <w:sz w:val="24"/>
              </w:rPr>
              <w:t>本合同发生争议产生的诉讼，由甲方所在地人民法院管辖。</w:t>
            </w:r>
          </w:p>
          <w:p>
            <w:pPr>
              <w:pStyle w:val="null3"/>
              <w:ind w:firstLine="482"/>
              <w:jc w:val="both"/>
            </w:pPr>
            <w:r>
              <w:rPr>
                <w:rFonts w:ascii="仿宋_GB2312" w:hAnsi="仿宋_GB2312" w:cs="仿宋_GB2312" w:eastAsia="仿宋_GB2312"/>
                <w:sz w:val="24"/>
              </w:rPr>
              <w:t>十</w:t>
            </w:r>
            <w:r>
              <w:rPr>
                <w:rFonts w:ascii="仿宋_GB2312" w:hAnsi="仿宋_GB2312" w:cs="仿宋_GB2312" w:eastAsia="仿宋_GB2312"/>
                <w:sz w:val="24"/>
              </w:rPr>
              <w:t>一</w:t>
            </w:r>
            <w:r>
              <w:rPr>
                <w:rFonts w:ascii="仿宋_GB2312" w:hAnsi="仿宋_GB2312" w:cs="仿宋_GB2312" w:eastAsia="仿宋_GB2312"/>
                <w:sz w:val="24"/>
              </w:rPr>
              <w:t>、合同生效</w:t>
            </w:r>
          </w:p>
          <w:p>
            <w:pPr>
              <w:pStyle w:val="null3"/>
              <w:ind w:firstLine="480"/>
              <w:jc w:val="both"/>
            </w:pPr>
            <w:r>
              <w:rPr>
                <w:rFonts w:ascii="仿宋_GB2312" w:hAnsi="仿宋_GB2312" w:cs="仿宋_GB2312" w:eastAsia="仿宋_GB2312"/>
                <w:sz w:val="24"/>
              </w:rPr>
              <w:t>本合同经甲、乙、鉴证三方签字、盖章并在甲方收到乙方的履约保证金后，合同即生效。</w:t>
            </w:r>
          </w:p>
          <w:p>
            <w:pPr>
              <w:pStyle w:val="null3"/>
              <w:ind w:firstLine="480"/>
              <w:jc w:val="both"/>
            </w:pPr>
            <w:r>
              <w:rPr>
                <w:rFonts w:ascii="仿宋_GB2312" w:hAnsi="仿宋_GB2312" w:cs="仿宋_GB2312" w:eastAsia="仿宋_GB2312"/>
                <w:sz w:val="24"/>
              </w:rPr>
              <w:t>本合同一式</w:t>
            </w:r>
            <w:r>
              <w:rPr>
                <w:rFonts w:ascii="仿宋_GB2312" w:hAnsi="仿宋_GB2312" w:cs="仿宋_GB2312" w:eastAsia="仿宋_GB2312"/>
                <w:sz w:val="24"/>
              </w:rPr>
              <w:t>伍</w:t>
            </w:r>
            <w:r>
              <w:rPr>
                <w:rFonts w:ascii="仿宋_GB2312" w:hAnsi="仿宋_GB2312" w:cs="仿宋_GB2312" w:eastAsia="仿宋_GB2312"/>
                <w:sz w:val="24"/>
              </w:rPr>
              <w:t>份，甲方执</w:t>
            </w:r>
            <w:r>
              <w:rPr>
                <w:rFonts w:ascii="仿宋_GB2312" w:hAnsi="仿宋_GB2312" w:cs="仿宋_GB2312" w:eastAsia="仿宋_GB2312"/>
                <w:sz w:val="24"/>
              </w:rPr>
              <w:t>贰</w:t>
            </w:r>
            <w:r>
              <w:rPr>
                <w:rFonts w:ascii="仿宋_GB2312" w:hAnsi="仿宋_GB2312" w:cs="仿宋_GB2312" w:eastAsia="仿宋_GB2312"/>
                <w:sz w:val="24"/>
              </w:rPr>
              <w:t>份、乙方执贰份，招标机构执壹份，均具同等效力。</w:t>
            </w:r>
          </w:p>
          <w:p>
            <w:pPr>
              <w:pStyle w:val="null3"/>
              <w:ind w:firstLine="482"/>
              <w:jc w:val="both"/>
            </w:pPr>
            <w:r>
              <w:rPr>
                <w:rFonts w:ascii="仿宋_GB2312" w:hAnsi="仿宋_GB2312" w:cs="仿宋_GB2312" w:eastAsia="仿宋_GB2312"/>
                <w:sz w:val="24"/>
              </w:rPr>
              <w:t>十</w:t>
            </w:r>
            <w:r>
              <w:rPr>
                <w:rFonts w:ascii="仿宋_GB2312" w:hAnsi="仿宋_GB2312" w:cs="仿宋_GB2312" w:eastAsia="仿宋_GB2312"/>
                <w:sz w:val="24"/>
              </w:rPr>
              <w:t>二</w:t>
            </w:r>
            <w:r>
              <w:rPr>
                <w:rFonts w:ascii="仿宋_GB2312" w:hAnsi="仿宋_GB2312" w:cs="仿宋_GB2312" w:eastAsia="仿宋_GB2312"/>
                <w:sz w:val="24"/>
              </w:rPr>
              <w:t>、其它</w:t>
            </w:r>
          </w:p>
          <w:p>
            <w:pPr>
              <w:pStyle w:val="null3"/>
              <w:ind w:firstLine="480"/>
              <w:jc w:val="both"/>
            </w:pPr>
            <w:r>
              <w:rPr>
                <w:rFonts w:ascii="仿宋_GB2312" w:hAnsi="仿宋_GB2312" w:cs="仿宋_GB2312" w:eastAsia="仿宋_GB2312"/>
                <w:sz w:val="24"/>
              </w:rPr>
              <w:t>如超过期限未签合同，应重新招标或顺延下一中标候选人。</w:t>
            </w:r>
          </w:p>
          <w:p>
            <w:pPr>
              <w:pStyle w:val="null3"/>
              <w:ind w:firstLine="560"/>
              <w:jc w:val="both"/>
            </w:pPr>
            <w:r>
              <w:rPr>
                <w:rFonts w:ascii="仿宋_GB2312" w:hAnsi="仿宋_GB2312" w:cs="仿宋_GB2312" w:eastAsia="仿宋_GB2312"/>
                <w:sz w:val="24"/>
              </w:rPr>
              <w:t>（以下无正文为签字页）</w:t>
            </w:r>
          </w:p>
          <w:p>
            <w:pPr>
              <w:pStyle w:val="null3"/>
              <w:ind w:firstLine="562"/>
              <w:jc w:val="both"/>
            </w:pPr>
            <w:r>
              <w:rPr>
                <w:rFonts w:ascii="仿宋_GB2312" w:hAnsi="仿宋_GB2312" w:cs="仿宋_GB2312" w:eastAsia="仿宋_GB2312"/>
                <w:sz w:val="24"/>
              </w:rPr>
              <w:t>甲方：海南医科大学第一附属医院</w:t>
            </w:r>
            <w:r>
              <w:rPr>
                <w:rFonts w:ascii="仿宋_GB2312" w:hAnsi="仿宋_GB2312" w:cs="仿宋_GB2312" w:eastAsia="仿宋_GB2312"/>
                <w:sz w:val="24"/>
              </w:rPr>
              <w:t>（</w:t>
            </w:r>
            <w:r>
              <w:rPr>
                <w:rFonts w:ascii="仿宋_GB2312" w:hAnsi="仿宋_GB2312" w:cs="仿宋_GB2312" w:eastAsia="仿宋_GB2312"/>
                <w:sz w:val="24"/>
              </w:rPr>
              <w:t>盖章</w:t>
            </w:r>
            <w:r>
              <w:rPr>
                <w:rFonts w:ascii="仿宋_GB2312" w:hAnsi="仿宋_GB2312" w:cs="仿宋_GB2312" w:eastAsia="仿宋_GB2312"/>
                <w:sz w:val="24"/>
              </w:rPr>
              <w:t>）</w:t>
            </w:r>
            <w:r>
              <w:rPr>
                <w:rFonts w:ascii="仿宋_GB2312" w:hAnsi="仿宋_GB2312" w:cs="仿宋_GB2312" w:eastAsia="仿宋_GB2312"/>
                <w:sz w:val="19"/>
              </w:rPr>
              <w:t xml:space="preserve">    </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法定代表人：</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19"/>
              </w:rPr>
              <w:t xml:space="preserve"> </w:t>
            </w:r>
            <w:r>
              <w:rPr>
                <w:rFonts w:ascii="仿宋_GB2312" w:hAnsi="仿宋_GB2312" w:cs="仿宋_GB2312" w:eastAsia="仿宋_GB2312"/>
                <w:sz w:val="24"/>
              </w:rPr>
              <w:t>经办人：</w:t>
            </w:r>
          </w:p>
          <w:p>
            <w:pPr>
              <w:pStyle w:val="null3"/>
              <w:ind w:firstLine="480"/>
              <w:jc w:val="both"/>
            </w:pPr>
            <w:r>
              <w:rPr>
                <w:rFonts w:ascii="仿宋_GB2312" w:hAnsi="仿宋_GB2312" w:cs="仿宋_GB2312" w:eastAsia="仿宋_GB2312"/>
                <w:sz w:val="24"/>
              </w:rPr>
              <w:t>签订日期：</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年</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月</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日</w:t>
            </w:r>
            <w:r>
              <w:rPr>
                <w:rFonts w:ascii="仿宋_GB2312" w:hAnsi="仿宋_GB2312" w:cs="仿宋_GB2312" w:eastAsia="仿宋_GB2312"/>
                <w:sz w:val="19"/>
              </w:rPr>
              <w:t xml:space="preserve"> </w:t>
            </w:r>
          </w:p>
          <w:p>
            <w:pPr>
              <w:pStyle w:val="null3"/>
              <w:ind w:firstLine="480"/>
              <w:jc w:val="both"/>
            </w:pPr>
            <w:r>
              <w:rPr>
                <w:rFonts w:ascii="仿宋_GB2312" w:hAnsi="仿宋_GB2312" w:cs="仿宋_GB2312" w:eastAsia="仿宋_GB2312"/>
                <w:sz w:val="24"/>
              </w:rPr>
              <w:t>乙方：</w:t>
            </w:r>
            <w:r>
              <w:rPr>
                <w:rFonts w:ascii="仿宋_GB2312" w:hAnsi="仿宋_GB2312" w:cs="仿宋_GB2312" w:eastAsia="仿宋_GB2312"/>
                <w:sz w:val="24"/>
              </w:rPr>
              <w:t xml:space="preserve">                            </w:t>
            </w:r>
            <w:r>
              <w:rPr>
                <w:rFonts w:ascii="仿宋_GB2312" w:hAnsi="仿宋_GB2312" w:cs="仿宋_GB2312" w:eastAsia="仿宋_GB2312"/>
                <w:sz w:val="24"/>
              </w:rPr>
              <w:t>（盖章）</w:t>
            </w:r>
            <w:r>
              <w:rPr>
                <w:rFonts w:ascii="仿宋_GB2312" w:hAnsi="仿宋_GB2312" w:cs="仿宋_GB2312" w:eastAsia="仿宋_GB2312"/>
                <w:sz w:val="19"/>
              </w:rPr>
              <w:t xml:space="preserve">                       </w:t>
            </w:r>
          </w:p>
          <w:p>
            <w:pPr>
              <w:pStyle w:val="null3"/>
              <w:ind w:firstLine="480"/>
              <w:jc w:val="both"/>
            </w:pPr>
            <w:r>
              <w:rPr>
                <w:rFonts w:ascii="仿宋_GB2312" w:hAnsi="仿宋_GB2312" w:cs="仿宋_GB2312" w:eastAsia="仿宋_GB2312"/>
                <w:sz w:val="24"/>
              </w:rPr>
              <w:t>法定代表人：</w:t>
            </w:r>
          </w:p>
          <w:p>
            <w:pPr>
              <w:pStyle w:val="null3"/>
              <w:ind w:firstLine="480"/>
              <w:jc w:val="both"/>
            </w:pPr>
            <w:r>
              <w:rPr>
                <w:rFonts w:ascii="仿宋_GB2312" w:hAnsi="仿宋_GB2312" w:cs="仿宋_GB2312" w:eastAsia="仿宋_GB2312"/>
                <w:sz w:val="24"/>
              </w:rPr>
              <w:t>签约日期：</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年</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月</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日</w:t>
            </w:r>
            <w:r>
              <w:rPr>
                <w:rFonts w:ascii="仿宋_GB2312" w:hAnsi="仿宋_GB2312" w:cs="仿宋_GB2312" w:eastAsia="仿宋_GB2312"/>
                <w:sz w:val="19"/>
              </w:rPr>
              <w:t xml:space="preserve">     </w:t>
            </w:r>
          </w:p>
          <w:p>
            <w:pPr>
              <w:pStyle w:val="null3"/>
              <w:ind w:firstLine="560"/>
              <w:jc w:val="both"/>
            </w:pPr>
            <w:r>
              <w:rPr>
                <w:rFonts w:ascii="仿宋_GB2312" w:hAnsi="仿宋_GB2312" w:cs="仿宋_GB2312" w:eastAsia="仿宋_GB2312"/>
                <w:sz w:val="24"/>
              </w:rPr>
              <w:t>采购代理</w:t>
            </w:r>
            <w:r>
              <w:rPr>
                <w:rFonts w:ascii="仿宋_GB2312" w:hAnsi="仿宋_GB2312" w:cs="仿宋_GB2312" w:eastAsia="仿宋_GB2312"/>
                <w:sz w:val="24"/>
              </w:rPr>
              <w:t>机构：</w:t>
            </w:r>
          </w:p>
          <w:p>
            <w:pPr>
              <w:pStyle w:val="null3"/>
              <w:ind w:firstLine="480"/>
              <w:jc w:val="both"/>
            </w:pPr>
            <w:r>
              <w:rPr>
                <w:rFonts w:ascii="仿宋_GB2312" w:hAnsi="仿宋_GB2312" w:cs="仿宋_GB2312" w:eastAsia="仿宋_GB2312"/>
                <w:sz w:val="24"/>
              </w:rPr>
              <w:t>经办人：</w:t>
            </w:r>
          </w:p>
          <w:p>
            <w:pPr>
              <w:pStyle w:val="null3"/>
              <w:ind w:firstLine="480"/>
              <w:jc w:val="both"/>
            </w:pPr>
            <w:r>
              <w:rPr>
                <w:rFonts w:ascii="仿宋_GB2312" w:hAnsi="仿宋_GB2312" w:cs="仿宋_GB2312" w:eastAsia="仿宋_GB2312"/>
                <w:sz w:val="24"/>
              </w:rPr>
              <w:t>签约日期：</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年</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月</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日</w:t>
            </w:r>
            <w:r>
              <w:rPr>
                <w:rFonts w:ascii="仿宋_GB2312" w:hAnsi="仿宋_GB2312" w:cs="仿宋_GB2312" w:eastAsia="仿宋_GB2312"/>
                <w:sz w:val="19"/>
              </w:rPr>
              <w:t xml:space="preserve"> </w:t>
            </w:r>
          </w:p>
        </w:tc>
      </w:tr>
    </w:tbl>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 2、其他： （1）注:带“★”条款为实质性条款，必须完全响应，不允许负偏离，否则作无效响应处理。带“▲”表示重要参数，负偏离扣分。 （2）第二章-投标人须知中须知前附表续前节第16项其他说明： 16.13其他要求：一、本项目中要求提供的有关证书、文件等证明材料均以扫描件加盖公章为准，如涉及的证书、证件正在办理延期、换证、变更和年审等无法提供的，应提供相关部门办理事项的证明材料。 二、 中标人如有违背下列情形之一的，责令限期改正，情节严重的，列入不良行为记录名单，在1至3年内禁止参加采购活动并承担法律责任和违约责任： （1）成交后无正当理由不与采购人签订合同的，不履行招标项目合同，承担法律责任和违约责任，包括承担诉讼费、律师费、顺延标价差额、误工损失等； （2）未按照采购文件确定的事项签订合同或者以欺骗的方法与采购人另行订立背离合同实质性内容的协议的； （3）拒绝履行合同义务的； （4）违反国家法律、行政法规、部门规章和其他政府采购政策规定的。 三、招标文件中所有的技术参数及其性能（配置）仅起参考作用，目的是满足采购人工作的基本要求，投标产品满足（实质相当于）或优于招标文件的采购需求均可。 供应商需对响应的“技术参数、规格、功能及其他要求”内容真实性负责，如虚假响应谋取中标资格，经核实发现，取消中标资格。 四、安全标准：符合国家、地方和行业的相关政策、法规。除招标文件另有规定外，若出现有关法律、法规和规章有强制性规定但招标文件未列明的情形，则投标人应按照有关法律、法规和规章强制性规定执行。 五、 本项目的质保期从设备验收合格之日起计算。（采购需求中免费保修期有特殊要求的按照采购需求中的为准）。若厂家有超过期限免费保修期的按厂家方案执行。） 六、 除招标文件明确外，未经业主同意，中标供应商不得以任何方式转包或分包本项目。</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投标人诚信守法承诺书 相关资格证明材料</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环保类行政处罚记录</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参加政府采购活动前三年内，在经营活动中没有环保类行政处罚记录，提供承诺函【投标人注册成立时间不足三年的，从注册时间起算，加盖公章】；</w:t>
            </w:r>
          </w:p>
        </w:tc>
        <w:tc>
          <w:tcPr>
            <w:tcW w:type="dxa" w:w="1661"/>
          </w:tcPr>
          <w:p>
            <w:pPr>
              <w:pStyle w:val="null3"/>
              <w:jc w:val="left"/>
            </w:pPr>
            <w:r>
              <w:rPr>
                <w:rFonts w:ascii="仿宋_GB2312" w:hAnsi="仿宋_GB2312" w:cs="仿宋_GB2312" w:eastAsia="仿宋_GB2312"/>
              </w:rPr>
              <w:t>相关资格证明材料</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投标人已完成成功类似案例一览表 中小企业声明函 商务应答表 自觉抵制政府采购领域商业贿赂行为承诺书 封面 商业信誉、财务会计制度、缴纳税收和社保的承诺函 投标人诚信守法承诺书 廉洁责任书 相关资格证明材料 具有独立承担民事责任的能力证明文件 投标人承诺函 投标（响应）报价明细表 其他材料 投标函 残疾人福利性单位声明函 供应商应提交的相关证明材料 无重大违法记录声明函 法定代表人资格证明书或法定代表人授权委托书 投标保证金缴纳证明材料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 投标保证金缴纳证明材料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投标（响应）报价明细表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 廉洁责任书</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技术部分47.50分</w:t>
            </w:r>
          </w:p>
          <w:p>
            <w:pPr>
              <w:pStyle w:val="null3"/>
              <w:jc w:val="both"/>
            </w:pPr>
            <w:r>
              <w:rPr>
                <w:rFonts w:ascii="仿宋_GB2312" w:hAnsi="仿宋_GB2312" w:cs="仿宋_GB2312" w:eastAsia="仿宋_GB2312"/>
              </w:rPr>
              <w:t>商务部分22.50分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招标需求响应1</w:t>
            </w:r>
          </w:p>
        </w:tc>
        <w:tc>
          <w:tcPr>
            <w:tcW w:type="dxa" w:w="2492"/>
          </w:tcPr>
          <w:p>
            <w:pPr>
              <w:pStyle w:val="null3"/>
              <w:jc w:val="both"/>
            </w:pPr>
            <w:r>
              <w:rPr>
                <w:rFonts w:ascii="仿宋_GB2312" w:hAnsi="仿宋_GB2312" w:cs="仿宋_GB2312" w:eastAsia="仿宋_GB2312"/>
              </w:rPr>
              <w:t>供应商提供的产品技术参数、规格及功能完全满足或优于磋商文件技术指标要求得满分，带“▲”的重要技术指标共23项，满分34.5分，每一项不满足扣1.5分；</w:t>
            </w:r>
          </w:p>
        </w:tc>
        <w:tc>
          <w:tcPr>
            <w:tcW w:type="dxa" w:w="831"/>
          </w:tcPr>
          <w:p>
            <w:pPr>
              <w:pStyle w:val="null3"/>
              <w:jc w:val="right"/>
            </w:pPr>
            <w:r>
              <w:rPr>
                <w:rFonts w:ascii="仿宋_GB2312" w:hAnsi="仿宋_GB2312" w:cs="仿宋_GB2312" w:eastAsia="仿宋_GB2312"/>
              </w:rPr>
              <w:t>34.5000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招标需求响应2</w:t>
            </w:r>
          </w:p>
        </w:tc>
        <w:tc>
          <w:tcPr>
            <w:tcW w:type="dxa" w:w="2492"/>
          </w:tcPr>
          <w:p>
            <w:pPr>
              <w:pStyle w:val="null3"/>
              <w:jc w:val="both"/>
            </w:pPr>
            <w:r>
              <w:rPr>
                <w:rFonts w:ascii="仿宋_GB2312" w:hAnsi="仿宋_GB2312" w:cs="仿宋_GB2312" w:eastAsia="仿宋_GB2312"/>
              </w:rPr>
              <w:t>供应商提供的产品技术参数、规格及功能完全满足或优于磋商文件技术指标要求得满分。 非带“▲”的一般技术指标共65项，满分13分，每一项不满足扣0.2分；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质量保证及售后服务方案</w:t>
            </w:r>
          </w:p>
        </w:tc>
        <w:tc>
          <w:tcPr>
            <w:tcW w:type="dxa" w:w="2492"/>
          </w:tcPr>
          <w:p>
            <w:pPr>
              <w:pStyle w:val="null3"/>
              <w:jc w:val="both"/>
            </w:pPr>
            <w:r>
              <w:rPr>
                <w:rFonts w:ascii="仿宋_GB2312" w:hAnsi="仿宋_GB2312" w:cs="仿宋_GB2312" w:eastAsia="仿宋_GB2312"/>
              </w:rPr>
              <w:t>根据投标人的质量保证及售后服务方案内容进行综合评价(方案内容包含但不限于:①产品质量保证体系、产品质量保证范围，②产品质量保证承诺、产品质量保证措施，③售后服务人员配备、响应时间、服务内容，④售后服务应急措施、解决问题的能力，⑤售后服务应急预案、备品备件，培训技术指导等)。 1.方案涵盖上述所有内容且满足采购需求的得10分； 2.方案每缺少一项上述内容，每缺少一项扣2分； 3.每存在一处缺陷的，扣1分。(内容缺陷是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项目管理实施方案</w:t>
            </w:r>
          </w:p>
        </w:tc>
        <w:tc>
          <w:tcPr>
            <w:tcW w:type="dxa" w:w="2492"/>
          </w:tcPr>
          <w:p>
            <w:pPr>
              <w:pStyle w:val="null3"/>
              <w:jc w:val="both"/>
            </w:pPr>
            <w:r>
              <w:rPr>
                <w:rFonts w:ascii="仿宋_GB2312" w:hAnsi="仿宋_GB2312" w:cs="仿宋_GB2312" w:eastAsia="仿宋_GB2312"/>
              </w:rPr>
              <w:t>投标人应针对本项目编制切实可行的项目实施方案内容包含但不限于:①对本项目的供货组织方案;②人员配备情况③进度安排④安装施工及调试方案⑤应急处理措施。 1.方案涵盖上述所有内容且满足采购需求的得10分； 2.方案每缺少一项上述内容，每缺少一项扣2分； 3.每存在一处缺陷的，扣1分。(内容缺陷是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供应商提供2022年至今的已完成成功案例（时间以收付款凭证日期为准），提供一宗类似单笔合同业绩者得0.5分，满分2.5分（以提供合同、验收证明材料、与该项目相关的收付款凭证为准，不提供不得分，并加盖供应商公章。）</w:t>
            </w:r>
          </w:p>
        </w:tc>
        <w:tc>
          <w:tcPr>
            <w:tcW w:type="dxa" w:w="831"/>
          </w:tcPr>
          <w:p>
            <w:pPr>
              <w:pStyle w:val="null3"/>
              <w:jc w:val="right"/>
            </w:pPr>
            <w:r>
              <w:rPr>
                <w:rFonts w:ascii="仿宋_GB2312" w:hAnsi="仿宋_GB2312" w:cs="仿宋_GB2312" w:eastAsia="仿宋_GB2312"/>
              </w:rPr>
              <w:t>2.5000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投标人已完成成功类似案例一览表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HCZB-2025-ZB1360</w:t>
      </w:r>
    </w:p>
    <w:p>
      <w:pPr>
        <w:pStyle w:val="null3"/>
        <w:jc w:val="left"/>
      </w:pPr>
      <w:r>
        <w:rPr>
          <w:rFonts w:ascii="仿宋_GB2312" w:hAnsi="仿宋_GB2312" w:cs="仿宋_GB2312" w:eastAsia="仿宋_GB2312"/>
        </w:rPr>
        <w:t>项目名称：</w:t>
      </w:r>
      <w:r>
        <w:rPr>
          <w:rFonts w:ascii="仿宋_GB2312" w:hAnsi="仿宋_GB2312" w:cs="仿宋_GB2312" w:eastAsia="仿宋_GB2312"/>
        </w:rPr>
        <w:t>IT基础设备购置</w:t>
      </w:r>
    </w:p>
    <w:p>
      <w:pPr>
        <w:pStyle w:val="null3"/>
        <w:jc w:val="left"/>
      </w:pPr>
      <w:r>
        <w:rPr>
          <w:rFonts w:ascii="仿宋_GB2312" w:hAnsi="仿宋_GB2312" w:cs="仿宋_GB2312" w:eastAsia="仿宋_GB2312"/>
        </w:rPr>
        <w:t>采购包：</w:t>
      </w:r>
      <w:r>
        <w:rPr>
          <w:rFonts w:ascii="仿宋_GB2312" w:hAnsi="仿宋_GB2312" w:cs="仿宋_GB2312" w:eastAsia="仿宋_GB2312"/>
        </w:rPr>
        <w:t>IT基础设备购置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四路X86服务器</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170985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集中式存储扩容</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1085000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光纤交换机</w:t>
            </w:r>
          </w:p>
        </w:tc>
        <w:tc>
          <w:tcPr>
            <w:tcW w:type="dxa" w:w="755"/>
          </w:tcPr>
          <w:p>
            <w:pPr>
              <w:pStyle w:val="null3"/>
              <w:jc w:val="left"/>
            </w:pPr>
            <w:r>
              <w:rPr>
                <w:rFonts w:ascii="仿宋_GB2312" w:hAnsi="仿宋_GB2312" w:cs="仿宋_GB2312" w:eastAsia="仿宋_GB2312"/>
              </w:rPr>
              <w:t xml:space="preserve"> 4.0000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411600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w:t>
            </w:r>
          </w:p>
        </w:tc>
        <w:tc>
          <w:tcPr>
            <w:tcW w:type="dxa" w:w="755"/>
          </w:tcPr>
          <w:p>
            <w:pPr>
              <w:pStyle w:val="null3"/>
              <w:jc w:val="left"/>
            </w:pPr>
            <w:r>
              <w:rPr>
                <w:rFonts w:ascii="仿宋_GB2312" w:hAnsi="仿宋_GB2312" w:cs="仿宋_GB2312" w:eastAsia="仿宋_GB2312"/>
              </w:rPr>
              <w:t xml:space="preserve"> 超融合服务器</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530100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w:t>
            </w:r>
          </w:p>
        </w:tc>
        <w:tc>
          <w:tcPr>
            <w:tcW w:type="dxa" w:w="755"/>
          </w:tcPr>
          <w:p>
            <w:pPr>
              <w:pStyle w:val="null3"/>
              <w:jc w:val="left"/>
            </w:pPr>
            <w:r>
              <w:rPr>
                <w:rFonts w:ascii="仿宋_GB2312" w:hAnsi="仿宋_GB2312" w:cs="仿宋_GB2312" w:eastAsia="仿宋_GB2312"/>
              </w:rPr>
              <w:t xml:space="preserve"> 服务器交换机</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122000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w:t>
            </w:r>
          </w:p>
        </w:tc>
        <w:tc>
          <w:tcPr>
            <w:tcW w:type="dxa" w:w="755"/>
          </w:tcPr>
          <w:p>
            <w:pPr>
              <w:pStyle w:val="null3"/>
              <w:jc w:val="left"/>
            </w:pPr>
            <w:r>
              <w:rPr>
                <w:rFonts w:ascii="仿宋_GB2312" w:hAnsi="仿宋_GB2312" w:cs="仿宋_GB2312" w:eastAsia="仿宋_GB2312"/>
              </w:rPr>
              <w:t xml:space="preserve"> 存储交换机</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80000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w:t>
            </w:r>
          </w:p>
        </w:tc>
        <w:tc>
          <w:tcPr>
            <w:tcW w:type="dxa" w:w="755"/>
          </w:tcPr>
          <w:p>
            <w:pPr>
              <w:pStyle w:val="null3"/>
              <w:jc w:val="left"/>
            </w:pPr>
            <w:r>
              <w:rPr>
                <w:rFonts w:ascii="仿宋_GB2312" w:hAnsi="仿宋_GB2312" w:cs="仿宋_GB2312" w:eastAsia="仿宋_GB2312"/>
              </w:rPr>
              <w:t xml:space="preserve"> 管理交换机</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w:t>
            </w:r>
          </w:p>
        </w:tc>
        <w:tc>
          <w:tcPr>
            <w:tcW w:type="dxa" w:w="755"/>
          </w:tcPr>
          <w:p>
            <w:pPr>
              <w:pStyle w:val="null3"/>
              <w:jc w:val="left"/>
            </w:pPr>
            <w:r>
              <w:rPr>
                <w:rFonts w:ascii="仿宋_GB2312" w:hAnsi="仿宋_GB2312" w:cs="仿宋_GB2312" w:eastAsia="仿宋_GB2312"/>
              </w:rPr>
              <w:t xml:space="preserve"> 内存扩容</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项</w:t>
            </w:r>
          </w:p>
        </w:tc>
        <w:tc>
          <w:tcPr>
            <w:tcW w:type="dxa" w:w="755"/>
          </w:tcPr>
          <w:p>
            <w:pPr>
              <w:pStyle w:val="null3"/>
              <w:jc w:val="left"/>
            </w:pPr>
            <w:r>
              <w:rPr>
                <w:rFonts w:ascii="仿宋_GB2312" w:hAnsi="仿宋_GB2312" w:cs="仿宋_GB2312" w:eastAsia="仿宋_GB2312"/>
              </w:rPr>
              <w:t xml:space="preserve"> 162400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w:t>
            </w:r>
          </w:p>
        </w:tc>
        <w:tc>
          <w:tcPr>
            <w:tcW w:type="dxa" w:w="755"/>
          </w:tcPr>
          <w:p>
            <w:pPr>
              <w:pStyle w:val="null3"/>
              <w:jc w:val="left"/>
            </w:pPr>
            <w:r>
              <w:rPr>
                <w:rFonts w:ascii="仿宋_GB2312" w:hAnsi="仿宋_GB2312" w:cs="仿宋_GB2312" w:eastAsia="仿宋_GB2312"/>
              </w:rPr>
              <w:t xml:space="preserve"> 分布式储存</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499290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详见附件：投标人诚信守法承诺书</w:t>
      </w:r>
    </w:p>
    <w:p>
      <w:pPr>
        <w:pStyle w:val="null3"/>
        <w:ind w:firstLine="960"/>
        <w:jc w:val="left"/>
      </w:pPr>
      <w:r>
        <w:rPr>
          <w:rFonts w:ascii="仿宋_GB2312" w:hAnsi="仿宋_GB2312" w:cs="仿宋_GB2312" w:eastAsia="仿宋_GB2312"/>
        </w:rPr>
        <w:t>详见附件：投标人已完成成功类似案例一览表</w:t>
      </w:r>
    </w:p>
    <w:p>
      <w:pPr>
        <w:pStyle w:val="null3"/>
        <w:ind w:firstLine="960"/>
        <w:jc w:val="left"/>
      </w:pPr>
      <w:r>
        <w:rPr>
          <w:rFonts w:ascii="仿宋_GB2312" w:hAnsi="仿宋_GB2312" w:cs="仿宋_GB2312" w:eastAsia="仿宋_GB2312"/>
        </w:rPr>
        <w:t>详见附件：相关资格证明材料</w:t>
      </w:r>
    </w:p>
    <w:p>
      <w:pPr>
        <w:pStyle w:val="null3"/>
        <w:ind w:firstLine="960"/>
        <w:jc w:val="left"/>
      </w:pPr>
      <w:r>
        <w:rPr>
          <w:rFonts w:ascii="仿宋_GB2312" w:hAnsi="仿宋_GB2312" w:cs="仿宋_GB2312" w:eastAsia="仿宋_GB2312"/>
        </w:rPr>
        <w:t>详见附件：廉洁责任书</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