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海南省文化馆海南自由贸易港-东盟非物质文化遗产周(三次)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HNZS2025-086RR</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海南省文化馆</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海南中顺项目管理有限公司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海南省文化馆</w:t>
      </w:r>
      <w:r>
        <w:rPr>
          <w:rFonts w:ascii="仿宋_GB2312" w:hAnsi="仿宋_GB2312" w:cs="仿宋_GB2312" w:eastAsia="仿宋_GB2312"/>
        </w:rPr>
        <w:t xml:space="preserve"> 的委托， </w:t>
      </w:r>
      <w:r>
        <w:rPr>
          <w:rFonts w:ascii="仿宋_GB2312" w:hAnsi="仿宋_GB2312" w:cs="仿宋_GB2312" w:eastAsia="仿宋_GB2312"/>
        </w:rPr>
        <w:t>海南中顺项目管理有限公司</w:t>
      </w:r>
      <w:r>
        <w:rPr>
          <w:rFonts w:ascii="仿宋_GB2312" w:hAnsi="仿宋_GB2312" w:cs="仿宋_GB2312" w:eastAsia="仿宋_GB2312"/>
        </w:rPr>
        <w:t xml:space="preserve"> 对 </w:t>
      </w:r>
      <w:r>
        <w:rPr>
          <w:rFonts w:ascii="仿宋_GB2312" w:hAnsi="仿宋_GB2312" w:cs="仿宋_GB2312" w:eastAsia="仿宋_GB2312"/>
        </w:rPr>
        <w:t>海南省文化馆海南自由贸易港-东盟非物质文化遗产周(三次)</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HNZS2025-086RR</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海南省文化馆海南自由贸易港-东盟非物质文化遗产周(三次)</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2,000,000.00元</w:t>
      </w:r>
      <w:r>
        <w:rPr>
          <w:rFonts w:ascii="仿宋_GB2312" w:hAnsi="仿宋_GB2312" w:cs="仿宋_GB2312" w:eastAsia="仿宋_GB2312"/>
        </w:rPr>
        <w:t>贰佰万元整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合同签订生效之日至活动结束</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属于专门面向中小企业采购，预留比例为100%。</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1、无环保类行政处罚记录：参加政府采购活动前三年内，无环保类行政处罚记录。（供应商须提供承诺函）</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本项目为远程不见面开标，供应商无须到达开标现场，远程按时参加在线开标解密即可。本项目不接受供应商的电子备用响应文件，以供应商成功加密后递交至海南省政府采购智慧云平台的电子响应文件为准，因供应商自身原因导致无法解密或解密失败的，自行承担不利后果。2.供应商如遇技术问题自行联系海南省政府采购智慧云平台客服。</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海南省文化馆</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海口市琼山区椰海大道4号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0898-65327611</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海南中顺项目管理有限公司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海南省海口市美兰区海府街道蓝天路名门广场北区C座1006房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简先生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0898-68602509</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采购包1：2,000,000.00元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考原国家计委颁发的《招标代理服务收费管理新行办法》(计价格[200211980号)和国家发改委办公厅颁发的《国家发改委关于招标代理服务收费有关问题的通知》(发改办价格(20031857号)的规定下浮率为25%收取本项目采购代理服务费。具体金额为人民币:￥17250.00元(人民币大写:壹万柒仟贰佰伍拾元整)</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（2）中国政府采购网海南分网（海南省政府采购网），网址https://ccgp-hainan.gov.cn/。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17.</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评标委员会由3人组成，其中采购人代表1人，评审专家2人。评审专家从海南省综合评审专家库中随机抽取。2、本项目为远程不见面开标，供应商无须到达开标现场，但开标前必须进入电子开标大厅在线签到(未签到视为无效投标)，远程按时参加在线开标解密即可。</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联系人：何珏</w:t>
      </w:r>
    </w:p>
    <w:p>
      <w:pPr>
        <w:pStyle w:val="null3"/>
        <w:jc w:val="left"/>
      </w:pPr>
      <w:r>
        <w:rPr>
          <w:rFonts w:ascii="仿宋_GB2312" w:hAnsi="仿宋_GB2312" w:cs="仿宋_GB2312" w:eastAsia="仿宋_GB2312"/>
        </w:rPr>
        <w:t>联系电话：0898-68602509</w:t>
      </w:r>
    </w:p>
    <w:p>
      <w:pPr>
        <w:pStyle w:val="null3"/>
        <w:jc w:val="left"/>
      </w:pPr>
      <w:r>
        <w:rPr>
          <w:rFonts w:ascii="仿宋_GB2312" w:hAnsi="仿宋_GB2312" w:cs="仿宋_GB2312" w:eastAsia="仿宋_GB2312"/>
        </w:rPr>
        <w:t>地址：海口市蓝天路31号名门广场北区C座1006房</w:t>
      </w:r>
    </w:p>
    <w:p>
      <w:pPr>
        <w:pStyle w:val="null3"/>
        <w:jc w:val="left"/>
      </w:pPr>
      <w:r>
        <w:rPr>
          <w:rFonts w:ascii="仿宋_GB2312" w:hAnsi="仿宋_GB2312" w:cs="仿宋_GB2312" w:eastAsia="仿宋_GB2312"/>
        </w:rPr>
        <w:t>邮编：570203</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1"/>
        </w:rPr>
        <w:t>海南省文化馆</w:t>
      </w:r>
      <w:r>
        <w:rPr>
          <w:rFonts w:ascii="仿宋_GB2312" w:hAnsi="仿宋_GB2312" w:cs="仿宋_GB2312" w:eastAsia="仿宋_GB2312"/>
          <w:sz w:val="21"/>
        </w:rPr>
        <w:t>为进一步加深中国（海南）与东盟各国在非物质文化遗产领域的交流与合作，展示中国（海南）和东盟各国独特的传统文化魅力，提升公众对非遗的认知与保护意识，构建一个长期稳定的非遗展示交流平台，推动非遗的传承与创新发展，开展本项目。为了更好地完成该项目，海南省文化馆</w:t>
      </w:r>
      <w:r>
        <w:rPr>
          <w:rFonts w:ascii="仿宋_GB2312" w:hAnsi="仿宋_GB2312" w:cs="仿宋_GB2312" w:eastAsia="仿宋_GB2312"/>
          <w:sz w:val="21"/>
        </w:rPr>
        <w:t>拟采购一家单位为本项目提供相关服务，项目资金已落实。</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2,000,000.00</w:t>
      </w:r>
    </w:p>
    <w:p>
      <w:pPr>
        <w:pStyle w:val="null3"/>
        <w:jc w:val="left"/>
      </w:pPr>
      <w:r>
        <w:rPr>
          <w:rFonts w:ascii="仿宋_GB2312" w:hAnsi="仿宋_GB2312" w:cs="仿宋_GB2312" w:eastAsia="仿宋_GB2312"/>
        </w:rPr>
        <w:t>采购包最高限价（元）: 2,000,000.00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C22029900-其他展览服务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C22029900-其他展览服务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标的名称：C22029900-其他展览服务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spacing w:before="240" w:after="240"/>
              <w:jc w:val="left"/>
            </w:pPr>
            <w:r>
              <w:rPr>
                <w:rFonts w:ascii="仿宋_GB2312" w:hAnsi="仿宋_GB2312" w:cs="仿宋_GB2312" w:eastAsia="仿宋_GB2312"/>
                <w:sz w:val="21"/>
                <w:b/>
              </w:rPr>
              <w:t>技术（服务）要求</w:t>
            </w:r>
          </w:p>
          <w:p>
            <w:pPr>
              <w:pStyle w:val="null3"/>
              <w:jc w:val="left"/>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开幕式</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负责策划、开展开幕式相关活动、流程等；</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负责开幕式现场的氛围营造、场地布置等；</w:t>
            </w:r>
          </w:p>
          <w:p>
            <w:pPr>
              <w:pStyle w:val="null3"/>
              <w:jc w:val="left"/>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差旅</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负责赴泰国开展文物点交工作的差旅、住宿、伙食、公杂、证件及保险等；</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负责海南及东盟各国表演及参演人员的差旅、住宿、伙食、公杂、保险及劳务等；</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负责泰方人员出席开幕式的差旅、住宿、伙食、公杂</w:t>
            </w:r>
            <w:r>
              <w:rPr>
                <w:rFonts w:ascii="仿宋_GB2312" w:hAnsi="仿宋_GB2312" w:cs="仿宋_GB2312" w:eastAsia="仿宋_GB2312"/>
                <w:sz w:val="21"/>
              </w:rPr>
              <w:t>、</w:t>
            </w:r>
            <w:r>
              <w:rPr>
                <w:rFonts w:ascii="仿宋_GB2312" w:hAnsi="仿宋_GB2312" w:cs="仿宋_GB2312" w:eastAsia="仿宋_GB2312"/>
                <w:sz w:val="21"/>
              </w:rPr>
              <w:t>保险</w:t>
            </w:r>
            <w:r>
              <w:rPr>
                <w:rFonts w:ascii="仿宋_GB2312" w:hAnsi="仿宋_GB2312" w:cs="仿宋_GB2312" w:eastAsia="仿宋_GB2312"/>
                <w:sz w:val="21"/>
              </w:rPr>
              <w:t>等</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负责受邀嘉宾的伙食、住宿及调研等。</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孔剧之魅</w:t>
            </w:r>
            <w:r>
              <w:rPr>
                <w:rFonts w:ascii="仿宋_GB2312" w:hAnsi="仿宋_GB2312" w:cs="仿宋_GB2312" w:eastAsia="仿宋_GB2312"/>
                <w:sz w:val="21"/>
              </w:rPr>
              <w:t>——泰国艺术瑰宝展（暂定名）</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负责制定孔剧之魅</w:t>
            </w:r>
            <w:r>
              <w:rPr>
                <w:rFonts w:ascii="仿宋_GB2312" w:hAnsi="仿宋_GB2312" w:cs="仿宋_GB2312" w:eastAsia="仿宋_GB2312"/>
                <w:sz w:val="21"/>
              </w:rPr>
              <w:t>——泰国艺术瑰宝展（暂定名）展览方案；</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负责策划孔剧之魅</w:t>
            </w:r>
            <w:r>
              <w:rPr>
                <w:rFonts w:ascii="仿宋_GB2312" w:hAnsi="仿宋_GB2312" w:cs="仿宋_GB2312" w:eastAsia="仿宋_GB2312"/>
                <w:sz w:val="21"/>
              </w:rPr>
              <w:t>——泰国艺术瑰宝展览内容、展陈设计及布展撤展等；</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负责约</w:t>
            </w:r>
            <w:r>
              <w:rPr>
                <w:rFonts w:ascii="仿宋_GB2312" w:hAnsi="仿宋_GB2312" w:cs="仿宋_GB2312" w:eastAsia="仿宋_GB2312"/>
                <w:sz w:val="21"/>
              </w:rPr>
              <w:t>50</w:t>
            </w:r>
            <w:r>
              <w:rPr>
                <w:rFonts w:ascii="仿宋_GB2312" w:hAnsi="仿宋_GB2312" w:cs="仿宋_GB2312" w:eastAsia="仿宋_GB2312"/>
                <w:sz w:val="21"/>
              </w:rPr>
              <w:t>件展品的借展手续、展出前后养护、借还运输等；</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负责展览文字的校对、翻译等；</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负责获取展览必须的视频、图片等的使用权。</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超凡聚演</w:t>
            </w:r>
            <w:r>
              <w:rPr>
                <w:rFonts w:ascii="仿宋_GB2312" w:hAnsi="仿宋_GB2312" w:cs="仿宋_GB2312" w:eastAsia="仿宋_GB2312"/>
                <w:sz w:val="21"/>
              </w:rPr>
              <w:t>——中国（海南）</w:t>
            </w:r>
            <w:r>
              <w:rPr>
                <w:rFonts w:ascii="仿宋_GB2312" w:hAnsi="仿宋_GB2312" w:cs="仿宋_GB2312" w:eastAsia="仿宋_GB2312"/>
                <w:sz w:val="21"/>
              </w:rPr>
              <w:t>-</w:t>
            </w:r>
            <w:r>
              <w:rPr>
                <w:rFonts w:ascii="仿宋_GB2312" w:hAnsi="仿宋_GB2312" w:cs="仿宋_GB2312" w:eastAsia="仿宋_GB2312"/>
                <w:sz w:val="21"/>
              </w:rPr>
              <w:t>东盟传统表演艺术展演周（暂定名）</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负责制定艺术周非遗展演活动方案及节目单；</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负责邀请泰国等东南亚国家及海南传统表演艺术类非遗项目参加艺术周；</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负责艺术周非遗展演活动的策划组织开展。</w:t>
            </w:r>
          </w:p>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巧工授艺</w:t>
            </w:r>
            <w:r>
              <w:rPr>
                <w:rFonts w:ascii="仿宋_GB2312" w:hAnsi="仿宋_GB2312" w:cs="仿宋_GB2312" w:eastAsia="仿宋_GB2312"/>
                <w:sz w:val="21"/>
              </w:rPr>
              <w:t>——中国（海南）</w:t>
            </w:r>
            <w:r>
              <w:rPr>
                <w:rFonts w:ascii="仿宋_GB2312" w:hAnsi="仿宋_GB2312" w:cs="仿宋_GB2312" w:eastAsia="仿宋_GB2312"/>
                <w:sz w:val="21"/>
              </w:rPr>
              <w:t>-</w:t>
            </w:r>
            <w:r>
              <w:rPr>
                <w:rFonts w:ascii="仿宋_GB2312" w:hAnsi="仿宋_GB2312" w:cs="仿宋_GB2312" w:eastAsia="仿宋_GB2312"/>
                <w:sz w:val="21"/>
              </w:rPr>
              <w:t>东盟传统工艺传承工作坊</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制定传统工艺传承工作坊活动方案；</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邀请泰国等东南亚国家及海南传统手工艺类非遗项目在传统工艺传承工作坊中展示；</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每个工作坊邀请当地的非遗传承人作为导师，向参与者传授技艺。</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交流互鉴</w:t>
            </w:r>
            <w:r>
              <w:rPr>
                <w:rFonts w:ascii="仿宋_GB2312" w:hAnsi="仿宋_GB2312" w:cs="仿宋_GB2312" w:eastAsia="仿宋_GB2312"/>
                <w:sz w:val="21"/>
              </w:rPr>
              <w:t>——中国（海南）</w:t>
            </w:r>
            <w:r>
              <w:rPr>
                <w:rFonts w:ascii="仿宋_GB2312" w:hAnsi="仿宋_GB2312" w:cs="仿宋_GB2312" w:eastAsia="仿宋_GB2312"/>
                <w:sz w:val="21"/>
              </w:rPr>
              <w:t>-</w:t>
            </w:r>
            <w:r>
              <w:rPr>
                <w:rFonts w:ascii="仿宋_GB2312" w:hAnsi="仿宋_GB2312" w:cs="仿宋_GB2312" w:eastAsia="仿宋_GB2312"/>
                <w:sz w:val="21"/>
              </w:rPr>
              <w:t>东盟非遗学术研讨会</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围绕</w:t>
            </w:r>
            <w:r>
              <w:rPr>
                <w:rFonts w:ascii="仿宋_GB2312" w:hAnsi="仿宋_GB2312" w:cs="仿宋_GB2312" w:eastAsia="仿宋_GB2312"/>
                <w:sz w:val="21"/>
              </w:rPr>
              <w:t>“非遗在当代社会的传承与发展”“非遗的跨文化交流与创新”等主题制定学术研讨会方案并组织实施；</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邀请中国和东盟各国的非遗专家、学者等参加研讨会，分享各国在非遗保护、传承、创新方面的经验与案例；</w:t>
            </w:r>
          </w:p>
          <w:p>
            <w:pPr>
              <w:pStyle w:val="null3"/>
              <w:jc w:val="left"/>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潮趣优品</w:t>
            </w:r>
            <w:r>
              <w:rPr>
                <w:rFonts w:ascii="仿宋_GB2312" w:hAnsi="仿宋_GB2312" w:cs="仿宋_GB2312" w:eastAsia="仿宋_GB2312"/>
                <w:sz w:val="21"/>
              </w:rPr>
              <w:t>——中国（海南）</w:t>
            </w:r>
            <w:r>
              <w:rPr>
                <w:rFonts w:ascii="仿宋_GB2312" w:hAnsi="仿宋_GB2312" w:cs="仿宋_GB2312" w:eastAsia="仿宋_GB2312"/>
                <w:sz w:val="21"/>
              </w:rPr>
              <w:t>-</w:t>
            </w:r>
            <w:r>
              <w:rPr>
                <w:rFonts w:ascii="仿宋_GB2312" w:hAnsi="仿宋_GB2312" w:cs="仿宋_GB2312" w:eastAsia="仿宋_GB2312"/>
                <w:sz w:val="21"/>
              </w:rPr>
              <w:t>东盟非遗创意产品集市</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制定非遗创意产品集市方案并组织实施；</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邀请海南及泰国等东南亚国家传统工艺非遗传承人、文化创意企业等展销非遗相关产品；</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在集市中设置文化体验区，观众可以免费参与传统工艺体验活动等。</w:t>
            </w:r>
          </w:p>
          <w:p>
            <w:pPr>
              <w:pStyle w:val="null3"/>
              <w:jc w:val="left"/>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活动宣传</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及时发布活动信息，包括活动日程、表演节目单、参展项目介绍、图片直播等。</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利用</w:t>
            </w:r>
            <w:r>
              <w:rPr>
                <w:rFonts w:ascii="仿宋_GB2312" w:hAnsi="仿宋_GB2312" w:cs="仿宋_GB2312" w:eastAsia="仿宋_GB2312"/>
                <w:sz w:val="21"/>
              </w:rPr>
              <w:t>各类</w:t>
            </w:r>
            <w:r>
              <w:rPr>
                <w:rFonts w:ascii="仿宋_GB2312" w:hAnsi="仿宋_GB2312" w:cs="仿宋_GB2312" w:eastAsia="仿宋_GB2312"/>
                <w:sz w:val="21"/>
              </w:rPr>
              <w:t>媒体平台进行活动预热、推广和互动。定期发布活动亮点、参演人员访谈、非遗知识普及等内容。</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与</w:t>
            </w:r>
            <w:r>
              <w:rPr>
                <w:rFonts w:ascii="仿宋_GB2312" w:hAnsi="仿宋_GB2312" w:cs="仿宋_GB2312" w:eastAsia="仿宋_GB2312"/>
                <w:sz w:val="21"/>
              </w:rPr>
              <w:t>各类</w:t>
            </w:r>
            <w:r>
              <w:rPr>
                <w:rFonts w:ascii="仿宋_GB2312" w:hAnsi="仿宋_GB2312" w:cs="仿宋_GB2312" w:eastAsia="仿宋_GB2312"/>
                <w:sz w:val="21"/>
              </w:rPr>
              <w:t>媒体合作，发布活动新闻稿、专题报道。</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、合同履行期限：合同签订生效之日</w:t>
            </w:r>
            <w:r>
              <w:rPr>
                <w:rFonts w:ascii="仿宋_GB2312" w:hAnsi="仿宋_GB2312" w:cs="仿宋_GB2312" w:eastAsia="仿宋_GB2312"/>
                <w:sz w:val="21"/>
              </w:rPr>
              <w:t>至活动结束</w:t>
            </w:r>
            <w:r>
              <w:rPr>
                <w:rFonts w:ascii="仿宋_GB2312" w:hAnsi="仿宋_GB2312" w:cs="仿宋_GB2312" w:eastAsia="仿宋_GB2312"/>
                <w:sz w:val="21"/>
              </w:rPr>
              <w:t>。</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、服务地点：海南省文化馆（海南省艺术研究所、海南省非物质文化遗产保护中心）。</w:t>
            </w:r>
          </w:p>
          <w:p>
            <w:pPr>
              <w:pStyle w:val="null3"/>
              <w:ind w:firstLine="420"/>
              <w:jc w:val="left"/>
            </w:pPr>
            <w:r>
              <w:rPr>
                <w:rFonts w:ascii="仿宋_GB2312" w:hAnsi="仿宋_GB2312" w:cs="仿宋_GB2312" w:eastAsia="仿宋_GB2312"/>
              </w:rPr>
              <w:t>3、服务范围：符合采购文件要求。</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、付款条件（进度和方式）：合同签订生效之日起</w:t>
            </w:r>
            <w:r>
              <w:rPr>
                <w:rFonts w:ascii="仿宋_GB2312" w:hAnsi="仿宋_GB2312" w:cs="仿宋_GB2312" w:eastAsia="仿宋_GB2312"/>
                <w:sz w:val="21"/>
              </w:rPr>
              <w:t>7</w:t>
            </w:r>
            <w:r>
              <w:rPr>
                <w:rFonts w:ascii="仿宋_GB2312" w:hAnsi="仿宋_GB2312" w:cs="仿宋_GB2312" w:eastAsia="仿宋_GB2312"/>
                <w:sz w:val="21"/>
              </w:rPr>
              <w:t>个工作日内支付合同总金额的</w:t>
            </w:r>
            <w:r>
              <w:rPr>
                <w:rFonts w:ascii="仿宋_GB2312" w:hAnsi="仿宋_GB2312" w:cs="仿宋_GB2312" w:eastAsia="仿宋_GB2312"/>
                <w:sz w:val="21"/>
              </w:rPr>
              <w:t>4</w:t>
            </w:r>
            <w:r>
              <w:rPr>
                <w:rFonts w:ascii="仿宋_GB2312" w:hAnsi="仿宋_GB2312" w:cs="仿宋_GB2312" w:eastAsia="仿宋_GB2312"/>
                <w:sz w:val="21"/>
              </w:rPr>
              <w:t>0%</w:t>
            </w:r>
            <w:r>
              <w:rPr>
                <w:rFonts w:ascii="仿宋_GB2312" w:hAnsi="仿宋_GB2312" w:cs="仿宋_GB2312" w:eastAsia="仿宋_GB2312"/>
                <w:sz w:val="21"/>
              </w:rPr>
              <w:t>，项目提交成果后支付项目结算合同总金额的</w:t>
            </w:r>
            <w:r>
              <w:rPr>
                <w:rFonts w:ascii="仿宋_GB2312" w:hAnsi="仿宋_GB2312" w:cs="仿宋_GB2312" w:eastAsia="仿宋_GB2312"/>
                <w:sz w:val="21"/>
              </w:rPr>
              <w:t>3</w:t>
            </w:r>
            <w:r>
              <w:rPr>
                <w:rFonts w:ascii="仿宋_GB2312" w:hAnsi="仿宋_GB2312" w:cs="仿宋_GB2312" w:eastAsia="仿宋_GB2312"/>
                <w:sz w:val="21"/>
              </w:rPr>
              <w:t>0%</w:t>
            </w:r>
            <w:r>
              <w:rPr>
                <w:rFonts w:ascii="仿宋_GB2312" w:hAnsi="仿宋_GB2312" w:cs="仿宋_GB2312" w:eastAsia="仿宋_GB2312"/>
                <w:sz w:val="21"/>
              </w:rPr>
              <w:t>，验收合格后</w:t>
            </w:r>
            <w:r>
              <w:rPr>
                <w:rFonts w:ascii="仿宋_GB2312" w:hAnsi="仿宋_GB2312" w:cs="仿宋_GB2312" w:eastAsia="仿宋_GB2312"/>
                <w:sz w:val="21"/>
              </w:rPr>
              <w:t>1</w:t>
            </w:r>
            <w:r>
              <w:rPr>
                <w:rFonts w:ascii="仿宋_GB2312" w:hAnsi="仿宋_GB2312" w:cs="仿宋_GB2312" w:eastAsia="仿宋_GB2312"/>
                <w:sz w:val="21"/>
              </w:rPr>
              <w:t>个月内支付项目结算合同总金额的</w:t>
            </w:r>
            <w:r>
              <w:rPr>
                <w:rFonts w:ascii="仿宋_GB2312" w:hAnsi="仿宋_GB2312" w:cs="仿宋_GB2312" w:eastAsia="仿宋_GB2312"/>
                <w:sz w:val="21"/>
              </w:rPr>
              <w:t>30%</w:t>
            </w:r>
            <w:r>
              <w:rPr>
                <w:rFonts w:ascii="仿宋_GB2312" w:hAnsi="仿宋_GB2312" w:cs="仿宋_GB2312" w:eastAsia="仿宋_GB2312"/>
                <w:sz w:val="21"/>
              </w:rPr>
              <w:t>。（具体以合同约定为准）</w:t>
            </w:r>
          </w:p>
          <w:p>
            <w:pPr>
              <w:pStyle w:val="null3"/>
              <w:ind w:firstLine="420"/>
              <w:jc w:val="left"/>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验收方式及标准：由采购人在指定地点对所购服务进行验收，验收标准除了竞争性磋商文件的技术（服务）要求、成交供应商的响应文件及承诺以及采购合同约定外，可溯源到国家、行业及地方现行相关规定、规范及技术标准。</w:t>
            </w:r>
          </w:p>
          <w:p>
            <w:pPr>
              <w:pStyle w:val="null3"/>
              <w:ind w:firstLine="420"/>
              <w:jc w:val="left"/>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保险：（</w:t>
            </w:r>
            <w:r>
              <w:rPr>
                <w:rFonts w:ascii="仿宋_GB2312" w:hAnsi="仿宋_GB2312" w:cs="仿宋_GB2312" w:eastAsia="仿宋_GB2312"/>
                <w:sz w:val="21"/>
              </w:rPr>
              <w:t>1</w:t>
            </w:r>
            <w:r>
              <w:rPr>
                <w:rFonts w:ascii="仿宋_GB2312" w:hAnsi="仿宋_GB2312" w:cs="仿宋_GB2312" w:eastAsia="仿宋_GB2312"/>
                <w:sz w:val="21"/>
              </w:rPr>
              <w:t>）成交供应商应当遵守国家有关消防、安全、生产操作、劳动保护等方面的规定，并结合本项目采购合同履行情况，购买涉及上述履约风险的对应保险，保险金额以抵消可能发生的事故因其发生所造成的财产、人身损失承担赔偿保险金责任，维护保险标的的安全。（</w:t>
            </w:r>
            <w:r>
              <w:rPr>
                <w:rFonts w:ascii="仿宋_GB2312" w:hAnsi="仿宋_GB2312" w:cs="仿宋_GB2312" w:eastAsia="仿宋_GB2312"/>
                <w:sz w:val="21"/>
              </w:rPr>
              <w:t>2</w:t>
            </w:r>
            <w:r>
              <w:rPr>
                <w:rFonts w:ascii="仿宋_GB2312" w:hAnsi="仿宋_GB2312" w:cs="仿宋_GB2312" w:eastAsia="仿宋_GB2312"/>
                <w:sz w:val="21"/>
              </w:rPr>
              <w:t>）成交供应商为本项目提供履约的所有人员按照《中华人民共和国劳动合同法》订立劳动合同，如有退休人员或其他依法不能签订劳动合同的应当签订劳务合同，并为上述人员购买意外伤害保险，保险期限至本项目采购合同履行完毕。</w:t>
            </w:r>
          </w:p>
          <w:p>
            <w:pPr>
              <w:pStyle w:val="null3"/>
              <w:jc w:val="both"/>
            </w:pPr>
            <w:r>
              <w:rPr>
                <w:rFonts w:ascii="仿宋_GB2312" w:hAnsi="仿宋_GB2312" w:cs="仿宋_GB2312" w:eastAsia="仿宋_GB2312"/>
                <w:sz w:val="21"/>
              </w:rPr>
              <w:t xml:space="preserve">       7</w:t>
            </w:r>
            <w:r>
              <w:rPr>
                <w:rFonts w:ascii="仿宋_GB2312" w:hAnsi="仿宋_GB2312" w:cs="仿宋_GB2312" w:eastAsia="仿宋_GB2312"/>
                <w:sz w:val="21"/>
              </w:rPr>
              <w:t>、其他要求：确认采购人具体需求，并根据采购人的要求随时就服务情况进行调整、优化；</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参加政府采购活动前三年内，在经营活动中没有重大违法记录</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供应商无不良信用记录</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法律、行政法规规定的其他条件</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w:t>
            </w:r>
          </w:p>
        </w:tc>
        <w:tc>
          <w:tcPr>
            <w:tcW w:type="dxa" w:w="3322"/>
          </w:tcPr>
          <w:p>
            <w:pPr>
              <w:pStyle w:val="null3"/>
              <w:jc w:val="left"/>
            </w:pPr>
            <w:r>
              <w:rPr>
                <w:rFonts w:ascii="仿宋_GB2312" w:hAnsi="仿宋_GB2312" w:cs="仿宋_GB2312" w:eastAsia="仿宋_GB2312"/>
              </w:rPr>
              <w:t>参加政府采购活动前三年内，无环保类行政处罚记录。（供应商须提供承诺函）</w:t>
            </w:r>
          </w:p>
        </w:tc>
        <w:tc>
          <w:tcPr>
            <w:tcW w:type="dxa" w:w="1661"/>
          </w:tcPr>
          <w:p>
            <w:pPr>
              <w:pStyle w:val="null3"/>
              <w:jc w:val="left"/>
            </w:pPr>
            <w:r>
              <w:rPr>
                <w:rFonts w:ascii="仿宋_GB2312" w:hAnsi="仿宋_GB2312" w:cs="仿宋_GB2312" w:eastAsia="仿宋_GB2312"/>
              </w:rPr>
              <w:t>环保类行政处罚记录声明函</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中小企业声明函 残疾人福利性单位声明函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供应商类似项目业绩 开标（报价）一览表 法律、行政法规规定的其他条件 参加政府采购活动前三年内，在经营活动中没有重大违法记录 中小企业声明函 商务应答表 技术方案 自觉抵制政府采购领域商业贿赂行为承诺书 封面 商业信誉、财务会计制度、缴纳税收和社保的承诺函 环保类行政处罚记录声明函 具有独立承担民事责任的能力证明文件 供应商承诺函 磋商保证金缴纳证明材料 供应商无不良信用记录 其他材料 残疾人福利性单位声明函 供应商应提交的相关证明材料 无重大违法记录声明函 法定代表人资格证明书或法定代表人授权委托书 服务人员情况表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合同履行期限、交付（服务）地点须满足磋商文件要求。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供应商类似项目业绩 开标（报价）一览表 法律、行政法规规定的其他条件 参加政府采购活动前三年内，在经营活动中没有重大违法记录 中小企业声明函 商务应答表 技术方案 自觉抵制政府采购领域商业贿赂行为承诺书 封面 商业信誉、财务会计制度、缴纳税收和社保的承诺函 环保类行政处罚记录声明函 具有独立承担民事责任的能力证明文件 供应商承诺函 磋商保证金缴纳证明材料 供应商无不良信用记录 其他材料 残疾人福利性单位声明函 供应商应提交的相关证明材料 无重大违法记录声明函 法定代表人资格证明书或法定代表人授权委托书 服务人员情况表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技术部分75.00分</w:t>
            </w:r>
          </w:p>
          <w:p>
            <w:pPr>
              <w:pStyle w:val="null3"/>
              <w:jc w:val="left"/>
            </w:pPr>
            <w:r>
              <w:rPr>
                <w:rFonts w:ascii="仿宋_GB2312" w:hAnsi="仿宋_GB2312" w:cs="仿宋_GB2312" w:eastAsia="仿宋_GB2312"/>
              </w:rPr>
              <w:t>商务部分15.00分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策划和实施方案</w:t>
            </w:r>
          </w:p>
        </w:tc>
        <w:tc>
          <w:tcPr>
            <w:tcW w:type="dxa" w:w="2492"/>
          </w:tcPr>
          <w:p>
            <w:pPr>
              <w:pStyle w:val="null3"/>
              <w:jc w:val="left"/>
            </w:pPr>
            <w:r>
              <w:rPr>
                <w:rFonts w:ascii="仿宋_GB2312" w:hAnsi="仿宋_GB2312" w:cs="仿宋_GB2312" w:eastAsia="仿宋_GB2312"/>
              </w:rPr>
              <w:t>根据供应商提交的策划和实施方案进行综合评分，内容包括但不限于：①孔剧之魅—泰国艺术瑰宝展策划和实施方案；②超凡聚演—中国（海南）-东盟传统表演艺术展演周策划和实施方案；③巧工授艺—中国（海南）-东盟传统工艺传承工作坊策划和实施方案；④交流互鉴—中国（海南）-东盟非遗学术研讨会策划和实施方案；⑤潮趣优品—中国（海南）-东盟非遗创意产品集市策划和实施方案。供应商提交策划和实施方案的得25分，如每缺少一项内容扣5分，最低得0分；策划和实施方案每存在一处缺陷（缺陷是指不符合采购项目的具体特点、与采购项目实际需要不相适应、凭空编造、分析中内容前后不一致、前后逻辑错误等情形）扣1分，最低得0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服务保障措施</w:t>
            </w:r>
          </w:p>
        </w:tc>
        <w:tc>
          <w:tcPr>
            <w:tcW w:type="dxa" w:w="2492"/>
          </w:tcPr>
          <w:p>
            <w:pPr>
              <w:pStyle w:val="null3"/>
              <w:jc w:val="left"/>
            </w:pPr>
            <w:r>
              <w:rPr>
                <w:rFonts w:ascii="仿宋_GB2312" w:hAnsi="仿宋_GB2312" w:cs="仿宋_GB2312" w:eastAsia="仿宋_GB2312"/>
              </w:rPr>
              <w:t>根据供应商提交的服务保障措施进行综合评分，内容包括但不限于：①人员素质保障措施；②设备保障措施；③服务质量保障措施；④服务时效性与精准度保障措施。供应商提交服务保障措施的得20分，如每缺少一项内容扣5分，最低得0分；服务保障措施每存在一处缺陷（缺陷是指方案内容不符合采购项目的具体特点、与采购项目实际需要不相适应、与合同履行无关、凭空编造、措施中内容前后不一致、前后逻辑错误等情形）扣1分，最低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宣传推广方案</w:t>
            </w:r>
          </w:p>
        </w:tc>
        <w:tc>
          <w:tcPr>
            <w:tcW w:type="dxa" w:w="2492"/>
          </w:tcPr>
          <w:p>
            <w:pPr>
              <w:pStyle w:val="null3"/>
              <w:jc w:val="left"/>
            </w:pPr>
            <w:r>
              <w:rPr>
                <w:rFonts w:ascii="仿宋_GB2312" w:hAnsi="仿宋_GB2312" w:cs="仿宋_GB2312" w:eastAsia="仿宋_GB2312"/>
              </w:rPr>
              <w:t>根据供应商提交的宣传推广方案进行综合评分，内容包括但不限于：①项目宣传推广计划；②项目宣传推广渠道与策略；③宣传推广媒体资源列表；④项目宣传推广进度安排；⑤宣传推广载体策划设计。供应商提交宣传推广方案的得20分，如每缺少一项内容扣4分，最低得0分；宣传推广方案每存在一处缺陷（缺陷是指方案内容不符合采购项目的具体特点、与采购项目实际需要不相适应、与合同履行无关、凭空编造、措施中内容前后不一致、前后逻辑错误等情形）扣1分，最低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vMerge/>
          </w:tcPr>
          <w:p/>
        </w:tc>
        <w:tc>
          <w:tcPr>
            <w:tcW w:type="dxa" w:w="1661"/>
          </w:tcPr>
          <w:p>
            <w:pPr>
              <w:pStyle w:val="null3"/>
              <w:jc w:val="left"/>
            </w:pPr>
            <w:r>
              <w:rPr>
                <w:rFonts w:ascii="仿宋_GB2312" w:hAnsi="仿宋_GB2312" w:cs="仿宋_GB2312" w:eastAsia="仿宋_GB2312"/>
              </w:rPr>
              <w:t>安全方案</w:t>
            </w:r>
          </w:p>
        </w:tc>
        <w:tc>
          <w:tcPr>
            <w:tcW w:type="dxa" w:w="2492"/>
          </w:tcPr>
          <w:p>
            <w:pPr>
              <w:pStyle w:val="null3"/>
              <w:jc w:val="left"/>
            </w:pPr>
            <w:r>
              <w:rPr>
                <w:rFonts w:ascii="仿宋_GB2312" w:hAnsi="仿宋_GB2312" w:cs="仿宋_GB2312" w:eastAsia="仿宋_GB2312"/>
              </w:rPr>
              <w:t>根据供应商提交的安全方案进行综合评分，内容包括但不限于：①针对可能的突发状况的应急预案；②服务人员安全培训。供应商提交安全方案的得10分，如每缺少一项内容扣5分，最低得0分；安全方案每存在一处缺陷（缺陷是指方案内容不符合采购项目的具体特点、与采购项目实际需要不相适应、与合同履行无关、凭空编造、措施中内容前后不一致、前后逻辑错误等情形）扣1分，最低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技术方案</w:t>
            </w:r>
          </w:p>
        </w:tc>
      </w:tr>
      <w:tr>
        <w:tc>
          <w:tcPr>
            <w:tcW w:type="dxa" w:w="831"/>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履约能力评价</w:t>
            </w:r>
          </w:p>
        </w:tc>
        <w:tc>
          <w:tcPr>
            <w:tcW w:type="dxa" w:w="2492"/>
          </w:tcPr>
          <w:p>
            <w:pPr>
              <w:pStyle w:val="null3"/>
              <w:jc w:val="left"/>
            </w:pPr>
            <w:r>
              <w:rPr>
                <w:rFonts w:ascii="仿宋_GB2312" w:hAnsi="仿宋_GB2312" w:cs="仿宋_GB2312" w:eastAsia="仿宋_GB2312"/>
              </w:rPr>
              <w:t>自2022年1月1日起至今，供应商具有类似经验（不限行政区域和行业），每一个得5分，本项满分15分。 证明材料: 供应商须在响应文件中附合同协议书复印件，时间按合同签订的时间为准，并加盖公章。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供应商类似项目业绩</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HNZS2025-086RR</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海南省文化馆海南自由贸易港-东盟非物质文化遗产周(三次)</w:t>
      </w:r>
    </w:p>
    <w:p>
      <w:pPr>
        <w:pStyle w:val="null3"/>
        <w:jc w:val="left"/>
      </w:pPr>
      <w:r>
        <w:rPr>
          <w:rFonts w:ascii="仿宋_GB2312" w:hAnsi="仿宋_GB2312" w:cs="仿宋_GB2312" w:eastAsia="仿宋_GB2312"/>
        </w:rPr>
        <w:t>采购包：</w:t>
      </w:r>
      <w:r>
        <w:rPr>
          <w:rFonts w:ascii="仿宋_GB2312" w:hAnsi="仿宋_GB2312" w:cs="仿宋_GB2312" w:eastAsia="仿宋_GB2312"/>
        </w:rPr>
        <w:t>海南省文化馆海南自由贸易港-东盟非物质文化遗产周(三次）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C22029900-其他展览服务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2000000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详见附件：法律、行政法规规定的其他条件</w:t>
      </w:r>
    </w:p>
    <w:p>
      <w:pPr>
        <w:pStyle w:val="null3"/>
        <w:ind w:firstLine="960"/>
        <w:jc w:val="left"/>
      </w:pPr>
      <w:r>
        <w:rPr>
          <w:rFonts w:ascii="仿宋_GB2312" w:hAnsi="仿宋_GB2312" w:cs="仿宋_GB2312" w:eastAsia="仿宋_GB2312"/>
        </w:rPr>
        <w:t>详见附件：参加政府采购活动前三年内，在经营活动中没有重大违法记录</w:t>
      </w:r>
    </w:p>
    <w:p>
      <w:pPr>
        <w:pStyle w:val="null3"/>
        <w:ind w:firstLine="960"/>
        <w:jc w:val="left"/>
      </w:pPr>
      <w:r>
        <w:rPr>
          <w:rFonts w:ascii="仿宋_GB2312" w:hAnsi="仿宋_GB2312" w:cs="仿宋_GB2312" w:eastAsia="仿宋_GB2312"/>
        </w:rPr>
        <w:t>详见附件：环保类行政处罚记录声明函</w:t>
      </w:r>
    </w:p>
    <w:p>
      <w:pPr>
        <w:pStyle w:val="null3"/>
        <w:ind w:firstLine="960"/>
        <w:jc w:val="left"/>
      </w:pPr>
      <w:r>
        <w:rPr>
          <w:rFonts w:ascii="仿宋_GB2312" w:hAnsi="仿宋_GB2312" w:cs="仿宋_GB2312" w:eastAsia="仿宋_GB2312"/>
        </w:rPr>
        <w:t>详见附件：服务人员情况表</w:t>
      </w:r>
    </w:p>
    <w:p>
      <w:pPr>
        <w:pStyle w:val="null3"/>
        <w:ind w:firstLine="960"/>
        <w:jc w:val="left"/>
      </w:pPr>
      <w:r>
        <w:rPr>
          <w:rFonts w:ascii="仿宋_GB2312" w:hAnsi="仿宋_GB2312" w:cs="仿宋_GB2312" w:eastAsia="仿宋_GB2312"/>
        </w:rPr>
        <w:t>详见附件：供应商类似项目业绩</w:t>
      </w:r>
    </w:p>
    <w:p>
      <w:pPr>
        <w:pStyle w:val="null3"/>
        <w:ind w:firstLine="960"/>
        <w:jc w:val="left"/>
      </w:pPr>
      <w:r>
        <w:rPr>
          <w:rFonts w:ascii="仿宋_GB2312" w:hAnsi="仿宋_GB2312" w:cs="仿宋_GB2312" w:eastAsia="仿宋_GB2312"/>
        </w:rPr>
        <w:t>详见附件：技术方案</w:t>
      </w:r>
    </w:p>
    <w:p>
      <w:pPr>
        <w:pStyle w:val="null3"/>
        <w:ind w:firstLine="960"/>
        <w:jc w:val="left"/>
      </w:pPr>
      <w:r>
        <w:rPr>
          <w:rFonts w:ascii="仿宋_GB2312" w:hAnsi="仿宋_GB2312" w:cs="仿宋_GB2312" w:eastAsia="仿宋_GB2312"/>
        </w:rPr>
        <w:t>详见附件：供应商无不良信用记录</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