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2024年超长期特别国债“以旧换新”项目医疗设备集中采购（十七）(三次招标)</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SCIT-HNZG-2025050001L2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2024年超长期特别国债“以旧换新”项目医疗设备集中采购（十七）(三次招标)</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SCIT-HNZG-2025050001L2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2024年超长期特别国债“以旧换新”项目医疗设备集中采购（十七）(三次招标)</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1,968,600.00元</w:t>
      </w:r>
      <w:r>
        <w:rPr>
          <w:rFonts w:ascii="仿宋_GB2312" w:hAnsi="仿宋_GB2312" w:cs="仿宋_GB2312" w:eastAsia="仿宋_GB2312"/>
        </w:rPr>
        <w:t>壹佰玖拾陆万捌仟陆佰元整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海南省海口市龙华区国贸路26号汇通大厦704、706、707室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技术负责人（甘曼）、项目经理（李根长）、项目助理（王柔岑）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0898-68520848/18976349657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采购包1：643,600.00元</w:t>
            </w:r>
          </w:p>
          <w:p>
            <w:pPr>
              <w:pStyle w:val="null3"/>
              <w:jc w:val="left"/>
            </w:pPr>
            <w:r>
              <w:rPr>
                <w:rFonts w:ascii="仿宋_GB2312" w:hAnsi="仿宋_GB2312" w:cs="仿宋_GB2312" w:eastAsia="仿宋_GB2312"/>
              </w:rPr>
              <w:t>采购包2：325,000.00元</w:t>
            </w:r>
          </w:p>
          <w:p>
            <w:pPr>
              <w:pStyle w:val="null3"/>
              <w:jc w:val="left"/>
            </w:pPr>
            <w:r>
              <w:rPr>
                <w:rFonts w:ascii="仿宋_GB2312" w:hAnsi="仿宋_GB2312" w:cs="仿宋_GB2312" w:eastAsia="仿宋_GB2312"/>
              </w:rPr>
              <w:t>采购包3：1,000,000.00元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代理服务费收费标准：代理费用由 中标（成交）供应商 支付，按照中标（成交）金额，以 中标（成交）金额为计费基数，参照《海南省物价局关于降低部分招标代理机构服务收费标准的通知》（琼价费管〔2011〕225号）文件规定的收费标准执行。在中标（成交）通知书领取之前 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本项目可兼投3包，本项目可兼中3包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联系人：甘女士</w:t>
      </w:r>
    </w:p>
    <w:p>
      <w:pPr>
        <w:pStyle w:val="null3"/>
        <w:jc w:val="left"/>
      </w:pPr>
      <w:r>
        <w:rPr>
          <w:rFonts w:ascii="仿宋_GB2312" w:hAnsi="仿宋_GB2312" w:cs="仿宋_GB2312" w:eastAsia="仿宋_GB2312"/>
        </w:rPr>
        <w:t>联系电话：0898-68520848转822</w:t>
      </w:r>
    </w:p>
    <w:p>
      <w:pPr>
        <w:pStyle w:val="null3"/>
        <w:jc w:val="left"/>
      </w:pPr>
      <w:r>
        <w:rPr>
          <w:rFonts w:ascii="仿宋_GB2312" w:hAnsi="仿宋_GB2312" w:cs="仿宋_GB2312" w:eastAsia="仿宋_GB2312"/>
        </w:rPr>
        <w:t>地址：四川国际招标有限责任公司海南分公司总工室（海南省海口市龙华区国贸路26号汇通大厦（现安徽大厦）706室）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color w:val="000000"/>
        </w:rPr>
        <w:t>2024年超长期特别国债“以旧换新”项目医疗设备集中采购（十七）（三次招标）</w:t>
      </w:r>
      <w:r>
        <w:rPr>
          <w:rFonts w:ascii="仿宋_GB2312" w:hAnsi="仿宋_GB2312" w:cs="仿宋_GB2312" w:eastAsia="仿宋_GB2312"/>
          <w:sz w:val="28"/>
          <w:color w:val="000000"/>
        </w:rPr>
        <w:t>包含</w:t>
      </w:r>
      <w:r>
        <w:rPr>
          <w:rFonts w:ascii="仿宋_GB2312" w:hAnsi="仿宋_GB2312" w:cs="仿宋_GB2312" w:eastAsia="仿宋_GB2312"/>
          <w:sz w:val="28"/>
          <w:color w:val="000000"/>
        </w:rPr>
        <w:t>45台康复</w:t>
      </w:r>
      <w:r>
        <w:rPr>
          <w:rFonts w:ascii="仿宋_GB2312" w:hAnsi="仿宋_GB2312" w:cs="仿宋_GB2312" w:eastAsia="仿宋_GB2312"/>
          <w:sz w:val="28"/>
          <w:color w:val="000000"/>
        </w:rPr>
        <w:t>类设备，分</w:t>
      </w:r>
      <w:r>
        <w:rPr>
          <w:rFonts w:ascii="仿宋_GB2312" w:hAnsi="仿宋_GB2312" w:cs="仿宋_GB2312" w:eastAsia="仿宋_GB2312"/>
          <w:sz w:val="28"/>
          <w:color w:val="000000"/>
        </w:rPr>
        <w:t>3</w:t>
      </w:r>
      <w:r>
        <w:rPr>
          <w:rFonts w:ascii="仿宋_GB2312" w:hAnsi="仿宋_GB2312" w:cs="仿宋_GB2312" w:eastAsia="仿宋_GB2312"/>
          <w:sz w:val="28"/>
          <w:color w:val="000000"/>
        </w:rPr>
        <w:t>个包，预算金额合计196.86</w:t>
      </w:r>
      <w:r>
        <w:rPr>
          <w:rFonts w:ascii="仿宋_GB2312" w:hAnsi="仿宋_GB2312" w:cs="仿宋_GB2312" w:eastAsia="仿宋_GB2312"/>
          <w:sz w:val="28"/>
          <w:color w:val="000000"/>
        </w:rPr>
        <w:t>万元。该项目设备的购置将进一步优化省内各级医疗机构的医疗资源布局与配置满足省内各级医疗机构的需求，为人民群众和境内外游客投资者的健康保障需求提供医疗技术服务，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643,600.00</w:t>
      </w:r>
    </w:p>
    <w:p>
      <w:pPr>
        <w:pStyle w:val="null3"/>
        <w:jc w:val="left"/>
      </w:pPr>
      <w:r>
        <w:rPr>
          <w:rFonts w:ascii="仿宋_GB2312" w:hAnsi="仿宋_GB2312" w:cs="仿宋_GB2312" w:eastAsia="仿宋_GB2312"/>
        </w:rPr>
        <w:t>采购包最高限价（元）: 643,600.00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台式超短波治疗仪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磁振热治疗仪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立体动态干扰电治疗仪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196,000.00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电脑骨质增生治疗仪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红外生物效应治疗仪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远红外线按摩床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325,000.00</w:t>
      </w:r>
    </w:p>
    <w:p>
      <w:pPr>
        <w:pStyle w:val="null3"/>
        <w:jc w:val="left"/>
      </w:pPr>
      <w:r>
        <w:rPr>
          <w:rFonts w:ascii="仿宋_GB2312" w:hAnsi="仿宋_GB2312" w:cs="仿宋_GB2312" w:eastAsia="仿宋_GB2312"/>
        </w:rPr>
        <w:t>采购包最高限价（元）: 325,000.00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TDP治疗器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产后康复综合治疗仪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56,000.00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电针治疗仪1</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12,000.00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电针治疗仪2</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高频理疗仪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双头电磁波</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特定电磁波治疗仪</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5,600.00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远红外线治疗仪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9</w:t>
            </w:r>
          </w:p>
        </w:tc>
        <w:tc>
          <w:tcPr>
            <w:tcW w:type="dxa" w:w="831"/>
          </w:tcPr>
          <w:p>
            <w:pPr>
              <w:pStyle w:val="null3"/>
              <w:jc w:val="left"/>
            </w:pPr>
            <w:r>
              <w:rPr>
                <w:rFonts w:ascii="仿宋_GB2312" w:hAnsi="仿宋_GB2312" w:cs="仿宋_GB2312" w:eastAsia="仿宋_GB2312"/>
              </w:rPr>
              <w:t>中频电疗仪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10</w:t>
            </w:r>
          </w:p>
        </w:tc>
        <w:tc>
          <w:tcPr>
            <w:tcW w:type="dxa" w:w="831"/>
          </w:tcPr>
          <w:p>
            <w:pPr>
              <w:pStyle w:val="null3"/>
              <w:jc w:val="left"/>
            </w:pPr>
            <w:r>
              <w:rPr>
                <w:rFonts w:ascii="仿宋_GB2312" w:hAnsi="仿宋_GB2312" w:cs="仿宋_GB2312" w:eastAsia="仿宋_GB2312"/>
              </w:rPr>
              <w:t>医用臭氧治疗仪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神经肌肉刺激治疗仪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超声波治疗仪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台式超短波治疗仪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磁振热治疗仪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立体动态干扰电治疗仪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电脑骨质增生治疗仪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红外生物效应治疗仪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远红外线按摩床</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TDP治疗器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产后康复综合治疗仪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电针治疗仪1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电针治疗仪2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高频理疗仪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双头电磁波</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特定电磁波治疗仪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远红外线治疗仪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中频电疗仪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医用臭氧治疗仪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神经肌肉刺激治疗仪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标的名称：台式超短波治疗仪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标的名称：立体动态干扰电治疗仪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标的名称：电脑骨质增生治疗仪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标的名称：红外生物效应治疗仪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标的名称：远红外线按摩床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标的名称：TDP治疗器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标的名称：产后康复综合治疗仪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标的名称：电针治疗仪1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标的名称：电针治疗仪2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标的名称：高频理疗仪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标的名称：双头电磁波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标的名称：特定电磁波治疗仪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标的名称：远红外线治疗仪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标的名称：中频电疗仪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标的名称：医用臭氧治疗仪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标的名称：神经肌肉刺激治疗仪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after="165"/>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after="165"/>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after="165"/>
              <w:jc w:val="both"/>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，属于第二类、第三类医疗器械产品则须提供完整的医疗器械注册证；2）若所投产品非医疗器械的，须提供《非医疗器械说明函》。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投标函 其他材料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环保类行政处罚记录声明函 封面 商业信誉、财务会计制度、缴纳税收和社保的承诺函 具有独立承担民事责任的能力证明文件 投标人承诺函 其他材料 投标人无不良信用记录 投标函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环保类行政处罚记录声明函 封面 商业信誉、财务会计制度、缴纳税收和社保的承诺函 具有独立承担民事责任的能力证明文件 投标人承诺函 投标函 其他材料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环保类行政处罚记录声明函 封面 商业信誉、财务会计制度、缴纳税收和社保的承诺函 具有独立承担民事责任的能力证明文件 投标人承诺函 投标函 其他材料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商业信誉、财务会计制度、缴纳税收和社保的承诺函 环保类行政处罚记录声明函 封面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商业信誉、财务会计制度、缴纳税收和社保的承诺函 封面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符合法律、行政法规规定的其他条件的声明函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商业信誉、财务会计制度、缴纳税收和社保的承诺函 环保类行政处罚记录声明函 封面 具有独立承担民事责任的能力证明文件 投标人承诺函 投标函 其他材料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标“▲”条款（2分）：符合技术要求得2分；每负偏离1项扣2分，负偏离达1项的，此项得0分；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90条，按以下要求赋分：A：一般技术参数完全满足，得40分；B：一般技术参数不满足1-20项区间时，每不满足一条参数扣0.85分；C：一般技术参数不满足21-50项区间时，每不满足一条参数扣0.5分； D：一般技术参数不满足51-90项区间时， 每不满足一条参数扣0.2分。最低得0分，漏报技术条款视为不满足。注：上述1-20项、21-50项、51-90项与参数的不满足条款数量相关，不涉及参数所对应序号。示例：如负偏离25项，投标人扣分=20项×0.85分+（25项-20项）×0.5分=20×0.85+5×0.5=19.5分，得分=40分-19.5分=20.5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9分。 1）单项内容详细完整，步骤有序，且方案整体简操作，能较有针对性提出解决建议，优于采购需求，实施过程务实的得9分； 2）单项内容基本能够满足采购需要，思路比较清晰、方案较合理、可行性一般的得6分； 3）单项内容完整但条理不清、方案思路及可行性较差的得3分；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根据投标人提供的质量保证方案（包括但不限于：质保期内的承诺、质保期满后的相关服务、生产厂家的技术支持等内容），本项目满分共9分。 1）具备完善的质量保证方案，内容细致全面，能完全或优于满足采购人需求的，得9分； 2）具备一定的质量保证方案，内容一般，能较大程度地满足采购人的需求的，得6分； 3）质量保证方案不完善，只能部分满足采购人需求的，得3分； 4）无方案的得0分。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117条，按以下要求赋分：A：一般技术参数完全满足，得42分；B：一般技术参数不满足1-20项区间时，每不满足一条参数扣0.73分；C：一般技术参数不满足21-60项区间时，每不满足一条参数扣0.4分； D：一般技术参数不满足61-117项区间时， 每不满足一条参数扣0.2分。最低得0分，漏报技术条款视为不满足。注：上述1-20项、21-60项、61-117项与参数的不满足条款数量相关，不涉及参数所对应序号。示例：如负偏离25项，投标人扣分=20项×0.73分+（25项-20项）×0.4分=20×0.73+5×0.4=16.6分，得分=42分-16.6分=25.4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9分。 1）单项内容详细完整，步骤有序，且方案整体简操作，能较有针对性提出解决建议，优于采购需求，实施过程务实的得9分； 2）单项内容基本能够满足采购需要，思路比较清晰、方案较合理、可行性一般的得6分； 3）单项内容完整但条理不清、方案思路及可行性较差的得3分；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根据投标人提供的质量保证方案（包括但不限于：质保期内的承诺、质保期满后的相关服务、生产厂家的技术支持等内容），本项目满分共9分。 1）具备完善的质量保证方案，内容细致全面，能完全或优于满足采购人需求的，得9分； 2）具备一定的质量保证方案，内容一般，能较大程度地满足采购人的需求的，得6分； 3）质量保证方案不完善，只能部分满足采购人需求的，得3分； 4）无方案的得0分。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标“▲”条款（12分）：符合技术要求得12分；每负偏离1项扣4分，负偏离达3项的，此项得0分；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16条，按以下要求赋分：A：一般技术参数完全满足，得30分；B：一般技术参数不满足1-5项区间时，每不满足一条参数扣2.8分；C：一般技术参数不满足6-10项区间时，每不满足一条参数扣2分； D：一般技术参数不满足11-16项区间时， 每不满足一条参数扣1分。最低得0分，漏报技术条款视为不满足。注：上述1-5项、6-10项、11-16项与参数的不满足条款数量相关，不涉及参数所对应序号。示例：如负偏离10项，投标人扣分=5项×2.8分+（10项-5项）×2分=5×2.8+5×2=24分，得分=30分-24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9分。 1）单项内容详细完整，步骤有序，且方案整体简操作，能较有针对性提出解决建议，优于采购需求，实施过程务实的得9分； 2）单项内容基本能够满足采购需要，思路比较清晰、方案较合理、可行性一般的得6分； 3）单项内容完整但条理不清、方案思路及可行性较差的得3分；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根据投标人提供的质量保证方案（包括但不限于：质保期内的承诺、质保期满后的相关服务、生产厂家的技术支持等内容），本项目满分共9分。 1）具备完善的质量保证方案，内容细致全面，能完全或优于满足采购人需求的，得9分； 2）具备一定的质量保证方案，内容一般，能较大程度地满足采购人的需求的，得6分； 3）质量保证方案不完善，只能部分满足采购人需求的，得3分； 4）无方案的得0分。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SCIT-HNZG-2025050001L2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2024年超长期特别国债“以旧换新”项目医疗设备集中采购（十七）(三次招标)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超声波治疗仪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台式超短波治疗仪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磁振热治疗仪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立体动态干扰电治疗仪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196000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电脑骨质增生治疗仪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7600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红外生物效应治疗仪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远红外线按摩床</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40000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SCIT-HNZG-2025050001L2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2024年超长期特别国债“以旧换新”项目医疗设备集中采购（十七）(三次招标)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TDP治疗器</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产后康复综合治疗仪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56000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电针治疗仪1</w:t>
            </w:r>
          </w:p>
        </w:tc>
        <w:tc>
          <w:tcPr>
            <w:tcW w:type="dxa" w:w="639"/>
          </w:tcPr>
          <w:p>
            <w:pPr>
              <w:pStyle w:val="null3"/>
              <w:jc w:val="left"/>
            </w:pPr>
            <w:r>
              <w:rPr>
                <w:rFonts w:ascii="仿宋_GB2312" w:hAnsi="仿宋_GB2312" w:cs="仿宋_GB2312" w:eastAsia="仿宋_GB2312"/>
              </w:rPr>
              <w:t xml:space="preserve"> 12.0000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4</w:t>
            </w:r>
          </w:p>
        </w:tc>
        <w:tc>
          <w:tcPr>
            <w:tcW w:type="dxa" w:w="639"/>
          </w:tcPr>
          <w:p>
            <w:pPr>
              <w:pStyle w:val="null3"/>
              <w:jc w:val="left"/>
            </w:pPr>
            <w:r>
              <w:rPr>
                <w:rFonts w:ascii="仿宋_GB2312" w:hAnsi="仿宋_GB2312" w:cs="仿宋_GB2312" w:eastAsia="仿宋_GB2312"/>
              </w:rPr>
              <w:t xml:space="preserve"> 电针治疗仪2</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5</w:t>
            </w:r>
          </w:p>
        </w:tc>
        <w:tc>
          <w:tcPr>
            <w:tcW w:type="dxa" w:w="639"/>
          </w:tcPr>
          <w:p>
            <w:pPr>
              <w:pStyle w:val="null3"/>
              <w:jc w:val="left"/>
            </w:pPr>
            <w:r>
              <w:rPr>
                <w:rFonts w:ascii="仿宋_GB2312" w:hAnsi="仿宋_GB2312" w:cs="仿宋_GB2312" w:eastAsia="仿宋_GB2312"/>
              </w:rPr>
              <w:t xml:space="preserve"> 高频理疗仪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6</w:t>
            </w:r>
          </w:p>
        </w:tc>
        <w:tc>
          <w:tcPr>
            <w:tcW w:type="dxa" w:w="639"/>
          </w:tcPr>
          <w:p>
            <w:pPr>
              <w:pStyle w:val="null3"/>
              <w:jc w:val="left"/>
            </w:pPr>
            <w:r>
              <w:rPr>
                <w:rFonts w:ascii="仿宋_GB2312" w:hAnsi="仿宋_GB2312" w:cs="仿宋_GB2312" w:eastAsia="仿宋_GB2312"/>
              </w:rPr>
              <w:t xml:space="preserve"> 双头电磁波</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2400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7</w:t>
            </w:r>
          </w:p>
        </w:tc>
        <w:tc>
          <w:tcPr>
            <w:tcW w:type="dxa" w:w="639"/>
          </w:tcPr>
          <w:p>
            <w:pPr>
              <w:pStyle w:val="null3"/>
              <w:jc w:val="left"/>
            </w:pPr>
            <w:r>
              <w:rPr>
                <w:rFonts w:ascii="仿宋_GB2312" w:hAnsi="仿宋_GB2312" w:cs="仿宋_GB2312" w:eastAsia="仿宋_GB2312"/>
              </w:rPr>
              <w:t xml:space="preserve"> 特定电磁波治疗仪</w:t>
            </w:r>
          </w:p>
        </w:tc>
        <w:tc>
          <w:tcPr>
            <w:tcW w:type="dxa" w:w="639"/>
          </w:tcPr>
          <w:p>
            <w:pPr>
              <w:pStyle w:val="null3"/>
              <w:jc w:val="left"/>
            </w:pPr>
            <w:r>
              <w:rPr>
                <w:rFonts w:ascii="仿宋_GB2312" w:hAnsi="仿宋_GB2312" w:cs="仿宋_GB2312" w:eastAsia="仿宋_GB2312"/>
              </w:rPr>
              <w:t xml:space="preserve"> 10.0000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8</w:t>
            </w:r>
          </w:p>
        </w:tc>
        <w:tc>
          <w:tcPr>
            <w:tcW w:type="dxa" w:w="639"/>
          </w:tcPr>
          <w:p>
            <w:pPr>
              <w:pStyle w:val="null3"/>
              <w:jc w:val="left"/>
            </w:pPr>
            <w:r>
              <w:rPr>
                <w:rFonts w:ascii="仿宋_GB2312" w:hAnsi="仿宋_GB2312" w:cs="仿宋_GB2312" w:eastAsia="仿宋_GB2312"/>
              </w:rPr>
              <w:t xml:space="preserve"> 远红外线治疗仪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49000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9</w:t>
            </w:r>
          </w:p>
        </w:tc>
        <w:tc>
          <w:tcPr>
            <w:tcW w:type="dxa" w:w="639"/>
          </w:tcPr>
          <w:p>
            <w:pPr>
              <w:pStyle w:val="null3"/>
              <w:jc w:val="left"/>
            </w:pPr>
            <w:r>
              <w:rPr>
                <w:rFonts w:ascii="仿宋_GB2312" w:hAnsi="仿宋_GB2312" w:cs="仿宋_GB2312" w:eastAsia="仿宋_GB2312"/>
              </w:rPr>
              <w:t xml:space="preserve"> 中频电疗仪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10</w:t>
            </w:r>
          </w:p>
        </w:tc>
        <w:tc>
          <w:tcPr>
            <w:tcW w:type="dxa" w:w="639"/>
          </w:tcPr>
          <w:p>
            <w:pPr>
              <w:pStyle w:val="null3"/>
              <w:jc w:val="left"/>
            </w:pPr>
            <w:r>
              <w:rPr>
                <w:rFonts w:ascii="仿宋_GB2312" w:hAnsi="仿宋_GB2312" w:cs="仿宋_GB2312" w:eastAsia="仿宋_GB2312"/>
              </w:rPr>
              <w:t xml:space="preserve"> 医用臭氧治疗仪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SCIT-HNZG-2025050001L2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2024年超长期特别国债“以旧换新”项目医疗设备集中采购（十七）(三次招标)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原采购第11包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神经肌肉刺激治疗仪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台</w:t>
            </w:r>
          </w:p>
        </w:tc>
        <w:tc>
          <w:tcPr>
            <w:tcW w:type="dxa" w:w="639"/>
          </w:tcPr>
          <w:p>
            <w:pPr>
              <w:pStyle w:val="null3"/>
              <w:jc w:val="left"/>
            </w:pPr>
            <w:r>
              <w:rPr>
                <w:rFonts w:ascii="仿宋_GB2312" w:hAnsi="仿宋_GB2312" w:cs="仿宋_GB2312" w:eastAsia="仿宋_GB2312"/>
              </w:rPr>
              <w:t xml:space="preserve"> 1000000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