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rFonts w:hint="eastAsia" w:ascii="宋体" w:hAnsi="宋体" w:eastAsia="宋体" w:cs="宋体"/>
          <w:color w:val="auto"/>
          <w:sz w:val="28"/>
          <w:szCs w:val="28"/>
          <w:highlight w:val="none"/>
        </w:rPr>
      </w:pPr>
      <w:bookmarkStart w:id="0" w:name="_Toc29252"/>
      <w:bookmarkStart w:id="1" w:name="_Toc703"/>
      <w:bookmarkStart w:id="2" w:name="_Toc2526"/>
      <w:bookmarkStart w:id="3" w:name="_Toc23018"/>
      <w:bookmarkStart w:id="4" w:name="_Toc2032"/>
      <w:r>
        <w:rPr>
          <w:rFonts w:hint="eastAsia" w:ascii="宋体" w:hAnsi="宋体" w:eastAsia="宋体" w:cs="宋体"/>
          <w:b/>
          <w:color w:val="auto"/>
          <w:sz w:val="28"/>
          <w:szCs w:val="28"/>
          <w:highlight w:val="none"/>
        </w:rPr>
        <w:t>采购需求</w:t>
      </w:r>
      <w:bookmarkEnd w:id="0"/>
      <w:bookmarkEnd w:id="1"/>
      <w:bookmarkEnd w:id="2"/>
      <w:bookmarkEnd w:id="3"/>
      <w:bookmarkEnd w:id="4"/>
    </w:p>
    <w:p>
      <w:pPr>
        <w:outlineLvl w:val="9"/>
        <w:rPr>
          <w:rFonts w:hint="eastAsia" w:ascii="宋体" w:hAnsi="宋体" w:eastAsia="宋体" w:cs="宋体"/>
          <w:color w:val="auto"/>
          <w:sz w:val="28"/>
          <w:szCs w:val="28"/>
          <w:highlight w:val="none"/>
        </w:rPr>
      </w:pPr>
    </w:p>
    <w:p>
      <w:pPr>
        <w:spacing w:before="78" w:line="220" w:lineRule="auto"/>
        <w:outlineLvl w:val="9"/>
        <w:rPr>
          <w:rFonts w:hint="eastAsia" w:ascii="宋体" w:hAnsi="宋体" w:eastAsia="宋体" w:cs="宋体"/>
          <w:color w:val="auto"/>
          <w:sz w:val="24"/>
          <w:szCs w:val="24"/>
          <w:highlight w:val="none"/>
        </w:rPr>
      </w:pPr>
      <w:bookmarkStart w:id="5" w:name="_Toc9918"/>
      <w:r>
        <w:rPr>
          <w:rFonts w:hint="eastAsia" w:ascii="宋体" w:hAnsi="宋体" w:eastAsia="宋体" w:cs="宋体"/>
          <w:b/>
          <w:bCs/>
          <w:color w:val="auto"/>
          <w:spacing w:val="-7"/>
          <w:sz w:val="24"/>
          <w:szCs w:val="24"/>
          <w:highlight w:val="none"/>
        </w:rPr>
        <w:t>前提：</w:t>
      </w:r>
    </w:p>
    <w:p>
      <w:pPr>
        <w:spacing w:line="261" w:lineRule="auto"/>
        <w:outlineLvl w:val="9"/>
        <w:rPr>
          <w:rFonts w:hint="eastAsia" w:ascii="宋体" w:hAnsi="宋体" w:eastAsia="宋体" w:cs="宋体"/>
          <w:color w:val="auto"/>
          <w:sz w:val="24"/>
          <w:szCs w:val="24"/>
          <w:highlight w:val="none"/>
        </w:rPr>
      </w:pPr>
    </w:p>
    <w:p>
      <w:pPr>
        <w:spacing w:before="78" w:line="313" w:lineRule="auto"/>
        <w:ind w:right="42"/>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9"/>
          <w:sz w:val="24"/>
          <w:szCs w:val="24"/>
          <w:highlight w:val="none"/>
        </w:rPr>
        <w:t>1</w:t>
      </w:r>
      <w:r>
        <w:rPr>
          <w:rFonts w:hint="eastAsia" w:ascii="宋体" w:hAnsi="宋体" w:eastAsia="宋体" w:cs="宋体"/>
          <w:b/>
          <w:bCs/>
          <w:color w:val="auto"/>
          <w:spacing w:val="-9"/>
          <w:sz w:val="24"/>
          <w:szCs w:val="24"/>
          <w:highlight w:val="none"/>
          <w:lang w:eastAsia="zh-CN"/>
        </w:rPr>
        <w:t>、</w:t>
      </w:r>
      <w:r>
        <w:rPr>
          <w:rFonts w:hint="eastAsia" w:ascii="宋体" w:hAnsi="宋体" w:eastAsia="宋体" w:cs="宋体"/>
          <w:b/>
          <w:bCs/>
          <w:color w:val="auto"/>
          <w:spacing w:val="-9"/>
          <w:sz w:val="24"/>
          <w:szCs w:val="24"/>
          <w:highlight w:val="none"/>
        </w:rPr>
        <w:t>本章中标注“★</w:t>
      </w:r>
      <w:r>
        <w:rPr>
          <w:rFonts w:hint="eastAsia" w:ascii="宋体" w:hAnsi="宋体" w:eastAsia="宋体" w:cs="宋体"/>
          <w:color w:val="auto"/>
          <w:spacing w:val="-88"/>
          <w:sz w:val="24"/>
          <w:szCs w:val="24"/>
          <w:highlight w:val="none"/>
        </w:rPr>
        <w:t xml:space="preserve"> </w:t>
      </w:r>
      <w:r>
        <w:rPr>
          <w:rFonts w:hint="eastAsia" w:ascii="宋体" w:hAnsi="宋体" w:eastAsia="宋体" w:cs="宋体"/>
          <w:b/>
          <w:bCs/>
          <w:color w:val="auto"/>
          <w:spacing w:val="-9"/>
          <w:sz w:val="24"/>
          <w:szCs w:val="24"/>
          <w:highlight w:val="none"/>
        </w:rPr>
        <w:t>”的条款为本项目</w:t>
      </w:r>
      <w:r>
        <w:rPr>
          <w:rFonts w:hint="eastAsia" w:ascii="宋体" w:hAnsi="宋体" w:eastAsia="宋体" w:cs="宋体"/>
          <w:b/>
          <w:bCs/>
          <w:color w:val="auto"/>
          <w:spacing w:val="-9"/>
          <w:sz w:val="24"/>
          <w:szCs w:val="24"/>
          <w:highlight w:val="none"/>
          <w:lang w:val="en-US" w:eastAsia="zh-CN"/>
        </w:rPr>
        <w:t>不允许偏离</w:t>
      </w:r>
      <w:r>
        <w:rPr>
          <w:rFonts w:hint="eastAsia" w:ascii="宋体" w:hAnsi="宋体" w:eastAsia="宋体" w:cs="宋体"/>
          <w:b/>
          <w:bCs/>
          <w:color w:val="auto"/>
          <w:spacing w:val="-9"/>
          <w:sz w:val="24"/>
          <w:szCs w:val="24"/>
          <w:highlight w:val="none"/>
        </w:rPr>
        <w:t>的实质性条款，如投标人不满</w:t>
      </w:r>
      <w:r>
        <w:rPr>
          <w:rFonts w:hint="eastAsia" w:ascii="宋体" w:hAnsi="宋体" w:eastAsia="宋体" w:cs="宋体"/>
          <w:b/>
          <w:bCs/>
          <w:color w:val="auto"/>
          <w:spacing w:val="-10"/>
          <w:sz w:val="24"/>
          <w:szCs w:val="24"/>
          <w:highlight w:val="none"/>
        </w:rPr>
        <w:t>足的，</w:t>
      </w:r>
      <w:r>
        <w:rPr>
          <w:rFonts w:hint="eastAsia" w:ascii="宋体" w:hAnsi="宋体" w:eastAsia="宋体" w:cs="宋体"/>
          <w:color w:val="auto"/>
          <w:spacing w:val="-52"/>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z w:val="24"/>
          <w:szCs w:val="24"/>
          <w:highlight w:val="none"/>
        </w:rPr>
        <w:t>按照无效投标处理；标注“▲</w:t>
      </w:r>
      <w:r>
        <w:rPr>
          <w:rFonts w:hint="eastAsia" w:ascii="宋体" w:hAnsi="宋体" w:eastAsia="宋体" w:cs="宋体"/>
          <w:color w:val="auto"/>
          <w:spacing w:val="-75"/>
          <w:sz w:val="24"/>
          <w:szCs w:val="24"/>
          <w:highlight w:val="none"/>
        </w:rPr>
        <w:t xml:space="preserve"> </w:t>
      </w:r>
      <w:r>
        <w:rPr>
          <w:rFonts w:hint="eastAsia" w:ascii="宋体" w:hAnsi="宋体" w:eastAsia="宋体" w:cs="宋体"/>
          <w:b/>
          <w:bCs/>
          <w:color w:val="auto"/>
          <w:sz w:val="24"/>
          <w:szCs w:val="24"/>
          <w:highlight w:val="none"/>
        </w:rPr>
        <w:t>”的条款为本项目的重要条款，若投标人不满足</w:t>
      </w:r>
      <w:r>
        <w:rPr>
          <w:rFonts w:hint="eastAsia" w:ascii="宋体" w:hAnsi="宋体" w:eastAsia="宋体" w:cs="宋体"/>
          <w:b/>
          <w:bCs/>
          <w:color w:val="auto"/>
          <w:spacing w:val="-3"/>
          <w:sz w:val="24"/>
          <w:szCs w:val="24"/>
          <w:highlight w:val="none"/>
        </w:rPr>
        <w:t>的，将在详细评审中加重扣分。</w:t>
      </w:r>
    </w:p>
    <w:p>
      <w:pPr>
        <w:spacing w:line="263" w:lineRule="auto"/>
        <w:outlineLvl w:val="9"/>
        <w:rPr>
          <w:rFonts w:hint="eastAsia" w:ascii="宋体" w:hAnsi="宋体" w:eastAsia="宋体" w:cs="宋体"/>
          <w:color w:val="auto"/>
          <w:sz w:val="24"/>
          <w:szCs w:val="24"/>
          <w:highlight w:val="none"/>
        </w:rPr>
      </w:pPr>
    </w:p>
    <w:p>
      <w:pPr>
        <w:spacing w:before="78" w:line="290" w:lineRule="auto"/>
        <w:ind w:right="42"/>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8"/>
          <w:sz w:val="24"/>
          <w:szCs w:val="24"/>
          <w:highlight w:val="none"/>
        </w:rPr>
        <w:t>2</w:t>
      </w:r>
      <w:r>
        <w:rPr>
          <w:rFonts w:hint="eastAsia" w:ascii="宋体" w:hAnsi="宋体" w:eastAsia="宋体" w:cs="宋体"/>
          <w:b/>
          <w:bCs/>
          <w:color w:val="auto"/>
          <w:spacing w:val="-8"/>
          <w:sz w:val="24"/>
          <w:szCs w:val="24"/>
          <w:highlight w:val="none"/>
          <w:lang w:eastAsia="zh-CN"/>
        </w:rPr>
        <w:t>、</w:t>
      </w:r>
      <w:r>
        <w:rPr>
          <w:rFonts w:hint="eastAsia" w:ascii="宋体" w:hAnsi="宋体" w:eastAsia="宋体" w:cs="宋体"/>
          <w:b/>
          <w:bCs/>
          <w:color w:val="auto"/>
          <w:spacing w:val="-8"/>
          <w:sz w:val="24"/>
          <w:szCs w:val="24"/>
          <w:highlight w:val="none"/>
        </w:rPr>
        <w:t>标注“★</w:t>
      </w:r>
      <w:r>
        <w:rPr>
          <w:rFonts w:hint="eastAsia" w:ascii="宋体" w:hAnsi="宋体" w:eastAsia="宋体" w:cs="宋体"/>
          <w:color w:val="auto"/>
          <w:spacing w:val="-80"/>
          <w:sz w:val="24"/>
          <w:szCs w:val="24"/>
          <w:highlight w:val="none"/>
        </w:rPr>
        <w:t xml:space="preserve"> </w:t>
      </w:r>
      <w:r>
        <w:rPr>
          <w:rFonts w:hint="eastAsia" w:ascii="宋体" w:hAnsi="宋体" w:eastAsia="宋体" w:cs="宋体"/>
          <w:b/>
          <w:bCs/>
          <w:color w:val="auto"/>
          <w:spacing w:val="-8"/>
          <w:sz w:val="24"/>
          <w:szCs w:val="24"/>
          <w:highlight w:val="none"/>
        </w:rPr>
        <w:t>”、“▲</w:t>
      </w:r>
      <w:r>
        <w:rPr>
          <w:rFonts w:hint="eastAsia" w:ascii="宋体" w:hAnsi="宋体" w:eastAsia="宋体" w:cs="宋体"/>
          <w:color w:val="auto"/>
          <w:spacing w:val="-83"/>
          <w:sz w:val="24"/>
          <w:szCs w:val="24"/>
          <w:highlight w:val="none"/>
        </w:rPr>
        <w:t xml:space="preserve"> </w:t>
      </w:r>
      <w:r>
        <w:rPr>
          <w:rFonts w:hint="eastAsia" w:ascii="宋体" w:hAnsi="宋体" w:eastAsia="宋体" w:cs="宋体"/>
          <w:b/>
          <w:bCs/>
          <w:color w:val="auto"/>
          <w:spacing w:val="-8"/>
          <w:sz w:val="24"/>
          <w:szCs w:val="24"/>
          <w:highlight w:val="none"/>
        </w:rPr>
        <w:t>”的技术条款须提供技术支持证明材料，否则视为负偏离。技术支持资料</w:t>
      </w:r>
      <w:r>
        <w:rPr>
          <w:rFonts w:hint="eastAsia" w:ascii="宋体" w:hAnsi="宋体" w:eastAsia="宋体" w:cs="宋体"/>
          <w:b/>
          <w:bCs/>
          <w:color w:val="auto"/>
          <w:spacing w:val="-3"/>
          <w:sz w:val="24"/>
          <w:szCs w:val="24"/>
          <w:highlight w:val="none"/>
        </w:rPr>
        <w:t>包括以下任意一种形式：</w:t>
      </w:r>
    </w:p>
    <w:p>
      <w:pPr>
        <w:spacing w:before="189" w:line="218"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w:t>
      </w:r>
      <w:r>
        <w:rPr>
          <w:rFonts w:hint="eastAsia" w:ascii="宋体" w:hAnsi="宋体" w:eastAsia="宋体" w:cs="宋体"/>
          <w:b/>
          <w:bCs/>
          <w:color w:val="auto"/>
          <w:spacing w:val="-3"/>
          <w:sz w:val="24"/>
          <w:szCs w:val="24"/>
          <w:highlight w:val="none"/>
          <w:lang w:val="en-US" w:eastAsia="zh-CN"/>
        </w:rPr>
        <w:t>1</w:t>
      </w:r>
      <w:r>
        <w:rPr>
          <w:rFonts w:hint="eastAsia" w:ascii="宋体" w:hAnsi="宋体" w:eastAsia="宋体" w:cs="宋体"/>
          <w:b/>
          <w:bCs/>
          <w:color w:val="auto"/>
          <w:spacing w:val="-3"/>
          <w:sz w:val="24"/>
          <w:szCs w:val="24"/>
          <w:highlight w:val="none"/>
        </w:rPr>
        <w:t>）国家认可的第三方检测机构出具的检测报告；</w:t>
      </w:r>
    </w:p>
    <w:p>
      <w:pPr>
        <w:spacing w:before="186"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w:t>
      </w:r>
      <w:r>
        <w:rPr>
          <w:rFonts w:hint="eastAsia" w:ascii="宋体" w:hAnsi="宋体" w:eastAsia="宋体" w:cs="宋体"/>
          <w:b/>
          <w:bCs/>
          <w:color w:val="auto"/>
          <w:spacing w:val="-3"/>
          <w:sz w:val="24"/>
          <w:szCs w:val="24"/>
          <w:highlight w:val="none"/>
          <w:lang w:val="en-US" w:eastAsia="zh-CN"/>
        </w:rPr>
        <w:t>2</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3"/>
          <w:sz w:val="24"/>
          <w:szCs w:val="24"/>
          <w:highlight w:val="none"/>
          <w:lang w:val="en-US" w:eastAsia="zh-CN"/>
        </w:rPr>
        <w:t>格式自拟</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3"/>
          <w:sz w:val="24"/>
          <w:szCs w:val="24"/>
          <w:highlight w:val="none"/>
        </w:rPr>
        <w:t>；</w:t>
      </w:r>
    </w:p>
    <w:p>
      <w:pPr>
        <w:spacing w:before="189"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w:t>
      </w:r>
      <w:r>
        <w:rPr>
          <w:rFonts w:hint="eastAsia" w:ascii="宋体" w:hAnsi="宋体" w:eastAsia="宋体" w:cs="宋体"/>
          <w:b/>
          <w:bCs/>
          <w:color w:val="auto"/>
          <w:spacing w:val="-5"/>
          <w:sz w:val="24"/>
          <w:szCs w:val="24"/>
          <w:highlight w:val="none"/>
          <w:lang w:val="en-US" w:eastAsia="zh-CN"/>
        </w:rPr>
        <w:t>3</w:t>
      </w:r>
      <w:r>
        <w:rPr>
          <w:rFonts w:hint="eastAsia" w:ascii="宋体" w:hAnsi="宋体" w:eastAsia="宋体" w:cs="宋体"/>
          <w:b/>
          <w:bCs/>
          <w:color w:val="auto"/>
          <w:spacing w:val="-5"/>
          <w:sz w:val="24"/>
          <w:szCs w:val="24"/>
          <w:highlight w:val="none"/>
        </w:rPr>
        <w:t>）产品彩页；</w:t>
      </w:r>
    </w:p>
    <w:p>
      <w:pPr>
        <w:spacing w:before="187"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w:t>
      </w:r>
      <w:r>
        <w:rPr>
          <w:rFonts w:hint="eastAsia" w:ascii="宋体" w:hAnsi="宋体" w:eastAsia="宋体" w:cs="宋体"/>
          <w:b/>
          <w:bCs/>
          <w:color w:val="auto"/>
          <w:spacing w:val="-4"/>
          <w:sz w:val="24"/>
          <w:szCs w:val="24"/>
          <w:highlight w:val="none"/>
          <w:lang w:val="en-US" w:eastAsia="zh-CN"/>
        </w:rPr>
        <w:t>4</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4"/>
          <w:sz w:val="24"/>
          <w:szCs w:val="24"/>
          <w:highlight w:val="none"/>
        </w:rPr>
        <w:t>。</w:t>
      </w:r>
    </w:p>
    <w:p>
      <w:pP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（注：1.关境内制造的货物的</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5"/>
          <w:sz w:val="24"/>
          <w:szCs w:val="24"/>
          <w:highlight w:val="none"/>
          <w:lang w:val="en-US" w:eastAsia="zh-CN"/>
        </w:rPr>
        <w:t>必须加盖制造商公章；</w:t>
      </w:r>
    </w:p>
    <w:p>
      <w:pP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2.关境外制造的货物的</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5"/>
          <w:sz w:val="24"/>
          <w:szCs w:val="24"/>
          <w:highlight w:val="none"/>
          <w:lang w:val="en-US" w:eastAsia="zh-CN"/>
        </w:rPr>
        <w:t>必须加盖制造商或者国内代理商公章）</w:t>
      </w:r>
    </w:p>
    <w:p>
      <w:pP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3、一般参数（非▲号、★号的其他指标）应在投标文件中提供技术参数承诺函（格式详见第六章投标文件格式要求-技术参数承诺函），否则视为负偏离</w:t>
      </w:r>
    </w:p>
    <w:p>
      <w:pP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（注：1.关境内制造的货物的技术参数承诺函必须加盖制造商公章；</w:t>
      </w:r>
    </w:p>
    <w:p>
      <w:pPr>
        <w:spacing w:before="186" w:line="219" w:lineRule="auto"/>
        <w:outlineLvl w:val="9"/>
        <w:rPr>
          <w:rFonts w:hint="eastAsia" w:ascii="宋体" w:hAnsi="宋体" w:eastAsia="宋体" w:cs="宋体"/>
          <w:b/>
          <w:bCs/>
          <w:color w:val="auto"/>
          <w:spacing w:val="-5"/>
          <w:sz w:val="24"/>
          <w:szCs w:val="24"/>
          <w:highlight w:val="none"/>
        </w:rPr>
      </w:pPr>
      <w:r>
        <w:rPr>
          <w:rFonts w:hint="eastAsia" w:ascii="宋体" w:hAnsi="宋体" w:eastAsia="宋体" w:cs="宋体"/>
          <w:b/>
          <w:bCs/>
          <w:color w:val="auto"/>
          <w:spacing w:val="-5"/>
          <w:sz w:val="24"/>
          <w:szCs w:val="24"/>
          <w:highlight w:val="none"/>
          <w:lang w:val="en-US" w:eastAsia="zh-CN"/>
        </w:rPr>
        <w:t>2.关境外制造的货物的技术参数承诺函必须加盖制造商或者国内代理商公章；）</w:t>
      </w:r>
    </w:p>
    <w:p>
      <w:pPr>
        <w:spacing w:before="186"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lang w:val="en-US" w:eastAsia="zh-CN"/>
        </w:rPr>
        <w:t>4</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标注</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w:t>
      </w:r>
      <w:r>
        <w:rPr>
          <w:rFonts w:hint="eastAsia" w:ascii="宋体" w:hAnsi="宋体" w:eastAsia="宋体" w:cs="宋体"/>
          <w:color w:val="auto"/>
          <w:spacing w:val="-72"/>
          <w:sz w:val="24"/>
          <w:szCs w:val="24"/>
          <w:highlight w:val="none"/>
        </w:rPr>
        <w:t xml:space="preserve"> </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的商务条款须提供承诺函（格式自拟）。</w:t>
      </w:r>
    </w:p>
    <w:p>
      <w:pPr>
        <w:spacing w:line="360" w:lineRule="auto"/>
        <w:outlineLvl w:val="1"/>
        <w:rPr>
          <w:rFonts w:hint="eastAsia" w:ascii="宋体" w:hAnsi="宋体" w:eastAsia="宋体" w:cs="宋体"/>
          <w:b/>
          <w:color w:val="auto"/>
          <w:sz w:val="28"/>
          <w:szCs w:val="28"/>
          <w:highlight w:val="none"/>
        </w:rPr>
      </w:pPr>
      <w:bookmarkStart w:id="6" w:name="_Toc30132"/>
      <w:bookmarkStart w:id="7" w:name="_Toc24617"/>
      <w:r>
        <w:rPr>
          <w:rFonts w:hint="eastAsia" w:ascii="宋体" w:hAnsi="宋体" w:eastAsia="宋体" w:cs="宋体"/>
          <w:b/>
          <w:bCs/>
          <w:color w:val="auto"/>
          <w:spacing w:val="-5"/>
          <w:sz w:val="28"/>
          <w:szCs w:val="28"/>
          <w:highlight w:val="none"/>
        </w:rPr>
        <w:t>★</w:t>
      </w:r>
      <w:r>
        <w:rPr>
          <w:rFonts w:hint="eastAsia" w:ascii="宋体" w:hAnsi="宋体" w:eastAsia="宋体" w:cs="宋体"/>
          <w:b/>
          <w:color w:val="auto"/>
          <w:sz w:val="28"/>
          <w:szCs w:val="28"/>
          <w:highlight w:val="none"/>
          <w:lang w:eastAsia="zh-CN"/>
        </w:rPr>
        <w:t>一</w:t>
      </w:r>
      <w:r>
        <w:rPr>
          <w:rFonts w:hint="eastAsia" w:ascii="宋体" w:hAnsi="宋体" w:eastAsia="宋体" w:cs="宋体"/>
          <w:b/>
          <w:color w:val="auto"/>
          <w:sz w:val="28"/>
          <w:szCs w:val="28"/>
          <w:highlight w:val="none"/>
        </w:rPr>
        <w:t>、</w:t>
      </w:r>
      <w:r>
        <w:rPr>
          <w:rFonts w:hint="eastAsia" w:ascii="宋体" w:hAnsi="宋体" w:eastAsia="宋体" w:cs="宋体"/>
          <w:b/>
          <w:color w:val="auto"/>
          <w:sz w:val="28"/>
          <w:szCs w:val="28"/>
          <w:highlight w:val="none"/>
          <w:lang w:eastAsia="zh-CN"/>
        </w:rPr>
        <w:t>采购清单</w:t>
      </w:r>
      <w:r>
        <w:rPr>
          <w:rFonts w:hint="eastAsia" w:ascii="宋体" w:hAnsi="宋体" w:eastAsia="宋体" w:cs="宋体"/>
          <w:b/>
          <w:color w:val="auto"/>
          <w:sz w:val="28"/>
          <w:szCs w:val="28"/>
          <w:highlight w:val="none"/>
        </w:rPr>
        <w:t>：</w:t>
      </w:r>
      <w:bookmarkEnd w:id="5"/>
      <w:bookmarkEnd w:id="6"/>
      <w:bookmarkEnd w:id="7"/>
    </w:p>
    <w:p>
      <w:pPr>
        <w:spacing w:line="360" w:lineRule="auto"/>
        <w:jc w:val="center"/>
        <w:outlineLvl w:val="2"/>
        <w:rPr>
          <w:rFonts w:hint="eastAsia" w:ascii="宋体" w:hAnsi="宋体" w:eastAsia="宋体" w:cs="宋体"/>
          <w:b/>
          <w:bCs/>
          <w:color w:val="auto"/>
          <w:sz w:val="28"/>
          <w:szCs w:val="28"/>
          <w:highlight w:val="none"/>
        </w:rPr>
      </w:pPr>
      <w:bookmarkStart w:id="8" w:name="_Toc17027"/>
      <w:bookmarkStart w:id="9" w:name="_Toc17649"/>
      <w:bookmarkStart w:id="10" w:name="_Toc14817"/>
      <w:bookmarkStart w:id="11" w:name="_Toc29082"/>
      <w:bookmarkStart w:id="12" w:name="_Toc18229"/>
      <w:r>
        <w:rPr>
          <w:rFonts w:hint="eastAsia" w:ascii="宋体" w:hAnsi="宋体" w:eastAsia="宋体" w:cs="宋体"/>
          <w:b/>
          <w:bCs/>
          <w:color w:val="auto"/>
          <w:sz w:val="28"/>
          <w:szCs w:val="28"/>
          <w:highlight w:val="none"/>
        </w:rPr>
        <w:t>采购清单表</w:t>
      </w:r>
      <w:bookmarkEnd w:id="8"/>
      <w:bookmarkEnd w:id="9"/>
      <w:bookmarkEnd w:id="10"/>
      <w:bookmarkEnd w:id="11"/>
      <w:bookmarkEnd w:id="12"/>
    </w:p>
    <w:tbl>
      <w:tblPr>
        <w:tblStyle w:val="4"/>
        <w:tblW w:w="8331" w:type="dxa"/>
        <w:tblInd w:w="0" w:type="dxa"/>
        <w:tblLayout w:type="fixed"/>
        <w:tblCellMar>
          <w:top w:w="15" w:type="dxa"/>
          <w:left w:w="15" w:type="dxa"/>
          <w:bottom w:w="15" w:type="dxa"/>
          <w:right w:w="15" w:type="dxa"/>
        </w:tblCellMar>
      </w:tblPr>
      <w:tblGrid>
        <w:gridCol w:w="751"/>
        <w:gridCol w:w="1579"/>
        <w:gridCol w:w="725"/>
        <w:gridCol w:w="854"/>
        <w:gridCol w:w="1384"/>
        <w:gridCol w:w="932"/>
        <w:gridCol w:w="1034"/>
        <w:gridCol w:w="1072"/>
      </w:tblGrid>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包号</w:t>
            </w:r>
          </w:p>
        </w:tc>
        <w:tc>
          <w:tcPr>
            <w:tcW w:w="157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设备名称</w:t>
            </w:r>
          </w:p>
        </w:tc>
        <w:tc>
          <w:tcPr>
            <w:tcW w:w="72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单位</w:t>
            </w:r>
          </w:p>
        </w:tc>
        <w:tc>
          <w:tcPr>
            <w:tcW w:w="85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数量</w:t>
            </w:r>
          </w:p>
        </w:tc>
        <w:tc>
          <w:tcPr>
            <w:tcW w:w="138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单价最高限价（万元）</w:t>
            </w:r>
          </w:p>
        </w:tc>
        <w:tc>
          <w:tcPr>
            <w:tcW w:w="93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标包最高限价（万元）</w:t>
            </w:r>
          </w:p>
        </w:tc>
        <w:tc>
          <w:tcPr>
            <w:tcW w:w="103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是否接受进口产品投标</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是否核心产品</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000000"/>
                <w:kern w:val="0"/>
                <w:sz w:val="24"/>
                <w:szCs w:val="24"/>
                <w:u w:val="none"/>
                <w:lang w:val="en-US" w:eastAsia="zh-CN" w:bidi="ar"/>
              </w:rPr>
              <w:t>全自动化学发光免疫分析仪</w:t>
            </w:r>
            <w:r>
              <w:rPr>
                <w:rStyle w:val="6"/>
                <w:rFonts w:hint="eastAsia" w:ascii="宋体" w:hAnsi="宋体" w:eastAsia="宋体" w:cs="宋体"/>
                <w:sz w:val="24"/>
                <w:szCs w:val="24"/>
                <w:lang w:val="en-US" w:eastAsia="zh-CN" w:bidi="ar"/>
              </w:rPr>
              <w:t>（一）</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i w:val="0"/>
                <w:color w:val="000000"/>
                <w:kern w:val="0"/>
                <w:sz w:val="24"/>
                <w:szCs w:val="24"/>
                <w:u w:val="none"/>
                <w:lang w:val="en-US" w:eastAsia="zh-CN" w:bidi="ar"/>
              </w:rPr>
              <w:t>4</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000000"/>
                <w:kern w:val="0"/>
                <w:sz w:val="24"/>
                <w:szCs w:val="24"/>
                <w:u w:val="none"/>
                <w:lang w:val="en-US" w:eastAsia="zh-CN" w:bidi="ar"/>
              </w:rPr>
              <w:t>10</w:t>
            </w:r>
          </w:p>
        </w:tc>
        <w:tc>
          <w:tcPr>
            <w:tcW w:w="932" w:type="dxa"/>
            <w:tcBorders>
              <w:top w:val="single" w:color="000000" w:sz="4" w:space="0"/>
              <w:left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000000"/>
                <w:kern w:val="0"/>
                <w:sz w:val="24"/>
                <w:szCs w:val="24"/>
                <w:u w:val="none"/>
                <w:lang w:val="en-US" w:eastAsia="zh-CN" w:bidi="ar"/>
              </w:rPr>
              <w:t>40</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eastAsia="zh-CN" w:bidi="ar"/>
              </w:rPr>
              <w:t>不</w:t>
            </w:r>
            <w:r>
              <w:rPr>
                <w:rFonts w:hint="eastAsia" w:ascii="宋体" w:hAnsi="宋体" w:eastAsia="宋体" w:cs="宋体"/>
                <w:color w:val="auto"/>
                <w:kern w:val="0"/>
                <w:sz w:val="24"/>
                <w:szCs w:val="24"/>
                <w:highlight w:val="none"/>
                <w:lang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2</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outlineLvl w:val="9"/>
              <w:rPr>
                <w:rFonts w:hint="eastAsia" w:ascii="宋体" w:hAnsi="宋体" w:eastAsia="宋体" w:cs="宋体"/>
                <w:color w:val="auto"/>
                <w:sz w:val="24"/>
                <w:szCs w:val="24"/>
                <w:highlight w:val="none"/>
              </w:rPr>
            </w:pPr>
            <w:r>
              <w:rPr>
                <w:rStyle w:val="7"/>
                <w:rFonts w:hint="eastAsia" w:ascii="宋体" w:hAnsi="宋体" w:eastAsia="宋体" w:cs="宋体"/>
                <w:sz w:val="24"/>
                <w:szCs w:val="24"/>
                <w:lang w:val="en-US" w:eastAsia="zh-CN" w:bidi="ar"/>
              </w:rPr>
              <w:t>全自动化学发光免疫分析仪（二）</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000000"/>
                <w:kern w:val="0"/>
                <w:sz w:val="24"/>
                <w:szCs w:val="24"/>
                <w:u w:val="none"/>
                <w:lang w:val="en-US" w:eastAsia="zh-CN" w:bidi="ar"/>
              </w:rPr>
              <w:t>6</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000000"/>
                <w:kern w:val="0"/>
                <w:sz w:val="24"/>
                <w:szCs w:val="24"/>
                <w:u w:val="none"/>
                <w:lang w:val="en-US" w:eastAsia="zh-CN" w:bidi="ar"/>
              </w:rPr>
              <w:t>100</w:t>
            </w:r>
          </w:p>
        </w:tc>
        <w:tc>
          <w:tcPr>
            <w:tcW w:w="9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000000"/>
                <w:kern w:val="0"/>
                <w:sz w:val="24"/>
                <w:szCs w:val="24"/>
                <w:u w:val="none"/>
                <w:lang w:val="en-US" w:eastAsia="zh-CN" w:bidi="ar"/>
              </w:rPr>
              <w:t>600</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eastAsia="zh-CN" w:bidi="ar"/>
              </w:rPr>
              <w:t>不</w:t>
            </w:r>
            <w:r>
              <w:rPr>
                <w:rFonts w:hint="eastAsia" w:ascii="宋体" w:hAnsi="宋体" w:eastAsia="宋体" w:cs="宋体"/>
                <w:color w:val="auto"/>
                <w:kern w:val="0"/>
                <w:sz w:val="24"/>
                <w:szCs w:val="24"/>
                <w:highlight w:val="none"/>
                <w:lang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3</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outlineLvl w:val="9"/>
              <w:rPr>
                <w:rFonts w:hint="eastAsia" w:ascii="宋体" w:hAnsi="宋体" w:eastAsia="宋体" w:cs="宋体"/>
                <w:color w:val="auto"/>
                <w:sz w:val="24"/>
                <w:szCs w:val="24"/>
                <w:highlight w:val="none"/>
              </w:rPr>
            </w:pPr>
            <w:r>
              <w:rPr>
                <w:rStyle w:val="7"/>
                <w:rFonts w:hint="eastAsia" w:ascii="宋体" w:hAnsi="宋体" w:eastAsia="宋体" w:cs="宋体"/>
                <w:sz w:val="24"/>
                <w:szCs w:val="24"/>
                <w:lang w:val="en-US" w:eastAsia="zh-CN" w:bidi="ar"/>
              </w:rPr>
              <w:t>全自动生化免疫分析流水线（一）</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lang w:val="en-US"/>
              </w:rPr>
            </w:pPr>
            <w:r>
              <w:rPr>
                <w:rFonts w:hint="eastAsia" w:ascii="宋体" w:hAnsi="宋体" w:eastAsia="宋体" w:cs="宋体"/>
                <w:i w:val="0"/>
                <w:color w:val="000000"/>
                <w:kern w:val="0"/>
                <w:sz w:val="24"/>
                <w:szCs w:val="24"/>
                <w:u w:val="none"/>
                <w:lang w:val="en-US" w:eastAsia="zh-CN" w:bidi="ar"/>
              </w:rPr>
              <w:t>1</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000000"/>
                <w:kern w:val="0"/>
                <w:sz w:val="24"/>
                <w:szCs w:val="24"/>
                <w:u w:val="none"/>
                <w:lang w:val="en-US" w:eastAsia="zh-CN" w:bidi="ar"/>
              </w:rPr>
              <w:t>370</w:t>
            </w:r>
          </w:p>
        </w:tc>
        <w:tc>
          <w:tcPr>
            <w:tcW w:w="9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000000"/>
                <w:kern w:val="0"/>
                <w:sz w:val="24"/>
                <w:szCs w:val="24"/>
                <w:u w:val="none"/>
                <w:lang w:val="en-US" w:eastAsia="zh-CN" w:bidi="ar"/>
              </w:rPr>
              <w:t>370</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4</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outlineLvl w:val="9"/>
              <w:rPr>
                <w:rFonts w:hint="eastAsia" w:ascii="宋体" w:hAnsi="宋体" w:eastAsia="宋体" w:cs="宋体"/>
                <w:color w:val="auto"/>
                <w:sz w:val="24"/>
                <w:szCs w:val="24"/>
                <w:highlight w:val="none"/>
              </w:rPr>
            </w:pPr>
            <w:r>
              <w:rPr>
                <w:rStyle w:val="7"/>
                <w:rFonts w:hint="eastAsia" w:ascii="宋体" w:hAnsi="宋体" w:eastAsia="宋体" w:cs="宋体"/>
                <w:sz w:val="24"/>
                <w:szCs w:val="24"/>
                <w:lang w:val="en-US" w:eastAsia="zh-CN" w:bidi="ar"/>
              </w:rPr>
              <w:t>全自动生化免疫分析流水线（二）</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000000"/>
                <w:kern w:val="0"/>
                <w:sz w:val="24"/>
                <w:szCs w:val="24"/>
                <w:u w:val="none"/>
                <w:lang w:val="en-US" w:eastAsia="zh-CN" w:bidi="ar"/>
              </w:rPr>
              <w:t>2</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000000"/>
                <w:kern w:val="0"/>
                <w:sz w:val="24"/>
                <w:szCs w:val="24"/>
                <w:u w:val="none"/>
                <w:lang w:val="en-US" w:eastAsia="zh-CN" w:bidi="ar"/>
              </w:rPr>
              <w:t>320</w:t>
            </w:r>
          </w:p>
        </w:tc>
        <w:tc>
          <w:tcPr>
            <w:tcW w:w="9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000000"/>
                <w:kern w:val="0"/>
                <w:sz w:val="24"/>
                <w:szCs w:val="24"/>
                <w:u w:val="none"/>
                <w:lang w:val="en-US" w:eastAsia="zh-CN" w:bidi="ar"/>
              </w:rPr>
              <w:t>640</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5</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outlineLvl w:val="9"/>
              <w:rPr>
                <w:rFonts w:hint="eastAsia" w:ascii="宋体" w:hAnsi="宋体" w:eastAsia="宋体" w:cs="宋体"/>
                <w:color w:val="auto"/>
                <w:sz w:val="24"/>
                <w:szCs w:val="24"/>
                <w:highlight w:val="none"/>
              </w:rPr>
            </w:pPr>
            <w:r>
              <w:rPr>
                <w:rStyle w:val="7"/>
                <w:rFonts w:hint="eastAsia" w:ascii="宋体" w:hAnsi="宋体" w:eastAsia="宋体" w:cs="宋体"/>
                <w:sz w:val="24"/>
                <w:szCs w:val="24"/>
                <w:lang w:val="en-US" w:eastAsia="zh-CN" w:bidi="ar"/>
              </w:rPr>
              <w:t>全自动生化免疫分析流水线（三）</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000000"/>
                <w:kern w:val="0"/>
                <w:sz w:val="24"/>
                <w:szCs w:val="24"/>
                <w:u w:val="none"/>
                <w:lang w:val="en-US" w:eastAsia="zh-CN" w:bidi="ar"/>
              </w:rPr>
              <w:t>2</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000000"/>
                <w:kern w:val="0"/>
                <w:sz w:val="24"/>
                <w:szCs w:val="24"/>
                <w:u w:val="none"/>
                <w:lang w:val="en-US" w:eastAsia="zh-CN" w:bidi="ar"/>
              </w:rPr>
              <w:t>170</w:t>
            </w:r>
          </w:p>
        </w:tc>
        <w:tc>
          <w:tcPr>
            <w:tcW w:w="932" w:type="dxa"/>
            <w:tcBorders>
              <w:top w:val="single" w:color="000000" w:sz="4" w:space="0"/>
              <w:left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000000"/>
                <w:kern w:val="0"/>
                <w:sz w:val="24"/>
                <w:szCs w:val="24"/>
                <w:u w:val="none"/>
                <w:lang w:val="en-US" w:eastAsia="zh-CN" w:bidi="ar"/>
              </w:rPr>
              <w:t>340</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eastAsia="zh-CN" w:bidi="ar"/>
              </w:rPr>
              <w:t>不</w:t>
            </w:r>
            <w:r>
              <w:rPr>
                <w:rFonts w:hint="eastAsia" w:ascii="宋体" w:hAnsi="宋体" w:eastAsia="宋体" w:cs="宋体"/>
                <w:color w:val="auto"/>
                <w:kern w:val="0"/>
                <w:sz w:val="24"/>
                <w:szCs w:val="24"/>
                <w:highlight w:val="none"/>
                <w:lang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6</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outlineLvl w:val="9"/>
              <w:rPr>
                <w:rFonts w:hint="eastAsia" w:ascii="宋体" w:hAnsi="宋体" w:eastAsia="宋体" w:cs="宋体"/>
                <w:color w:val="auto"/>
                <w:sz w:val="24"/>
                <w:szCs w:val="24"/>
                <w:highlight w:val="none"/>
              </w:rPr>
            </w:pPr>
            <w:r>
              <w:rPr>
                <w:rStyle w:val="7"/>
                <w:rFonts w:hint="eastAsia" w:ascii="宋体" w:hAnsi="宋体" w:eastAsia="宋体" w:cs="宋体"/>
                <w:sz w:val="24"/>
                <w:szCs w:val="24"/>
                <w:lang w:val="en-US" w:eastAsia="zh-CN" w:bidi="ar"/>
              </w:rPr>
              <w:t>全自动生化免疫分析流水线（四）</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000000"/>
                <w:kern w:val="0"/>
                <w:sz w:val="24"/>
                <w:szCs w:val="24"/>
                <w:u w:val="none"/>
                <w:lang w:val="en-US" w:eastAsia="zh-CN" w:bidi="ar"/>
              </w:rPr>
              <w:t>1</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000000"/>
                <w:kern w:val="0"/>
                <w:sz w:val="24"/>
                <w:szCs w:val="24"/>
                <w:u w:val="none"/>
                <w:lang w:val="en-US" w:eastAsia="zh-CN" w:bidi="ar"/>
              </w:rPr>
              <w:t>870</w:t>
            </w:r>
          </w:p>
        </w:tc>
        <w:tc>
          <w:tcPr>
            <w:tcW w:w="9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000000"/>
                <w:kern w:val="0"/>
                <w:sz w:val="24"/>
                <w:szCs w:val="24"/>
                <w:u w:val="none"/>
                <w:lang w:val="en-US" w:eastAsia="zh-CN" w:bidi="ar"/>
              </w:rPr>
              <w:t>870</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eastAsia="zh-CN" w:bidi="ar"/>
              </w:rPr>
              <w:t>不</w:t>
            </w:r>
            <w:r>
              <w:rPr>
                <w:rFonts w:hint="eastAsia" w:ascii="宋体" w:hAnsi="宋体" w:eastAsia="宋体" w:cs="宋体"/>
                <w:color w:val="auto"/>
                <w:kern w:val="0"/>
                <w:sz w:val="24"/>
                <w:szCs w:val="24"/>
                <w:highlight w:val="none"/>
                <w:lang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7</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outlineLvl w:val="9"/>
              <w:rPr>
                <w:rFonts w:hint="eastAsia" w:ascii="宋体" w:hAnsi="宋体" w:eastAsia="宋体" w:cs="宋体"/>
                <w:color w:val="auto"/>
                <w:sz w:val="24"/>
                <w:szCs w:val="24"/>
                <w:highlight w:val="none"/>
              </w:rPr>
            </w:pPr>
            <w:r>
              <w:rPr>
                <w:rStyle w:val="7"/>
                <w:rFonts w:hint="eastAsia" w:ascii="宋体" w:hAnsi="宋体" w:eastAsia="宋体" w:cs="宋体"/>
                <w:sz w:val="24"/>
                <w:szCs w:val="24"/>
                <w:lang w:val="en-US" w:eastAsia="zh-CN" w:bidi="ar"/>
              </w:rPr>
              <w:t>全自动生化免疫分析流水线（五）</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000000"/>
                <w:kern w:val="0"/>
                <w:sz w:val="24"/>
                <w:szCs w:val="24"/>
                <w:u w:val="none"/>
                <w:lang w:val="en-US" w:eastAsia="zh-CN" w:bidi="ar"/>
              </w:rPr>
              <w:t>3</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000000"/>
                <w:kern w:val="0"/>
                <w:sz w:val="24"/>
                <w:szCs w:val="24"/>
                <w:u w:val="none"/>
                <w:lang w:val="en-US" w:eastAsia="zh-CN" w:bidi="ar"/>
              </w:rPr>
              <w:t>100</w:t>
            </w:r>
          </w:p>
        </w:tc>
        <w:tc>
          <w:tcPr>
            <w:tcW w:w="9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i w:val="0"/>
                <w:color w:val="000000"/>
                <w:kern w:val="0"/>
                <w:sz w:val="24"/>
                <w:szCs w:val="24"/>
                <w:u w:val="none"/>
                <w:lang w:val="en-US" w:eastAsia="zh-CN" w:bidi="ar"/>
              </w:rPr>
              <w:t>300</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eastAsia="zh-CN" w:bidi="ar"/>
              </w:rPr>
              <w:t>不</w:t>
            </w:r>
            <w:r>
              <w:rPr>
                <w:rFonts w:hint="eastAsia" w:ascii="宋体" w:hAnsi="宋体" w:eastAsia="宋体" w:cs="宋体"/>
                <w:color w:val="auto"/>
                <w:kern w:val="0"/>
                <w:sz w:val="24"/>
                <w:szCs w:val="24"/>
                <w:highlight w:val="none"/>
                <w:lang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8</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outlineLvl w:val="9"/>
              <w:rPr>
                <w:rFonts w:hint="eastAsia" w:ascii="宋体" w:hAnsi="宋体" w:eastAsia="宋体" w:cs="宋体"/>
                <w:color w:val="auto"/>
                <w:sz w:val="24"/>
                <w:szCs w:val="24"/>
                <w:highlight w:val="none"/>
              </w:rPr>
            </w:pPr>
            <w:r>
              <w:rPr>
                <w:rStyle w:val="7"/>
                <w:rFonts w:hint="eastAsia" w:ascii="宋体" w:hAnsi="宋体" w:eastAsia="宋体" w:cs="宋体"/>
                <w:sz w:val="24"/>
                <w:szCs w:val="24"/>
                <w:lang w:val="en-US" w:eastAsia="zh-CN" w:bidi="ar"/>
              </w:rPr>
              <w:t>血气分析仪（一）</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000000"/>
                <w:kern w:val="0"/>
                <w:sz w:val="24"/>
                <w:szCs w:val="24"/>
                <w:u w:val="none"/>
                <w:lang w:val="en-US" w:eastAsia="zh-CN" w:bidi="ar"/>
              </w:rPr>
              <w:t>4</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000000"/>
                <w:kern w:val="0"/>
                <w:sz w:val="24"/>
                <w:szCs w:val="24"/>
                <w:u w:val="none"/>
                <w:lang w:val="en-US" w:eastAsia="zh-CN" w:bidi="ar"/>
              </w:rPr>
              <w:t>10</w:t>
            </w:r>
          </w:p>
        </w:tc>
        <w:tc>
          <w:tcPr>
            <w:tcW w:w="9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i w:val="0"/>
                <w:color w:val="000000"/>
                <w:kern w:val="0"/>
                <w:sz w:val="24"/>
                <w:szCs w:val="24"/>
                <w:u w:val="none"/>
                <w:lang w:val="en-US" w:eastAsia="zh-CN" w:bidi="ar"/>
              </w:rPr>
              <w:t>40</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eastAsia="zh-CN" w:bidi="ar"/>
              </w:rPr>
              <w:t>不</w:t>
            </w:r>
            <w:r>
              <w:rPr>
                <w:rFonts w:hint="eastAsia" w:ascii="宋体" w:hAnsi="宋体" w:eastAsia="宋体" w:cs="宋体"/>
                <w:color w:val="auto"/>
                <w:kern w:val="0"/>
                <w:sz w:val="24"/>
                <w:szCs w:val="24"/>
                <w:highlight w:val="none"/>
                <w:lang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vMerge w:val="restart"/>
            <w:tcBorders>
              <w:top w:val="single" w:color="000000" w:sz="4" w:space="0"/>
              <w:left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bookmarkStart w:id="13" w:name="_Toc15542"/>
            <w:r>
              <w:rPr>
                <w:rFonts w:hint="eastAsia" w:ascii="宋体" w:hAnsi="宋体" w:eastAsia="宋体" w:cs="宋体"/>
                <w:color w:val="auto"/>
                <w:kern w:val="0"/>
                <w:sz w:val="24"/>
                <w:szCs w:val="24"/>
                <w:highlight w:val="none"/>
                <w:lang w:val="en-US" w:eastAsia="zh-CN" w:bidi="ar"/>
              </w:rPr>
              <w:t>9</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outlineLvl w:val="9"/>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血气分析仪（二）</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1</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000000"/>
                <w:kern w:val="0"/>
                <w:sz w:val="24"/>
                <w:szCs w:val="24"/>
                <w:u w:val="none"/>
                <w:lang w:val="en-US" w:eastAsia="zh-CN" w:bidi="ar"/>
              </w:rPr>
              <w:t>16</w:t>
            </w:r>
          </w:p>
        </w:tc>
        <w:tc>
          <w:tcPr>
            <w:tcW w:w="932"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jc w:val="center"/>
              <w:textAlignment w:val="center"/>
              <w:outlineLvl w:val="9"/>
              <w:rPr>
                <w:rFonts w:hint="default" w:ascii="宋体" w:hAnsi="宋体" w:eastAsia="宋体" w:cs="宋体"/>
                <w:color w:val="auto"/>
                <w:kern w:val="0"/>
                <w:sz w:val="24"/>
                <w:szCs w:val="24"/>
                <w:highlight w:val="none"/>
                <w:lang w:val="en-US" w:eastAsia="zh-CN" w:bidi="ar"/>
              </w:rPr>
            </w:pPr>
            <w:r>
              <w:rPr>
                <w:rFonts w:hint="eastAsia" w:ascii="宋体" w:hAnsi="宋体" w:eastAsia="宋体" w:cs="宋体"/>
                <w:i w:val="0"/>
                <w:color w:val="000000"/>
                <w:kern w:val="0"/>
                <w:sz w:val="24"/>
                <w:szCs w:val="24"/>
                <w:u w:val="none"/>
                <w:lang w:val="en-US" w:eastAsia="zh-CN" w:bidi="ar"/>
              </w:rPr>
              <w:t>76</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否</w:t>
            </w:r>
          </w:p>
        </w:tc>
      </w:tr>
      <w:tr>
        <w:tblPrEx>
          <w:tblLayout w:type="fixed"/>
          <w:tblCellMar>
            <w:top w:w="15" w:type="dxa"/>
            <w:left w:w="15" w:type="dxa"/>
            <w:bottom w:w="15" w:type="dxa"/>
            <w:right w:w="15" w:type="dxa"/>
          </w:tblCellMar>
        </w:tblPrEx>
        <w:trPr>
          <w:trHeight w:val="286" w:hRule="atLeast"/>
        </w:trPr>
        <w:tc>
          <w:tcPr>
            <w:tcW w:w="751" w:type="dxa"/>
            <w:vMerge w:val="continue"/>
            <w:tcBorders>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outlineLvl w:val="9"/>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血气分析仪（三）</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3</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000000"/>
                <w:kern w:val="0"/>
                <w:sz w:val="24"/>
                <w:szCs w:val="24"/>
                <w:u w:val="none"/>
                <w:lang w:val="en-US" w:eastAsia="zh-CN" w:bidi="ar"/>
              </w:rPr>
              <w:t>20</w:t>
            </w:r>
          </w:p>
        </w:tc>
        <w:tc>
          <w:tcPr>
            <w:tcW w:w="932"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vMerge w:val="restart"/>
            <w:tcBorders>
              <w:top w:val="single" w:color="000000" w:sz="4" w:space="0"/>
              <w:left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10</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电解质分析仪（一）</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1</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1</w:t>
            </w:r>
          </w:p>
        </w:tc>
        <w:tc>
          <w:tcPr>
            <w:tcW w:w="932"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jc w:val="center"/>
              <w:textAlignment w:val="center"/>
              <w:outlineLvl w:val="9"/>
              <w:rPr>
                <w:rFonts w:hint="default"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105.5</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eastAsia="zh-CN" w:bidi="ar"/>
              </w:rPr>
              <w:t>不</w:t>
            </w:r>
            <w:r>
              <w:rPr>
                <w:rFonts w:hint="eastAsia" w:ascii="宋体" w:hAnsi="宋体" w:eastAsia="宋体" w:cs="宋体"/>
                <w:color w:val="auto"/>
                <w:kern w:val="0"/>
                <w:sz w:val="24"/>
                <w:szCs w:val="24"/>
                <w:highlight w:val="none"/>
                <w:lang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否</w:t>
            </w:r>
          </w:p>
        </w:tc>
      </w:tr>
      <w:tr>
        <w:tblPrEx>
          <w:tblLayout w:type="fixed"/>
          <w:tblCellMar>
            <w:top w:w="15" w:type="dxa"/>
            <w:left w:w="15" w:type="dxa"/>
            <w:bottom w:w="15" w:type="dxa"/>
            <w:right w:w="15" w:type="dxa"/>
          </w:tblCellMar>
        </w:tblPrEx>
        <w:trPr>
          <w:trHeight w:val="286" w:hRule="atLeast"/>
        </w:trPr>
        <w:tc>
          <w:tcPr>
            <w:tcW w:w="751"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电解质分析仪（二）</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7</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3.5</w:t>
            </w:r>
          </w:p>
        </w:tc>
        <w:tc>
          <w:tcPr>
            <w:tcW w:w="932"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eastAsia="zh-CN" w:bidi="ar"/>
              </w:rPr>
              <w:t>不</w:t>
            </w:r>
            <w:r>
              <w:rPr>
                <w:rFonts w:hint="eastAsia" w:ascii="宋体" w:hAnsi="宋体" w:eastAsia="宋体" w:cs="宋体"/>
                <w:color w:val="auto"/>
                <w:kern w:val="0"/>
                <w:sz w:val="24"/>
                <w:szCs w:val="24"/>
                <w:highlight w:val="none"/>
                <w:lang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否</w:t>
            </w:r>
          </w:p>
        </w:tc>
      </w:tr>
      <w:tr>
        <w:tblPrEx>
          <w:tblLayout w:type="fixed"/>
          <w:tblCellMar>
            <w:top w:w="15" w:type="dxa"/>
            <w:left w:w="15" w:type="dxa"/>
            <w:bottom w:w="15" w:type="dxa"/>
            <w:right w:w="15" w:type="dxa"/>
          </w:tblCellMar>
        </w:tblPrEx>
        <w:trPr>
          <w:trHeight w:val="286" w:hRule="atLeast"/>
        </w:trPr>
        <w:tc>
          <w:tcPr>
            <w:tcW w:w="751"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电解质分析仪（三）</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2</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15</w:t>
            </w:r>
          </w:p>
        </w:tc>
        <w:tc>
          <w:tcPr>
            <w:tcW w:w="932"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eastAsia="zh-CN" w:bidi="ar"/>
              </w:rPr>
              <w:t>不</w:t>
            </w:r>
            <w:r>
              <w:rPr>
                <w:rFonts w:hint="eastAsia" w:ascii="宋体" w:hAnsi="宋体" w:eastAsia="宋体" w:cs="宋体"/>
                <w:color w:val="auto"/>
                <w:kern w:val="0"/>
                <w:sz w:val="24"/>
                <w:szCs w:val="24"/>
                <w:highlight w:val="none"/>
                <w:lang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否</w:t>
            </w:r>
          </w:p>
        </w:tc>
      </w:tr>
      <w:tr>
        <w:tblPrEx>
          <w:tblLayout w:type="fixed"/>
          <w:tblCellMar>
            <w:top w:w="15" w:type="dxa"/>
            <w:left w:w="15" w:type="dxa"/>
            <w:bottom w:w="15" w:type="dxa"/>
            <w:right w:w="15" w:type="dxa"/>
          </w:tblCellMar>
        </w:tblPrEx>
        <w:trPr>
          <w:trHeight w:val="286" w:hRule="atLeast"/>
        </w:trPr>
        <w:tc>
          <w:tcPr>
            <w:tcW w:w="751"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电解质分析仪（四）</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1</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50</w:t>
            </w:r>
          </w:p>
        </w:tc>
        <w:tc>
          <w:tcPr>
            <w:tcW w:w="932"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eastAsia="zh-CN" w:bidi="ar"/>
              </w:rPr>
              <w:t>不</w:t>
            </w:r>
            <w:r>
              <w:rPr>
                <w:rFonts w:hint="eastAsia" w:ascii="宋体" w:hAnsi="宋体" w:eastAsia="宋体" w:cs="宋体"/>
                <w:color w:val="auto"/>
                <w:kern w:val="0"/>
                <w:sz w:val="24"/>
                <w:szCs w:val="24"/>
                <w:highlight w:val="none"/>
                <w:lang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w:t>
            </w:r>
          </w:p>
        </w:tc>
      </w:tr>
    </w:tbl>
    <w:p>
      <w:pPr>
        <w:spacing w:line="360" w:lineRule="auto"/>
        <w:jc w:val="left"/>
        <w:outlineLvl w:val="9"/>
        <w:rPr>
          <w:rFonts w:hint="eastAsia" w:ascii="宋体" w:hAnsi="宋体" w:eastAsia="宋体" w:cs="宋体"/>
          <w:b/>
          <w:bCs w:val="0"/>
          <w:color w:val="auto"/>
          <w:sz w:val="28"/>
          <w:szCs w:val="28"/>
          <w:highlight w:val="none"/>
          <w:lang w:val="en-US" w:eastAsia="zh-CN"/>
        </w:rPr>
      </w:pP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注：1.投标报价要求：</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1.1.本合同约定的价款，除非另有特别说明，已经包含下列项目含税费用：</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（1）货物主体和配件、备品备件、硬件软件、包装、专用工具的费用；</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（2）安装/调试/检验、培训、技术服务和其他相关服务费用；</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（3）进出口手续费用（如有）；</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（4）运输到指定交货地点的运费、保险费用等。</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除非另有明确约定，海南省卫生健康委员会、省级医疗机构/市县卫健委/市县级医疗机构无需就本次购买向供应商支付其他费用。</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1.2各方确认：合同约定价款不因劳务、市场设备价格、政策变化等因素而调整。</w:t>
      </w:r>
    </w:p>
    <w:p>
      <w:pPr>
        <w:spacing w:line="360" w:lineRule="auto"/>
        <w:jc w:val="left"/>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val="en-US" w:eastAsia="zh-CN"/>
        </w:rPr>
        <w:t>2.如所供货物为医疗器械的,医疗产品注册证上的名称与采购标的名称不一致的,需在《投标（响应）报价明细表》的“备注”中明确,验收以医疗器械注册证上的产品名称为准。</w:t>
      </w:r>
      <w:bookmarkEnd w:id="13"/>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3.投标报价超过所投标包或所投产品单价采购预算（最高限价）的，均视为无效投标。</w:t>
      </w:r>
    </w:p>
    <w:p>
      <w:pPr>
        <w:pStyle w:val="2"/>
        <w:ind w:firstLine="0"/>
        <w:outlineLvl w:val="9"/>
        <w:rPr>
          <w:rFonts w:hint="eastAsia" w:ascii="宋体" w:hAnsi="宋体" w:eastAsia="宋体" w:cs="宋体"/>
          <w:color w:val="auto"/>
          <w:highlight w:val="none"/>
          <w:lang w:val="en-US" w:eastAsia="zh-CN"/>
        </w:rPr>
      </w:pPr>
    </w:p>
    <w:p>
      <w:pPr>
        <w:outlineLvl w:val="9"/>
        <w:rPr>
          <w:rFonts w:hint="eastAsia" w:ascii="宋体" w:hAnsi="宋体" w:eastAsia="宋体" w:cs="宋体"/>
          <w:color w:val="auto"/>
          <w:highlight w:val="none"/>
          <w:lang w:val="en-US" w:eastAsia="zh-CN"/>
        </w:rPr>
      </w:pPr>
    </w:p>
    <w:p>
      <w:pPr>
        <w:spacing w:before="91" w:line="220" w:lineRule="auto"/>
        <w:outlineLvl w:val="1"/>
        <w:rPr>
          <w:rFonts w:hint="eastAsia" w:ascii="宋体" w:hAnsi="宋体" w:eastAsia="宋体" w:cs="宋体"/>
          <w:color w:val="auto"/>
          <w:sz w:val="28"/>
          <w:szCs w:val="28"/>
          <w:highlight w:val="none"/>
        </w:rPr>
      </w:pPr>
      <w:bookmarkStart w:id="14" w:name="_Toc9247"/>
      <w:bookmarkStart w:id="15" w:name="_Toc7455"/>
      <w:r>
        <w:rPr>
          <w:rFonts w:hint="eastAsia" w:ascii="宋体" w:hAnsi="宋体" w:eastAsia="宋体" w:cs="宋体"/>
          <w:b/>
          <w:bCs/>
          <w:color w:val="auto"/>
          <w:spacing w:val="-5"/>
          <w:sz w:val="28"/>
          <w:szCs w:val="28"/>
          <w:highlight w:val="none"/>
        </w:rPr>
        <w:t>二、技术要求</w:t>
      </w:r>
      <w:bookmarkEnd w:id="14"/>
      <w:bookmarkEnd w:id="15"/>
    </w:p>
    <w:p>
      <w:pPr>
        <w:bidi w:val="0"/>
        <w:jc w:val="center"/>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包1技术参数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1、技术参数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单模块最快检测通量≥400T/H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具备连续进样，自动重测，急诊插入功能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一次性装载量样本≥140个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样本加样量范围：最小值≤10ul且最大值≥150ul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试管条码扫描具备自动校正功能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采样系统无需额外耗材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冷藏试剂位≥30个，试剂仓温度2—8℃。</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反应杯一次性满载≥1200个，可连续装载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全部免疫检测项目≥80项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检测项目：能同时检测甲状腺功能评估相关项目（FT3\FT4\TSH\TRAB\rT3等）、性腺功能评估（PRL\E2\PROG等）、肿瘤标记物（CEA\AFP\CA125\CA199等）、心肌标记物（BNP\TNI等）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首结果最快报告时间≤21min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具有在机自动重测、自动稀释功能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具有独立急诊通道，急诊样本优先检测功能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具备原厂质控品和校准品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仪器设计使用寿命≥10年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检验项目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乙型肝炎病毒表面抗原测定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乙型肝炎病毒表面抗体测定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乙型肝炎病毒e抗原测定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乙型肝炎病毒e抗体测定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乙型肝炎病毒核心抗体测定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人类免疫缺陷病毒抗原抗体检测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丙型肝炎病毒抗体检测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梅毒螺旋体抗体检测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总三碘甲状腺原氨酸测定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1.16.10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总甲状腺素测定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游离三碘甲状腺原氨酸测定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游离甲状腺素测定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促甲状腺激素测定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甲状旁腺激素测定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降钙素测定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甲胎蛋白测定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癌胚抗原测定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糖类抗原15-3测定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糖类抗原125测定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1.16.20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糖类抗原19-9测定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总前列腺特异性抗原测定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游离前列腺特异性抗原测定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β-人绒毛膜促性腺激素测定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促卵泡生成素测定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促黄体生成素测定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泌乳素测定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孕酮测定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1.16.28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雌二醇测定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1.16.29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睾酮测定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1.16.30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雌三醇测定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1.16.31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妊娠相关血浆蛋白A测定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1.16.32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游离β-人绒毛膜促性腺激素测定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1.16.33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可检测发光项目≥60个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★2、必须配套的附属设备设施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全自动化学发光免疫分析仪1台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装机配件1包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装机试剂1包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设备配套使用的信息化系统1套（</w:t>
      </w:r>
      <w:r>
        <w:rPr>
          <w:rFonts w:hint="eastAsia" w:ascii="宋体" w:hAnsi="宋体" w:eastAsia="宋体" w:cs="宋体"/>
          <w:b w:val="0"/>
          <w:bCs w:val="0"/>
          <w:color w:val="auto"/>
          <w:sz w:val="28"/>
          <w:szCs w:val="28"/>
          <w:lang w:val="en-US" w:eastAsia="zh-CN"/>
        </w:rPr>
        <w:t>应能够匹配医院的相关信息系统</w:t>
      </w:r>
      <w:r>
        <w:rPr>
          <w:rFonts w:hint="eastAsia" w:ascii="宋体"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电脑主机：1台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地脚垫片：4片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试剂盒组件1个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扫描枪：1个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电脑显示屏：1台</w:t>
      </w:r>
    </w:p>
    <w:p>
      <w:pPr>
        <w:outlineLvl w:val="9"/>
        <w:rPr>
          <w:rFonts w:hint="eastAsia" w:ascii="宋体" w:hAnsi="宋体" w:eastAsia="宋体" w:cs="宋体"/>
          <w:color w:val="auto"/>
          <w:sz w:val="28"/>
          <w:szCs w:val="28"/>
          <w:highlight w:val="none"/>
          <w:lang w:val="en-US" w:eastAsia="zh-CN"/>
        </w:rPr>
      </w:pPr>
    </w:p>
    <w:p>
      <w:pPr>
        <w:jc w:val="center"/>
        <w:outlineLvl w:val="2"/>
        <w:rPr>
          <w:rFonts w:hint="eastAsia" w:ascii="宋体" w:hAnsi="宋体" w:eastAsia="宋体" w:cs="宋体"/>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包2技术参数</w:t>
      </w:r>
      <w:r>
        <w:rPr>
          <w:rFonts w:hint="eastAsia" w:ascii="宋体" w:hAnsi="宋体" w:eastAsia="宋体" w:cs="宋体"/>
          <w:color w:val="auto"/>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1、技术参数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进出样系统</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容量：≥300管样本，支持在线连续上样</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具备急诊优先功能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具备重测功能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开闭盖系统</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单独开盖速度：400管/小时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具有自动开盖功能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基本参数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单机测试速度≥400个测试/小时，可拓展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首结果最快报告时间≤21min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最高离机测试数≥600个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样本装载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一次可装载样本≥300个，可连续装载、替换</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样本类型：血清、血浆、尿液等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支持急诊优先，可自定义急诊位</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具有自动重测功能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试剂装载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可同时装载试剂≥35种</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测试过程中可连续装载，更换试剂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具备快速识别试剂盒信息功能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试剂特性</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集成式试剂盒，无须预处理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高频电子标签储存试剂的所有信息，更替、增加新项目瞬间完成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定标稳定期≥4周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反应杯设计：一次可装载反应杯≥1000个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反应盘</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可同时孵育反应杯≥150个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具备稳定的孵育温度</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具备样本试剂混匀技术</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清洗站</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具备多站式清洗技术</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具备多重磁分离技术</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具备非接触式磁球重悬浮技术</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1.10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软件系统</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1.10.1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支持COM口及以太网与医院Lis系统连接</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1.10.2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支持远程诊断</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1.10.3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具备随机、批处理、急诊功能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检验项目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乙型肝炎病毒表面抗原测定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乙型肝炎病毒表面抗体测定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乙型肝炎病毒e抗原测定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乙型肝炎病毒e抗体测定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乙型肝炎病毒核心抗体测定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人类免疫缺陷病毒抗原抗体检测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丙型肝炎病毒抗体检测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梅毒螺旋体抗体检测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总三碘甲状腺原氨酸测定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1.11.10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总甲状腺素测定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游离三碘甲状腺原氨酸测定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游离甲状腺素测定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促甲状腺激素测定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甲状旁腺激素测定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降钙素测定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甲胎蛋白测定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癌胚抗原测定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糖类抗原15-3测定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糖类抗原125测定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1.11.20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糖类抗原19-9测定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总前列腺特异性抗原测定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游离前列腺特异性抗原测定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β-人绒毛膜促性腺激素测定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促卵泡生成素测定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促黄体生成素测定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泌乳素测定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孕酮测定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1.11.28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雌二醇测定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1.11.29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睾酮测定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1.11.30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C肽测定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1.11.31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胰岛素测定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1.11.32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25-羟基维生素D测定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1.11.33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肌红蛋白测定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1.11.34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肌酸激酶同工酶测定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1.11.35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肌钙蛋白测定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1.11.36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N末端脑利钠肽前体或B型钠尿肽测定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1.11.37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高敏肌钙蛋白测定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1.11.38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降钙素原测定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1.11.39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白介素-6测定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1.11.40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铁蛋白测定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1.11.41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叶酸测定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1.11.42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维生素B12测定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1.11.43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可检测发光项目≥70个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★2、必须配套的附属设备设施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全自动化学发光免疫分析仪1台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样本处理系统1套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配件包1套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软件系统1套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操作电脑1套（含显示器）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仪器配备能满足仪器日常运行要求的制水机  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UPS 1套，保证断电后运行1个小时</w:t>
      </w:r>
    </w:p>
    <w:p>
      <w:pPr>
        <w:jc w:val="both"/>
        <w:outlineLvl w:val="9"/>
        <w:rPr>
          <w:rFonts w:hint="eastAsia" w:ascii="宋体" w:hAnsi="宋体" w:eastAsia="宋体" w:cs="宋体"/>
          <w:color w:val="auto"/>
          <w:sz w:val="28"/>
          <w:szCs w:val="28"/>
          <w:highlight w:val="none"/>
          <w:lang w:val="en-US" w:eastAsia="zh-CN"/>
        </w:rPr>
      </w:pPr>
    </w:p>
    <w:p>
      <w:pPr>
        <w:jc w:val="center"/>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包3技术参数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1、技术参数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进样模块处理速度：≥1000管/小时，单模块容量：≥500管样本</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离心模块单模块离心效率：≥450管/小时，可支持多台离心模块接入流水线批次；离心样本量：≥80管；最大离心转速：≥4000rpm/分钟</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移载模块：开盖速度：≥1000管/小时；具备过滤功能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回收模块：加盖速度：≥1000管/小时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采血管后处理工作站：处理速度≥1000支/小时，具备标本输入，输出，复检标本功能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生化单模块光学法测定恒速≥2000测试/小时，电解质ISE 单模块速度≥900 测试/小时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同时分析项目数：单模块双试剂≥70项，模块扩展后最大可实现同时分析≥160个 项目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可连续装载样本，最大样本容量≥300个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1.9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分析方法≥4种</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吸光度范围：最小值≤0Abs且最大值≥3Abs；波长数量≥12个；波长范围：最小值≤340nm且最大值≥800nm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样本量范围：最小值≤1.5uL且最大值≥25uL，步进≤0.1uL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具有自动增减量及前稀释、自动检测液面、纵向横向防碰自动保护功能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具备搅拌功能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具备样品针堵塞检测功能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具备自动质控、比对功能，远程维护功能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数据处理功能：自动校准，多点校准，折线校准，校准点选择，比色分析计算，速率分析计算，同工酶分析，血清指数，样品空白，实时QC，X-R 控制，自动再检，校准追踪，前带检测等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发光单机检测速度≥600测试/小时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发光首结果最快报告时间≤20min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1.19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支持级联拓展功能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可支持仪器自动重测和急诊插入优先检测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轨道式进样，同时放入≥100个样本，可以连续添加样本。仪器试剂位≥30个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具备试剂盒不停机加载功能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具有液面探测、随量跟踪、立体防撞、气泡检测等功能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仪器最小加样量范围：≤10μL；非接触式混匀。</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发光采用一次性反应杯，可以一次性装载≥2800个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底物液、清洗液均有两套备份，支持不停机更换</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配套试剂盒内置校准品，配套试剂开瓶上机后可保存≥28天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仪器使用期限≥10年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检验项目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乙型肝炎病毒表面抗原测定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乙型肝炎病毒表面抗体测定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乙型肝炎病毒e抗原测定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乙型肝炎病毒e抗体测定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乙型肝炎病毒核心抗体测定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人类免疫缺陷病毒抗原抗体检测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丙型肝炎病毒抗体检测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梅毒螺旋体抗体检测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总三碘甲状腺原氨酸测定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1.30.10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总甲状腺素测定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游离三碘甲状腺原氨酸测定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游离甲状腺素测定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促甲状腺激素测定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抗甲状腺球蛋白抗体测定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抗甲状腺过氧化物酶抗体测定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促甲状腺激素受体抗体测定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甲状腺球蛋白测定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甲状旁腺激素测定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降钙素测定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1.30.20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甲胎蛋白测定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癌胚抗原测定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糖类抗原15-3测定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糖类抗原125测定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糖类抗原19-9测定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总前列腺特异性抗原测定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游离前列腺特异性抗原测定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胃泌素释放肽前体测定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1.30.28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神经元特异性烯醇化酶测定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1.30.29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鳞状上皮细胞癌抗原测定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1.30.30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细胞角蛋白19片段测定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1.30.31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糖类抗原72-4测定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1.30.32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糖类抗原242测定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1.30.33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人附睾蛋白4测定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1.30.34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胃蛋白酶原Ⅰ测定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1.30.35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胃蛋白酶原Ⅱ测定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1.30.36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生长激素测定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1.30.37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β-人绒毛膜促性腺激素测定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1.30.38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促卵泡生成素测定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1.30.39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促黄体生成素测定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1.30.40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泌乳素测定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1.30.41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孕酮测定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1.30.42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雌二醇测定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1.30.43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睾酮测定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1.30.44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抗缪勒氏管激素测定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1.30.45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雌三醇测定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1.30.46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妊娠相关血浆蛋白A测定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1.30.47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游离β-人绒毛膜促性腺激素测定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1.30.48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C肽测定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1.30.49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胰岛素测定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1.30.50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25-羟基维生素D测定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1.30.51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肌红蛋白测定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1.30.52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肌酸激酶同工酶测定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1.30.53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肌钙蛋白测定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1.30.54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N末端脑利钠肽前体测定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1.30.55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B型钠尿肽测定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1.30.56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高敏肌钙蛋白测定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1.30.57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降钙素原测定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1.30.58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白介素-6测定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1.30.59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铁蛋白测定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1.30.60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叶酸测定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1.30.61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维生素B12测定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1.30.62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抗环瓜氨酸肽抗体测定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1.30.63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抗Sm抗体测定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1.30.64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抗线粒体M2抗体测定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1.30.65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抗双链DNA抗体测定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1.30.66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抗核小体抗体测定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1.30.67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抗SSB(La)抗体测定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1.30.68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抗SSA(Ro60)抗体测定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1.30.69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抗Jo-1抗体测定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1.30.70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抗Sm/RNP抗体测定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1.30.71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抗着丝点抗体测定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1.30.72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抗Scl-70抗体测定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1.30.73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抗核糖体P蛋白抗体测定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1.30.74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抗SSA(Ro52)抗体检测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1.30.75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抗组蛋白抗体测定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1.30.76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抗PM-Scl抗体测定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1.30.77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抗髓过氧化物酶抗体测定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1.30.78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抗肾小球基底膜抗体测定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1.30.79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促肾上腺皮质激素测定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1.30.80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皮质醇测定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1.30.81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肾素测定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1.30.82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醛固酮测定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1.30.83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弓形虫IgM抗体检测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1.30.84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弓形虫IgG抗体测定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1.30.85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单纯疱疹病毒2型IgG抗体检测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1.30.86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单纯疱疹病毒1型IgG抗体检测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1.30.87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单纯疱疹病毒2型IgM抗体检测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1.30.88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单纯疱疹病毒1型IgM抗体检测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1.30.89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风疹病毒IgM抗体检测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1.30.90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风疹病毒IgG抗体测定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1.30.91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巨细胞病毒IgM抗体检测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1.30.92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巨细胞病毒IgG抗体测定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1.30.93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可检测生化项目≥100个，可检测发光项目≥100个</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8"/>
          <w:szCs w:val="28"/>
          <w:lang w:val="en-US" w:eastAsia="zh-CN"/>
        </w:rPr>
      </w:pPr>
      <w:r>
        <w:rPr>
          <w:rFonts w:hint="eastAsia" w:asciiTheme="minorEastAsia" w:hAnsiTheme="minorEastAsia" w:eastAsiaTheme="minorEastAsia" w:cstheme="minorEastAsia"/>
          <w:b w:val="0"/>
          <w:bCs w:val="0"/>
          <w:i w:val="0"/>
          <w:iCs/>
          <w:color w:val="auto"/>
          <w:kern w:val="2"/>
          <w:sz w:val="28"/>
          <w:szCs w:val="28"/>
          <w:highlight w:val="none"/>
          <w:lang w:val="en-US" w:eastAsia="zh-CN" w:bidi="ar-SA"/>
        </w:rPr>
        <w:t>★</w:t>
      </w:r>
      <w:r>
        <w:rPr>
          <w:rFonts w:hint="eastAsia" w:ascii="宋体" w:hAnsi="宋体" w:eastAsia="宋体" w:cs="宋体"/>
          <w:color w:val="auto"/>
          <w:sz w:val="28"/>
          <w:szCs w:val="28"/>
          <w:highlight w:val="none"/>
          <w:lang w:val="en-US" w:eastAsia="zh-CN"/>
        </w:rPr>
        <w:t>1.31其他未列出的非集采免疫发光检测项目所需试剂、耗材的耗占比≤28%</w:t>
      </w:r>
      <w:r>
        <w:rPr>
          <w:rFonts w:hint="eastAsia" w:asciiTheme="minorEastAsia" w:hAnsiTheme="minorEastAsia" w:eastAsiaTheme="minorEastAsia" w:cstheme="minorEastAsia"/>
          <w:b w:val="0"/>
          <w:bCs w:val="0"/>
          <w:i w:val="0"/>
          <w:iCs/>
          <w:color w:val="auto"/>
          <w:kern w:val="2"/>
          <w:sz w:val="28"/>
          <w:szCs w:val="28"/>
          <w:highlight w:val="none"/>
          <w:lang w:val="en-US" w:eastAsia="zh-CN" w:bidi="ar-SA"/>
        </w:rPr>
        <w:t>（投标人提供承诺函，格式自拟；注：关境内的产品承诺函加盖制造商公章，关境外的产品承诺函加盖制造商或国内代理商公章）</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Theme="minorEastAsia" w:hAnsiTheme="minorEastAsia" w:eastAsiaTheme="minorEastAsia" w:cstheme="minorEastAsia"/>
          <w:b w:val="0"/>
          <w:bCs w:val="0"/>
          <w:i w:val="0"/>
          <w:iCs/>
          <w:color w:val="auto"/>
          <w:kern w:val="2"/>
          <w:sz w:val="28"/>
          <w:szCs w:val="28"/>
          <w:highlight w:val="none"/>
          <w:lang w:val="en-US" w:eastAsia="zh-CN" w:bidi="ar-SA"/>
        </w:rPr>
        <w:t>★</w:t>
      </w:r>
      <w:r>
        <w:rPr>
          <w:rFonts w:hint="eastAsia" w:ascii="宋体" w:hAnsi="宋体" w:eastAsia="宋体" w:cs="宋体"/>
          <w:sz w:val="28"/>
          <w:szCs w:val="28"/>
          <w:lang w:val="en-US" w:eastAsia="zh-CN"/>
        </w:rPr>
        <w:t>1.32</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sz w:val="28"/>
          <w:szCs w:val="28"/>
          <w:lang w:val="en-US" w:eastAsia="zh-CN"/>
        </w:rPr>
        <w:t>生化仪器试剂通道为全开放，可兼容其它厂家检验试剂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★2、必须配套的附属设备设施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生化自动分析模块 2个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发光分析模块 2个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 xml:space="preserve">样本前处理分析系统 1套（至少含2台离心机）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智能采血系统 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全自动真空采血管分拣核收系统 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标本即时气动传输系统（含软件）1套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投入单元  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ISE单元  2套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流水线检测量配套的水处理设备 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2.10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至少包含上述单元模块及流水线建设包括的其他功能软硬件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仪器配备能满足仪器日常运行要求的制水机  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UPS 1套，保证断电后运行1个小时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2.13样品后处理系统（冰箱）1台：存储量：≥10000支试管</w:t>
      </w:r>
      <w:r>
        <w:rPr>
          <w:rFonts w:hint="eastAsia" w:ascii="宋体" w:hAnsi="宋体" w:eastAsia="宋体" w:cs="宋体"/>
          <w:sz w:val="28"/>
          <w:szCs w:val="28"/>
          <w:lang w:val="en-US" w:eastAsia="zh-CN"/>
        </w:rPr>
        <w:tab/>
      </w:r>
    </w:p>
    <w:p>
      <w:pPr>
        <w:jc w:val="left"/>
        <w:outlineLvl w:val="9"/>
        <w:rPr>
          <w:rFonts w:hint="default" w:ascii="宋体" w:hAnsi="宋体" w:eastAsia="宋体" w:cs="宋体"/>
          <w:b/>
          <w:bCs/>
          <w:color w:val="auto"/>
          <w:sz w:val="28"/>
          <w:szCs w:val="28"/>
          <w:highlight w:val="none"/>
          <w:lang w:val="en-US" w:eastAsia="zh-CN"/>
        </w:rPr>
      </w:pPr>
    </w:p>
    <w:p>
      <w:pPr>
        <w:jc w:val="center"/>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包4技术参数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1、技术参数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系统整体要求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生化免疫流水线系统配置具备多模块实现自动化样本处理功能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具备同时支持离线分析仪和在线分析仪的功能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输入模块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输入模块单模块通量≥600管/小时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单模块同时装载样本量≥400管</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具备急诊位≥10个；可随时插入，优先处理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离心模块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离心机总处理能力≥600管/小时，单台离心机处理能力≥300管/小时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离心机最大离心转速≥4000rpm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每个离心机抓手单次可抓取样本管数量≥20管</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具备样本管自动离心及卸载，低温离心、自动配平功能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去盖模块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单模块处理能力≥900管/小时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具备自动去盖、报警提示功能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单模块处理能力≥800管/小时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输出模块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单模块通量≥600管/小时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单模块可同时容纳的出样样本管数量≥400管</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具备样本出样及分选功能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低温样本存储模块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单模块处理能力≥600管/小时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单模块可存储样本管数量≥10000管</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具备样本自动复查、追回测试，过期样本自动丢弃等功能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具备监控标本处理过程和追踪样本位置信息以及仪器运行状态、试剂和耗材信息功能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具备样本信息实时追踪定位，查询位置信息功能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1.10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全自动生化分析仪检测系统</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▲1.10.1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光学检测速度≥4000测试/小时，电解质检测速度≥900测试/小时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1.10.2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模块具有扩展能力，单台生化分析仪可扩展的光学分析模块数量≥2个，单台生化分析仪最大可扩展的检测速度≥4000测试/小时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1.10.3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单个电解质模块（含钾、钠、氯电极) 处理速度≥600测试/小时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1.10.4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检测的标本类型≥3种</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1.10.5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具备自动预稀释、自动重测、凝块检测、液面感应及血清指数检测功能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1.10.6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单台生化分析仪可同时装载急诊样本管数量≥10个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1.10.7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具备控温功能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1.10.8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最小加样体积≤1.5ul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1.10.9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常规生化(不含电解质项目)最小总反应体积≤80ul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1.10.10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检测波长数量≥12个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免疫分析仪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线上免疫分析系统总测试速度≥800测试/小时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线上免疫分析系统最小检测模块分析仪可同时装载样本量≥100管</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线上免疫分析系统最小检测模块试剂位数量≥30个(不含辅助试剂位置)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线上免疫分析系统最小检测模块反应杯一次最大装载容量≥1200个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具备急诊样本优先处理功能，第一个急诊样本结果时间≤19分钟</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能够根据用户需求设定对不同项目进行反射测试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检验项目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乙型肝炎病毒表面抗原测定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乙型肝炎病毒表面抗体测定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乙型肝炎病毒e抗原测定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乙型肝炎病毒e抗体测定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乙型肝炎病毒核心抗体测定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人类免疫缺陷病毒抗原抗体检测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丙型肝炎病毒抗体检测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梅毒螺旋体抗体检测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总三碘甲状腺原氨酸测定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1.12.10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总甲状腺素测定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游离三碘甲状腺原氨酸测定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游离甲状腺素测定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促甲状腺激素测定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抗甲状腺球蛋白抗体测定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抗甲状腺过氧化物酶抗体测定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甲状腺球蛋白测定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甲胎蛋白测定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癌胚抗原测定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糖类抗原15-3测定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1.12.20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糖类抗原125测定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糖类抗原19-9测定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总前列腺特异性抗原测定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游离前列腺特异性抗原测定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生长激素测定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β-人绒毛膜促性腺激素测定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促卵泡生成素测定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促黄体生成素测定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1.12.28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泌乳素测定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1.12.29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孕酮测定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1.12.30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雌二醇测定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1.12.31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睾酮测定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1.12.32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抗缪勒氏管激素测定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1.12.33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雌三醇测定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1.12.34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妊娠相关血浆蛋白A测定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1.12.35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游离β-人绒毛膜促性腺激素测定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1.12.36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硫酸去氢表雄酮测定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1.12.37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C肽测定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1.12.38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胰岛素测定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1.12.39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25-羟基维生素D测定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1.12.40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肌红蛋白测定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1.12.41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肌酸激酶同工酶测定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1.12.42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肌钙蛋白I测定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1.12.43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N末端脑利钠肽前体测定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1.12.44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降钙素原测定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1.12.45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白介素-6测定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1.12.46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铁蛋白测定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1.12.47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叶酸测定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1.12.48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维生素B12测定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1.12.49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促肾上腺皮质激素测定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1.12.50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皮质醇测定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1.12.51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肾素测定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1.12.52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醛固酮测定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1.12.53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弓形虫IgM抗体检测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1.12.54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弓形虫IgG抗体测定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1.12.55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单纯疱疹病毒2型IgG抗体检测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1.12.56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单纯疱疹病毒1型IgG抗体检测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1.12.57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单纯疱疹病毒2型IgM抗体检测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1.12.58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单纯疱疹病毒1型IgM抗体检测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1.12.59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风疹病毒IgM抗体检测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1.12.60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风疹病毒IgG抗体测定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1.12.61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巨细胞病毒IgM抗体检测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1.12.62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巨细胞病毒IgG抗体测定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1.12.63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可检测生化项目≥90个，可检测发光项目≥70个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★1.13 生化仪器试剂通道为全开放，可兼容其它厂家检验试剂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★2、必须配套的附属设备设施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全自动生化分析仪 2台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全自动化学发光免疫分析仪2台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进出样模块1个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离心模块2个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轨道模块1套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冰箱存储模块1个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流水线配套使用的信息化系统1套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至少包含上述单元模块及流水线建设包括的其他功能软硬件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仪器配备能满足仪器日常运行要求的制水机  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2.10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UPS 1套，保证断电后运行1个小时</w:t>
      </w:r>
    </w:p>
    <w:p>
      <w:pPr>
        <w:jc w:val="center"/>
        <w:outlineLvl w:val="9"/>
        <w:rPr>
          <w:rFonts w:hint="eastAsia" w:ascii="宋体" w:hAnsi="宋体" w:eastAsia="宋体" w:cs="宋体"/>
          <w:b/>
          <w:bCs/>
          <w:color w:val="auto"/>
          <w:sz w:val="28"/>
          <w:szCs w:val="28"/>
          <w:highlight w:val="none"/>
          <w:lang w:val="en-US" w:eastAsia="zh-CN"/>
        </w:rPr>
      </w:pPr>
    </w:p>
    <w:p>
      <w:pPr>
        <w:jc w:val="center"/>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包5技术参数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1、技术参数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整体参数要求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全自动生化仪光学法检测速度≥2000T/H</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全自动生化仪电解质（ISE）检测速度≥600T/H</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全自动化学发光分析仪检测速度≥500T/H</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生化免疫流水线系统配置具备多模块实现自动化样本处理功能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具备同时支持离线分析仪和在线分析仪的功能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具备自定义测试项目功能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样本管理模块基本参数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具备样本跟踪、质控对比分析功能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具备急诊位≥10个；可随时插入，优先处理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生化分析仪单个模块基本参数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单模块速度≥2000测试/小时（光学法），选配电解质模块，速度≥600测试/小时；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生化分析方法≥4种</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波长数量≥12个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样本类型≥3种</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具备液面检测，凝块检测（堵针），防撞检测，空吸检测功能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样本位最大可容纳≥300个； 样本架≥25个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样本量范围：最小值≤1.5uL且最大值≥25uL，步进≤0.1uL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总试剂位≥120个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试剂量范围：最小值≤25uL且最大值≥200μL，步进≤1μL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1.3.10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具备不停机更换试剂功能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反应液体积范围：最小值≤80uL且最大值≥280μL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具备反应盘温控功能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具有搅拌功能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吸光度范围：最小值≤0Abs且最大值≥3Abs</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全自动化学发光免疫分析仪单个模块基本参数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具备急诊位≥10个；可随时插入，优先处理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分析方法≥3种</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测试速度：≥500测试/小时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试剂仓具有冷藏功能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试剂位：≥30个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具有液面探测、立体防撞、空吸检测等功能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具备单孔独立反应杯，每批次最大可存放≥1000个，可连续供给，随时添加</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模块化设计，可与同型号全自动化学发光免疫分析仪级联升级，支持≥2个模块连接</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具备自动配制和供给功能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检验项目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乙型肝炎病毒表面抗原测定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乙型肝炎病毒表面抗体测定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乙型肝炎病毒e抗原测定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乙型肝炎病毒e抗体测定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乙型肝炎病毒核心抗体测定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人类免疫缺陷病毒抗原抗体检测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丙型肝炎病毒抗体检测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梅毒螺旋体抗体检测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总三碘甲状腺原氨酸测定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总甲状腺素测定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游离三碘甲状腺原氨酸测定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游离甲状腺素测定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促甲状腺激素测定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抗甲状腺球蛋白抗体测定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抗甲状腺过氧化物酶抗体测定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促甲状腺激素受体抗体测定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甲状腺球蛋白测定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甲状旁腺激素测定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降钙素测定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甲胎蛋白测定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癌胚抗原测定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糖类抗原15-3测定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糖类抗原125测定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糖类抗原19-9测定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总前列腺特异性抗原测定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游离前列腺特异性抗原测定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糖类抗原72-4测定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糖类抗原242测定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β-人绒毛膜促性腺激素测定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促卵泡生成素测定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促黄体生成素测定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泌乳素测定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孕酮测定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雌二醇测定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睾酮测定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抗缪勒氏管激素测定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C肽测定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胰岛素测定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25-羟基维生素D测定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1.5.40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肌红蛋白测定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1.5.41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肌酸激酶同工酶测定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1.5.42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肌钙蛋白测定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1.5.43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N末端脑利钠肽前体测定或B型脑钠肽测定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1.5.44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降钙素原测定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1.5.45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白介素-6测定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1.5.46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铁蛋白测定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1.5.47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叶酸测定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1.5.48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维生素B12测定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1.5.49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可检测生化项目≥90个，可检测发光项目≥70个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★1.6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生化仪器试剂通道为全开放，可兼容其它厂家检验试剂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★2、必须配套的附属设备设施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全自动生化分析仪 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全自动化学发光免疫分析仪1台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进出样模块 1个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一体机配套使用的信息化系统1套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样本处理系统1套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配件包1套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至少包含上述单元模块及流水线建设包括的其他功能软硬件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仪器配备能满足仪器日常运行要求的制水机  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UPS 1套，保证断电后运行1个小时</w:t>
      </w:r>
    </w:p>
    <w:p>
      <w:pPr>
        <w:jc w:val="center"/>
        <w:outlineLvl w:val="9"/>
        <w:rPr>
          <w:rFonts w:hint="eastAsia" w:ascii="宋体" w:hAnsi="宋体" w:eastAsia="宋体" w:cs="宋体"/>
          <w:b/>
          <w:bCs/>
          <w:color w:val="auto"/>
          <w:sz w:val="28"/>
          <w:szCs w:val="28"/>
          <w:highlight w:val="none"/>
          <w:lang w:val="en-US" w:eastAsia="zh-CN"/>
        </w:rPr>
      </w:pPr>
    </w:p>
    <w:p>
      <w:pPr>
        <w:jc w:val="center"/>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包6技术参数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1、技术参数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进出样系统</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一次性最大上样量≥500管, 可连续进样</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综合处理能力≥950管/小时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具备多种方式进样，架式，倾倒，气动传输功能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轨道单元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具备单样本管理功能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轨道运行效率≥3600管/小时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具有急诊样品优先处理功能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具备样本信息实时追踪定位，查询位置信息功能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离心单元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单台离心机每次可容纳样本≥50个，处理能力≥450样本/小时。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离心模块容量≥80管，支持线下离心标本上线管理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具有急诊样品优先处理功能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去盖血清质量识别一体模块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处理能力≥900管/小时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废弃桶可容纳≥3000个样本盖</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后存储低温冷藏单元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模块具备加盖或加膜功能，处理速度≥1000管/每小时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冰箱标本容量≥13000管，支持多台冰箱拓展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冰箱处理速度≥1200管/小时，支持模块拓展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冰箱智能软件具备自动储存和丢弃过期样本，自动重检，自动质控功能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废弃标本存放垃圾桶满仓预警</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在线全自动生化分析仪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总速度≥4800测试/小时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单台生化同时检测项目≥90项，双试剂盘, 每盘试剂位≥70个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具备急诊位≥5个；可随时插入，优先处理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反应时间可选择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具备控温功能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最小反应总体系≤80ul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后分光系统波长范围：最小值≤340nm且最大值≥800nm，波长数量≥12个，吸光度范围：最小值≤0Abs且最大值≥3Abs</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加样系统样品加样量范围：最小值≤1.5uL且最大值≥17μL，步进≤0.1μL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加样系统具有自动冲洗、自动稀释功能及自动再检功能，探针具有防撞保护功能、防堵功能和探测血凝块功能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1.6.10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具备智能分析功能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生化分析仪轨道接口≥2个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全自动免疫分析系统</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总检测速度≥800测试/小时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最快首个结果时间≤19分钟</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同时可测免疫项目≥100项</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检测项目≥100项</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支持多种规格原始管上样功能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具有自动冲洗、自动稀释功能及自动再检功能，探针具有防撞保护功能、防堵功能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具备液面检测、凝块检测、气泡检测以及样本量不足检测功能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具备不停机装载卸载试剂耗材功能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试剂位≥90个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检验项目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乙型肝炎病毒表面抗原测定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乙型肝炎病毒表面抗体测定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乙型肝炎病毒e抗原测定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乙型肝炎病毒e抗体测定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乙型肝炎病毒核心抗体测定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人类免疫缺陷病毒抗原抗体检测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丙型肝炎病毒抗体检测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梅毒螺旋体抗体检测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乙型肝炎病毒前S1抗原检测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1.8.10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总三碘甲状腺原氨酸测定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总甲状腺素测定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游离三碘甲状腺原氨酸测定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游离甲状腺素测定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促甲状腺激素测定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抗甲状腺球蛋白抗体测定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抗甲状腺过氧化物酶抗体测定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促甲状腺激素受体抗体测定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甲状腺球蛋白测定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甲状旁腺激素测定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1.8.20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降钙素测定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甲胎蛋白测定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癌胚抗原测定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糖类抗原15-3测定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糖类抗原125测定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糖类抗原19-9测定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总前列腺特异性抗原测定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游离前列腺特异性抗原测定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1.8.28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胃泌素释放肽前体测定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1.8.29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神经元特异性烯醇化酶测定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1.8.30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鳞状上皮细胞癌抗原测定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1.8.31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细胞角蛋白19片段测定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1.8.32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糖类抗原72-4测定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1.8.33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糖类抗原242测定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1.8.34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人附睾蛋白4测定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1.8.35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胃蛋白酶原Ⅰ测定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1.8.36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胃蛋白酶原Ⅱ测定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1.8.37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中枢神经特异蛋白（S100）测定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1.8.38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异常凝血酶原测定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1.8.39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胃泌素17测定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1.8.40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生长激素测定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1.8.41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β-人绒毛膜促性腺激素测定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1.8.42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促卵泡生成素测定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1.8.43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促黄体生成素测定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1.8.44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泌乳素测定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1.8.45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孕酮测定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1.8.46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雌二醇测定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1.8.47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睾酮测定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1.8.48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抗缪勒氏管激素测定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1.8.49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雌三醇测定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1.8.50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妊娠相关血浆蛋白A测定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1.8.51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游离β-人绒毛膜促性腺激素测定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1.8.52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硫酸去氢表雄酮测定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1.8.53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C肽测定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1.8.54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胰岛素测定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1.8.55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25-羟基维生素D测定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1.8.56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肌红蛋白测定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1.8.57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肌酸激酶同工酶测定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1.8.58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肌钙蛋白测定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1.8.59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N末端脑利钠肽前体测定或B型钠尿肽测定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1.8.60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降钙素原测定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1.8.61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白介素-6测定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1.8.62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铁蛋白测定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1.8.63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叶酸测定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1.8.64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维生素B12测定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1.8.65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抗环瓜氨酸肽抗体测定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1.8.66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皮质醇测定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1.8.67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可检测生化项目≥100个，可检测发光项目≥100个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sz w:val="28"/>
          <w:szCs w:val="28"/>
          <w:lang w:val="en-US" w:eastAsia="zh-CN"/>
        </w:rPr>
        <w:t>生化仪器试剂通道为全开放，可兼容其它厂家检验试剂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★2、必须配套的附属设备设施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全自动生化分析模块   2台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全自动化学发光免疫分析仪 2台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进出样模块1个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离心模块1个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轨道模块1套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冰箱存储模块1个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流水线配套使用的信息化系统1套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可与医院计算机网络系统、HIS系统、LIS系统等相连接</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至少包含上述单元模块及流水线建设包括的其他功能软硬件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2.10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仪器配备能满足仪器日常运行要求的制水机  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UPS 1套，保证断电后运行1个小时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2.12  ISE单元  2套</w:t>
      </w:r>
    </w:p>
    <w:p>
      <w:pPr>
        <w:jc w:val="both"/>
        <w:outlineLvl w:val="9"/>
        <w:rPr>
          <w:rFonts w:hint="default" w:ascii="宋体" w:hAnsi="宋体" w:eastAsia="宋体" w:cs="宋体"/>
          <w:b/>
          <w:bCs/>
          <w:color w:val="auto"/>
          <w:sz w:val="28"/>
          <w:szCs w:val="28"/>
          <w:highlight w:val="none"/>
          <w:lang w:val="en-US" w:eastAsia="zh-CN"/>
        </w:rPr>
      </w:pPr>
    </w:p>
    <w:p>
      <w:pPr>
        <w:jc w:val="center"/>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包7技术参数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1、技术参数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整体参数要求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全自动生化仪光学法检测速度≥2000T/H</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全自动生化仪电解质（ISE）检测速度≥600T/H</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全自动化学发光分析仪检测速度≥600T/H</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生化免疫流水线系统配置具备多模块实现自动化样本处理功能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具有拓展功能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具备自定义测试项目功能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样本管理模块基本参数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支持样本跟踪、质控对比分析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具备急诊位≥10个；可随时插入，优先处理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生化分析仪单个模块基本参数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单模块速度≥2000测试/小时（光学法），电解质模块，速度≥600测试/小时；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生化分析方法≥4种；</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波长数量≥12个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样本类型≥3种</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具备液面检测，凝块检测（堵针），防撞检测，空吸检测功能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样本位最大可容纳≥300个； 样本架≥25个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样本量范围：最小值≤1.5uL且最大值≥25uL，步进≤0.1uL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总试剂位≥100个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试剂针加样量范围：最小值≤25uL且最大值≥200μL，步进≤1μL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1.3.10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具备不停机更换试剂功能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具备反应盘温控功能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具有搅拌功能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吸光度范围：最小值≤0Abs且最大值≥3Abs</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全自动化学发光免疫分析仪单个模块基本参数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具备急诊位≥10个；可随时插入，优先处理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分析方法≥3种</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测试速度：≥600测试/小时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试剂仓具有冷藏功能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试剂位：≥35个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具有液面探测、立体防撞、空吸检测等功能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具备单孔独立反应杯，每批次最大可存放≥1000个，可连续供给，随时添加</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模块化设计，可与同型号全自动化学发光免疫分析仪级联升级，支持≥2个模块连接</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清洗液具备自动配制和供给功能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检验项目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乙型肝炎病毒表面抗原测定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乙型肝炎病毒表面抗体测定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乙型肝炎病毒e抗原测定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乙型肝炎病毒e抗体测定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乙型肝炎病毒核心抗体测定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人类免疫缺陷病毒抗原抗体检测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丙型肝炎病毒抗体检测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梅毒螺旋体抗体检测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总三碘甲状腺原氨酸测定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总甲状腺素测定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游离三碘甲状腺原氨酸测定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游离甲状腺素测定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促甲状腺激素测定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甲状旁腺激素测定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甲胎蛋白测定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癌胚抗原测定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糖类抗原15-3测定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糖类抗原125测定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糖类抗原19-9测定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总前列腺特异性抗原测定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游离前列腺特异性抗原测定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β-人绒毛膜促性腺激素测定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促卵泡生成素测定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促黄体生成素测定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泌乳素测定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孕酮测定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雌二醇测定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睾酮测定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1.5.29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雌三醇测定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妊娠相关血浆蛋白A测定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游离β-人绒毛膜促性腺激素测定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C肽测定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胰岛素测定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25-羟基维生素D测定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肌红蛋白测定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N末端脑利钠肽前体测定或B型脑钠肽测定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降钙素原测定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白介素-6测定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1.5.39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铁蛋白测定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1.5.40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叶酸测定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1.5.41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维生素B12测定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1.5.42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可检测生化项目≥90个，可检测发光项目≥70个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生化仪器试剂通道为全开放，可兼容其它厂家检验试剂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★2、必须配套的附属设备设施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全自动生化分析仪 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全自动化学发光免疫分析仪1台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仪器配备能满足仪器日常运行要求的制水机  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UPS 1套，保证断电后运行1个小时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样本处理系统1套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至少包含上述单元模块及流水线建设包括的其他功能软硬件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2.7进出样模块 1个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2.8  一体机配套使用的信息化系统1套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2.9  样本处理系统1套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2.10  配件包1套</w:t>
      </w:r>
    </w:p>
    <w:p>
      <w:pPr>
        <w:jc w:val="center"/>
        <w:outlineLvl w:val="9"/>
        <w:rPr>
          <w:rFonts w:hint="eastAsia" w:ascii="宋体" w:hAnsi="宋体" w:eastAsia="宋体" w:cs="宋体"/>
          <w:b/>
          <w:bCs/>
          <w:color w:val="auto"/>
          <w:sz w:val="28"/>
          <w:szCs w:val="28"/>
          <w:highlight w:val="none"/>
          <w:lang w:val="en-US" w:eastAsia="zh-CN"/>
        </w:rPr>
      </w:pPr>
    </w:p>
    <w:p>
      <w:pPr>
        <w:jc w:val="center"/>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包8技术参数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1、技术参数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彩色高清触摸屏≥7英寸，操作和维护导航功能，在线故障自动报警及排除</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功能部件自动检测，传感部件自动判断、自动适应和自动校正</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一键式全方位维护操作，免除操作者繁杂工作及确保仪器最优工作状态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检测项目参数≥10项</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计算项目参数≥27项</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断电后仍可储存质控和样品数据，实现数据储存再现，存储量&gt;10000个,并支持扩展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标配网络接口支持 LIS 联网，支持U盘数据导出，支持软件在线升级</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具备自动一点及两点定标功能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具备试剂余量显示功能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1.10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原始采血管直接加样功能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血样不稀释直接测量功能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在线图文指导、自动纠错导航、帮助信息</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具备样本或流路堵报警及自动和手动排堵功能，气泡报警功能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配套原厂质控品，质控报警，锁定报警参数以防止测试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PH有温度校准功能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2、测量范围和精度</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钾离子测量范围：最小值≤2mmol/L且最大值≥9mmol/L，精密度（CV值）≤1.5%</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钠离子测量范围：最小值≤100mmol/L且最大值≥180mmol/L，精密度（CV值）≤1.5%</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氯离子测量范围：最小值≤65mmol/L且最大值≥140mmol/L，精密度（CV值）≤1.5%</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钙离子测量范围：最小值≤0.25mmol/L且最大值≥2.5mmol/L，精密度（CV值）≤1.5%</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pH值测量范围：最小值≤6.8且最大值≥8，精密度（CV值）≤0.02%</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★3、必须配套的附属设备设施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主机1台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配套试剂包1盒</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内置打印机1个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如无内置扫码装置，则配备扫描枪1把</w:t>
      </w:r>
    </w:p>
    <w:p>
      <w:pPr>
        <w:jc w:val="both"/>
        <w:outlineLvl w:val="9"/>
        <w:rPr>
          <w:rFonts w:hint="eastAsia" w:ascii="宋体" w:hAnsi="宋体" w:eastAsia="宋体" w:cs="宋体"/>
          <w:b/>
          <w:bCs/>
          <w:color w:val="auto"/>
          <w:sz w:val="28"/>
          <w:szCs w:val="28"/>
          <w:highlight w:val="none"/>
          <w:lang w:val="en-US" w:eastAsia="zh-CN"/>
        </w:rPr>
      </w:pPr>
    </w:p>
    <w:p>
      <w:pPr>
        <w:jc w:val="center"/>
        <w:outlineLvl w:val="9"/>
        <w:rPr>
          <w:rFonts w:hint="eastAsia" w:ascii="宋体" w:hAnsi="宋体" w:eastAsia="宋体" w:cs="宋体"/>
          <w:b/>
          <w:bCs/>
          <w:color w:val="auto"/>
          <w:sz w:val="28"/>
          <w:szCs w:val="28"/>
          <w:highlight w:val="none"/>
          <w:lang w:val="en-US" w:eastAsia="zh-CN"/>
        </w:rPr>
      </w:pPr>
    </w:p>
    <w:p>
      <w:pPr>
        <w:jc w:val="center"/>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包9技术参数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A、血气分析仪（二）</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1、技术参数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检测方法：干式电化学法或电极法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检测项目参数≥10项</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血气和乳酸项目可同时完成，也可提供单独无乳酸项目的血气检测试剂包</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除测试片外无其他消耗品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样本类型：如全血、静脉血、动脉血、体液。</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检测速度：≤60秒</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样本最小采血量≤100ul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可存储结果≥5000个测试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1.9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具备温控功能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报警功能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个性化设置：用户可自行设置单位，质控等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设备校准功能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设备定标功能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条码处理：可扫描条码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数据连接：可与医院HIS/LIS系统连接</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数据管理系统：可通过计算机连接传输数据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设备具备内置热敏打印功能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★2、必须配套的附属设备设施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主机1台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如设备不自带校准功能则提供模拟校准器1个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100人份试剂 1套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如设备不具备内置打印机则提供打印机1台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如设备不具备内置扫码功能则提供扫描枪1把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B、血气分析仪（三）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1、技术参数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测量范围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PO2范围:最小值≤10mmHg且最大值≥700mmHg</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PCO2范围:最小值≤10mmHg且最大值≥150mmHg</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总血红蛋白范围:最小值≤5g/dL且最大值≥23g/dL</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样本类型：动脉、静脉、动静脉混合血、透析液、胸腹水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最低用血量≤100uL</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上样到打印检测报告≤60秒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仪器支持质控功能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定标模式≥2种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定标能够覆盖所有检测项目，tHb、胆红素无需单独定标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进样方式：全自动进样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1.10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进样装置可连接注射器和毛细管直接进样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针对常见的干扰物质，仪器能够自动检测并进行弹窗提示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全彩触控屏≥10英寸；可以调节屏幕角度和亮度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★2、必须配套的附属设备设施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血气分析设备1套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100人份试剂 1套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打印机1个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扫描枪1把</w:t>
      </w:r>
    </w:p>
    <w:p>
      <w:pPr>
        <w:jc w:val="both"/>
        <w:outlineLvl w:val="9"/>
        <w:rPr>
          <w:rFonts w:hint="eastAsia" w:ascii="宋体" w:hAnsi="宋体" w:eastAsia="宋体" w:cs="宋体"/>
          <w:b w:val="0"/>
          <w:bCs w:val="0"/>
          <w:color w:val="auto"/>
          <w:sz w:val="28"/>
          <w:szCs w:val="28"/>
          <w:highlight w:val="none"/>
          <w:lang w:val="en-US" w:eastAsia="zh-CN"/>
        </w:rPr>
      </w:pPr>
    </w:p>
    <w:p>
      <w:pPr>
        <w:jc w:val="center"/>
        <w:outlineLvl w:val="2"/>
        <w:rPr>
          <w:rFonts w:hint="eastAsia" w:ascii="宋体" w:hAnsi="宋体" w:eastAsia="宋体" w:cs="宋体"/>
          <w:b/>
          <w:bCs/>
          <w:color w:val="auto"/>
          <w:sz w:val="28"/>
          <w:szCs w:val="28"/>
          <w:highlight w:val="none"/>
          <w:lang w:val="en-US" w:eastAsia="zh-CN"/>
        </w:rPr>
      </w:pPr>
      <w:bookmarkStart w:id="45" w:name="_GoBack"/>
      <w:bookmarkEnd w:id="45"/>
      <w:r>
        <w:rPr>
          <w:rFonts w:hint="eastAsia" w:ascii="宋体" w:hAnsi="宋体" w:eastAsia="宋体" w:cs="宋体"/>
          <w:b/>
          <w:bCs/>
          <w:color w:val="auto"/>
          <w:sz w:val="28"/>
          <w:szCs w:val="28"/>
          <w:highlight w:val="none"/>
          <w:lang w:val="en-US" w:eastAsia="zh-CN"/>
        </w:rPr>
        <w:t>包10技术参数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A、电解质分析仪（一）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1、技术参数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测量方法：离子选择性电极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测量项目：K、Na、Cl、Ca、pH</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计算项目包括不限于：nCa</w:t>
      </w:r>
      <w:r>
        <w:rPr>
          <w:rFonts w:hint="eastAsia" w:ascii="宋体" w:hAnsi="宋体" w:eastAsia="宋体" w:cs="宋体"/>
          <w:sz w:val="28"/>
          <w:szCs w:val="28"/>
          <w:vertAlign w:val="superscript"/>
          <w:lang w:val="en-US" w:eastAsia="zh-CN"/>
        </w:rPr>
        <w:t>2+</w:t>
      </w:r>
      <w:r>
        <w:rPr>
          <w:rFonts w:hint="eastAsia" w:ascii="宋体" w:hAnsi="宋体" w:eastAsia="宋体" w:cs="宋体"/>
          <w:sz w:val="28"/>
          <w:szCs w:val="28"/>
          <w:lang w:val="en-US" w:eastAsia="zh-CN"/>
        </w:rPr>
        <w:t>、TCa</w:t>
      </w:r>
      <w:r>
        <w:rPr>
          <w:rFonts w:hint="eastAsia" w:ascii="宋体" w:hAnsi="宋体" w:eastAsia="宋体" w:cs="宋体"/>
          <w:sz w:val="28"/>
          <w:szCs w:val="28"/>
          <w:vertAlign w:val="superscript"/>
          <w:lang w:val="en-US" w:eastAsia="zh-CN"/>
        </w:rPr>
        <w:t>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样品种类：血清、全血、尿液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最小样本量≤150ul</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测试速度≤50秒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一次分析可做≥6项参数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具备自动监测试剂使用情况及样品、管路状况功能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具备故障自动报警及排除功能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1.10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具有断电保护功能，能自动储存结果存储数据≥10000组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样品分析后，具备自动冲洗功能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打印方式：内置打印机或LIS传输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★2、必须配套的附属设备设施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主机1台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钾、钠、氯、PH电极及参比电极各1个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参比液1瓶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电极内充液≥1瓶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如具备电极功能则提供电极清洁液1盒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B、电解质分析仪（二）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1、技术参数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测量方法：离子选择性电极法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样品种类：血清、全血、尿液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测量项目：K、Na、Cl、Ca、pH</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计算项目包括不限于：nCa2+、TCa2+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具备自动进样功能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分析速度≥60个样本/小时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最小样本量≤100ul</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数据存储量：≥10000个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定标方式≥2种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1.10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质控水平数≥3个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具备内置热敏打印功能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测试速度≤60秒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精密度（CV）≤1.0%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具备故障自动报警及排除功能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具有断电保护功能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具备样品分析后自动冲洗功能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★2、必须配套的附属设备设施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主机1台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钾、钠、氯、PH电极及参比电极各1个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热敏记录纸1盒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国标电源线（3芯）1条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接地线1条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总底板1个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进样盘1个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样品杯1组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触摸笔1只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2.10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泵管≥1只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kern w:val="2"/>
          <w:sz w:val="28"/>
          <w:szCs w:val="28"/>
          <w:lang w:val="en-US" w:eastAsia="zh-CN" w:bidi="ar-SA"/>
        </w:rPr>
        <w:t>C、</w:t>
      </w:r>
      <w:r>
        <w:rPr>
          <w:rFonts w:hint="eastAsia" w:ascii="宋体" w:hAnsi="宋体" w:eastAsia="宋体" w:cs="宋体"/>
          <w:b/>
          <w:bCs/>
          <w:sz w:val="28"/>
          <w:szCs w:val="28"/>
          <w:lang w:val="en-US" w:eastAsia="zh-CN"/>
        </w:rPr>
        <w:t>电解质分析仪（三）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1、技术参数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测量项目：K、Na、Cl、Ca、pH</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样品种类：血清、全血、尿液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最小样本量≤100ul</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测试速度≤45秒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钾离子精密度（CV）≤1.5%，稳定性（R）≤2.0%，携带污染率（C）≤1.5%</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钠离子精密度（CV）≤1.0%，稳定性（R）≤2.0%，携带污染率（C）≤1.5%</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氯离子精密度（CV）≤1.5%，稳定性（R）≤2.0%，携带污染率（C）≤1.5%</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钙离子精密度（CV）≤1.5%，稳定性（R）≤3.0%，携带污染率（C）≤2.0%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二氧化碳总量（TCO2）精密度（CV）≤3.5%，稳定性（R）≤5.0%，携带污染率（C）≤4.0%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1.10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一次分析可做≥6项参数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自动监测试剂使用情况及样品、管路状况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具备故障自动报警及排除功能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具有断电保护功能，能自动储存结果存储数据≥10000组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样品分析后，具备自动冲洗功能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进样盘测试位≥35个，急诊位≥1个，检测开始时具备自动检测样品位置和数量功能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进样一次，可同时检测项目内容≥6项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具备自动进样和自动定标功能，从吸样到显示结果≤45秒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具备内置打印机可打印结果，并设外置打印机接口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具有质控功能，可打印质控图及质控统计参数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1.20</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彩色触摸显示屏≥7英寸</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具有断电保护功能，数据可存储数据≥10000组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★2、必须配套的附属设备设施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主机及配套检测电极，至少包含钠、钾、钙、氯、PH值等项目用电极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电解质分析仪专用配套试剂包1套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注射器或进样器1个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热敏纸1盒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UPS 1套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D、电解质分析仪（四）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1、技术参数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检测方法：离子选择性电极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样本类型：血清、血浆、全血、尿液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检测速度≥800测试/小时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具备自动进样功能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样本位≥50个，急诊位≥1个，质控位≥2个，可不间断上样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加样针具备自动液面探测功能、防撞功能,进样针具备内外壁自动清洗功能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样品用量：≤100ul</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精密度测试：CV≤2.0%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尿液携带污染率：≤1.5%</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1.10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具备自动定标功能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具备自动清洗功能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具备急诊插入功能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质控功能≥3个水平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校准功能≥3个水平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存储功能：可存储测量结果≥1万个，具有断电保护功能，断电后数据不丢失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具备试剂余量实时显示功能，支持在线更换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彩色触摸屏≥7英寸</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★2、必须配套的附属设备设施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主机1台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纯水机1台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UPS1套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钾电极1个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钠电极1个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氯电极1个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钙电极1个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PH电极1个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参比电极1个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2.10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电解质分析仪专用配套试剂包1套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电极内充液≥1瓶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参比液1瓶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清洗液1瓶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检验中如需使用活化液则提供活化液1瓶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电极清洁液（蛋白酶/稀释液）1瓶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内校液1瓶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自动进样盘1个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电源线1条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注射器1个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2.20 </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打印纸3盒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2.21</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试管架1个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2.22</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样品杯1组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2.23</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废液桶1个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2.24</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清洗液桶1个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2.25</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3C电源线1条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2.26</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保险丝≥1条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2.27</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USB线1条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p>
    <w:p>
      <w:pPr>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8"/>
          <w:szCs w:val="28"/>
          <w:highlight w:val="none"/>
          <w:lang w:val="en-US" w:eastAsia="zh-CN"/>
        </w:rPr>
      </w:pPr>
    </w:p>
    <w:p>
      <w:pPr>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8"/>
          <w:szCs w:val="28"/>
          <w:highlight w:val="none"/>
          <w:lang w:val="en-US" w:eastAsia="zh-CN"/>
        </w:rPr>
      </w:pPr>
    </w:p>
    <w:p>
      <w:pPr>
        <w:keepNext w:val="0"/>
        <w:keepLines w:val="0"/>
        <w:widowControl/>
        <w:suppressLineNumbers w:val="0"/>
        <w:jc w:val="left"/>
        <w:outlineLvl w:val="1"/>
        <w:rPr>
          <w:rFonts w:hint="eastAsia" w:ascii="宋体" w:hAnsi="宋体" w:eastAsia="宋体" w:cs="宋体"/>
          <w:color w:val="auto"/>
          <w:sz w:val="28"/>
          <w:szCs w:val="28"/>
          <w:highlight w:val="none"/>
        </w:rPr>
      </w:pPr>
      <w:bookmarkStart w:id="16" w:name="_Toc6855"/>
      <w:bookmarkStart w:id="17" w:name="_Toc7040"/>
      <w:bookmarkStart w:id="18" w:name="_Toc10153"/>
      <w:bookmarkStart w:id="19" w:name="_Toc12575"/>
      <w:bookmarkStart w:id="20" w:name="_Toc12221"/>
      <w:r>
        <w:rPr>
          <w:rFonts w:hint="eastAsia" w:ascii="宋体" w:hAnsi="宋体" w:eastAsia="宋体" w:cs="宋体"/>
          <w:b/>
          <w:bCs/>
          <w:color w:val="auto"/>
          <w:kern w:val="0"/>
          <w:sz w:val="28"/>
          <w:szCs w:val="28"/>
          <w:highlight w:val="none"/>
          <w:lang w:val="en-US" w:eastAsia="zh-CN" w:bidi="ar"/>
        </w:rPr>
        <w:t>★三、商务要求（注：①以下服务条款产生的所有费用应包含在本次报价中②以下内容中甲方为海南省卫生健康委员会，乙方为供应商，丙方为省级医疗机构/市县卫健委/市县级医疗机构）【投标单位须针对所有商务要求内容提供承诺函加盖投标单位公章】</w:t>
      </w:r>
      <w:bookmarkEnd w:id="16"/>
      <w:bookmarkEnd w:id="17"/>
      <w:bookmarkEnd w:id="18"/>
      <w:bookmarkEnd w:id="19"/>
      <w:bookmarkEnd w:id="20"/>
    </w:p>
    <w:p>
      <w:pPr>
        <w:spacing w:line="360" w:lineRule="auto"/>
        <w:jc w:val="both"/>
        <w:outlineLvl w:val="9"/>
        <w:rPr>
          <w:rFonts w:hint="eastAsia" w:ascii="宋体" w:hAnsi="宋体" w:eastAsia="宋体" w:cs="宋体"/>
          <w:b/>
          <w:bCs/>
          <w:color w:val="auto"/>
          <w:sz w:val="28"/>
          <w:szCs w:val="28"/>
          <w:highlight w:val="none"/>
          <w:lang w:val="en-US" w:eastAsia="zh-CN"/>
        </w:rPr>
      </w:pPr>
      <w:bookmarkStart w:id="21" w:name="_Toc10120"/>
      <w:bookmarkStart w:id="22" w:name="_Toc10308"/>
      <w:bookmarkStart w:id="23" w:name="_Toc26789"/>
      <w:r>
        <w:rPr>
          <w:rFonts w:hint="eastAsia" w:ascii="宋体" w:hAnsi="宋体" w:eastAsia="宋体" w:cs="宋体"/>
          <w:b/>
          <w:bCs/>
          <w:color w:val="auto"/>
          <w:sz w:val="28"/>
          <w:szCs w:val="28"/>
          <w:highlight w:val="none"/>
          <w:lang w:val="en-US" w:eastAsia="zh-CN"/>
        </w:rPr>
        <w:t>1.交货方式：</w:t>
      </w:r>
      <w:bookmarkEnd w:id="21"/>
      <w:bookmarkEnd w:id="22"/>
      <w:bookmarkEnd w:id="23"/>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（1）交货时间：</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采购包1：</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合同签订后30日内交付合同标的物设备。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采购包2：</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合同签订后30日内交付合同标的物设备。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采购包3：</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合同签订后国产设备30日内，进口设备60日内交付合同标的物设备。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采购包4：</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合同签订后国产设备30日内，进口设备60日内交付合同标的物设备。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采购包5：</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合同签订后30日内交付合同标的物设备。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采购包6：</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合同签订后30日内交付合同标的物设备。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采购包7：</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合同签订后30日内交付合同标的物设备。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采购包8：</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合同签订后30日内交付合同标的物设备。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采购包9：</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合同签订后国产设备30日内，进口设备60日内交付合同标的物设备。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采购包10：</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合同签订后30日内交付合同标的物设备。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（2）交货流程：在货物到丙方指定地点后，乙方应在7天内派工程技术人员到达现场，在丙方的技术人员在场的情况下开箱清点货物，组织安装调试，并承担因此发生的一切费用。</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（3）交货地点：丙方指定地点。</w:t>
      </w:r>
    </w:p>
    <w:p>
      <w:pPr>
        <w:spacing w:line="360" w:lineRule="auto"/>
        <w:jc w:val="both"/>
        <w:outlineLvl w:val="9"/>
        <w:rPr>
          <w:rFonts w:hint="eastAsia" w:ascii="宋体" w:hAnsi="宋体" w:eastAsia="宋体" w:cs="宋体"/>
          <w:b/>
          <w:bCs/>
          <w:color w:val="auto"/>
          <w:sz w:val="28"/>
          <w:szCs w:val="28"/>
          <w:highlight w:val="none"/>
          <w:lang w:val="en-US" w:eastAsia="zh-CN"/>
        </w:rPr>
      </w:pPr>
      <w:bookmarkStart w:id="24" w:name="_Toc9265"/>
      <w:bookmarkStart w:id="25" w:name="_Toc25343"/>
      <w:bookmarkStart w:id="26" w:name="_Toc17130"/>
      <w:r>
        <w:rPr>
          <w:rFonts w:hint="eastAsia" w:ascii="宋体" w:hAnsi="宋体" w:eastAsia="宋体" w:cs="宋体"/>
          <w:b/>
          <w:bCs/>
          <w:color w:val="auto"/>
          <w:sz w:val="28"/>
          <w:szCs w:val="28"/>
          <w:highlight w:val="none"/>
          <w:lang w:val="en-US" w:eastAsia="zh-CN"/>
        </w:rPr>
        <w:t>2.货物质量及配套材料</w:t>
      </w:r>
      <w:bookmarkEnd w:id="24"/>
      <w:bookmarkEnd w:id="25"/>
      <w:bookmarkEnd w:id="26"/>
    </w:p>
    <w:p>
      <w:pPr>
        <w:keepNext w:val="0"/>
        <w:keepLines w:val="0"/>
        <w:pageBreakBefore w:val="0"/>
        <w:kinsoku/>
        <w:wordWrap/>
        <w:overflowPunct/>
        <w:topLinePunct w:val="0"/>
        <w:autoSpaceDE/>
        <w:autoSpaceDN/>
        <w:bidi w:val="0"/>
        <w:adjustRightInd/>
        <w:snapToGrid w:val="0"/>
        <w:spacing w:line="336" w:lineRule="auto"/>
        <w:ind w:firstLine="703" w:firstLineChars="250"/>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2.1货物质量</w:t>
      </w:r>
    </w:p>
    <w:p>
      <w:pPr>
        <w:keepNext w:val="0"/>
        <w:keepLines w:val="0"/>
        <w:pageBreakBefore w:val="0"/>
        <w:kinsoku/>
        <w:wordWrap/>
        <w:overflowPunct/>
        <w:topLinePunct w:val="0"/>
        <w:autoSpaceDE/>
        <w:autoSpaceDN/>
        <w:bidi w:val="0"/>
        <w:adjustRightInd/>
        <w:snapToGrid w:val="0"/>
        <w:spacing w:line="336" w:lineRule="auto"/>
        <w:ind w:firstLine="700" w:firstLineChars="250"/>
        <w:outlineLvl w:val="9"/>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w:t>
      </w:r>
      <w:r>
        <w:rPr>
          <w:rStyle w:val="8"/>
          <w:rFonts w:hint="eastAsia" w:ascii="宋体" w:hAnsi="宋体" w:eastAsia="宋体" w:cs="宋体"/>
          <w:color w:val="auto"/>
          <w:sz w:val="28"/>
          <w:szCs w:val="28"/>
          <w:highlight w:val="none"/>
        </w:rPr>
        <w:t>.1</w:t>
      </w:r>
      <w:r>
        <w:rPr>
          <w:rStyle w:val="8"/>
          <w:rFonts w:hint="eastAsia" w:ascii="宋体" w:hAnsi="宋体" w:eastAsia="宋体" w:cs="宋体"/>
          <w:color w:val="auto"/>
          <w:sz w:val="28"/>
          <w:szCs w:val="28"/>
          <w:highlight w:val="none"/>
          <w:lang w:val="en-US" w:eastAsia="zh-CN"/>
        </w:rPr>
        <w:t>.1</w:t>
      </w:r>
      <w:r>
        <w:rPr>
          <w:rStyle w:val="8"/>
          <w:rFonts w:hint="eastAsia" w:ascii="宋体" w:hAnsi="宋体" w:eastAsia="宋体" w:cs="宋体"/>
          <w:color w:val="auto"/>
          <w:sz w:val="28"/>
          <w:szCs w:val="28"/>
          <w:highlight w:val="none"/>
        </w:rPr>
        <w:t xml:space="preserve"> 该设备同时应符合下列标准：</w:t>
      </w:r>
    </w:p>
    <w:p>
      <w:pPr>
        <w:keepNext w:val="0"/>
        <w:keepLines w:val="0"/>
        <w:pageBreakBefore w:val="0"/>
        <w:kinsoku/>
        <w:wordWrap/>
        <w:overflowPunct/>
        <w:topLinePunct w:val="0"/>
        <w:autoSpaceDE/>
        <w:autoSpaceDN/>
        <w:bidi w:val="0"/>
        <w:adjustRightInd/>
        <w:snapToGrid w:val="0"/>
        <w:spacing w:line="336" w:lineRule="auto"/>
        <w:ind w:firstLine="700" w:firstLineChars="250"/>
        <w:outlineLvl w:val="9"/>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w:t>
      </w:r>
      <w:r>
        <w:rPr>
          <w:rStyle w:val="8"/>
          <w:rFonts w:hint="eastAsia" w:ascii="宋体" w:hAnsi="宋体" w:eastAsia="宋体" w:cs="宋体"/>
          <w:color w:val="auto"/>
          <w:sz w:val="28"/>
          <w:szCs w:val="28"/>
          <w:highlight w:val="none"/>
        </w:rPr>
        <w:t>.1.1</w:t>
      </w:r>
      <w:r>
        <w:rPr>
          <w:rStyle w:val="8"/>
          <w:rFonts w:hint="eastAsia" w:ascii="宋体" w:hAnsi="宋体" w:eastAsia="宋体" w:cs="宋体"/>
          <w:color w:val="auto"/>
          <w:sz w:val="28"/>
          <w:szCs w:val="28"/>
          <w:highlight w:val="none"/>
          <w:lang w:val="en-US" w:eastAsia="zh-CN"/>
        </w:rPr>
        <w:t>.1</w:t>
      </w:r>
      <w:r>
        <w:rPr>
          <w:rStyle w:val="8"/>
          <w:rFonts w:hint="eastAsia" w:ascii="宋体" w:hAnsi="宋体" w:eastAsia="宋体" w:cs="宋体"/>
          <w:color w:val="auto"/>
          <w:sz w:val="28"/>
          <w:szCs w:val="28"/>
          <w:highlight w:val="none"/>
        </w:rPr>
        <w:t>该设备所适用的国家标准（强制性或推荐性标准）、行业标准、地方标准。无论设备的生产地如何，上述标准系指该设备使用地的相关标准。</w:t>
      </w:r>
    </w:p>
    <w:p>
      <w:pPr>
        <w:keepNext w:val="0"/>
        <w:keepLines w:val="0"/>
        <w:pageBreakBefore w:val="0"/>
        <w:kinsoku/>
        <w:wordWrap/>
        <w:overflowPunct/>
        <w:topLinePunct w:val="0"/>
        <w:autoSpaceDE/>
        <w:autoSpaceDN/>
        <w:bidi w:val="0"/>
        <w:adjustRightInd/>
        <w:snapToGrid w:val="0"/>
        <w:spacing w:line="336" w:lineRule="auto"/>
        <w:ind w:firstLine="700" w:firstLineChars="250"/>
        <w:outlineLvl w:val="9"/>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w:t>
      </w:r>
      <w:r>
        <w:rPr>
          <w:rStyle w:val="8"/>
          <w:rFonts w:hint="eastAsia" w:ascii="宋体" w:hAnsi="宋体" w:eastAsia="宋体" w:cs="宋体"/>
          <w:color w:val="auto"/>
          <w:sz w:val="28"/>
          <w:szCs w:val="28"/>
          <w:highlight w:val="none"/>
        </w:rPr>
        <w:t>.1.</w:t>
      </w:r>
      <w:r>
        <w:rPr>
          <w:rStyle w:val="8"/>
          <w:rFonts w:hint="eastAsia" w:ascii="宋体" w:hAnsi="宋体" w:eastAsia="宋体" w:cs="宋体"/>
          <w:color w:val="auto"/>
          <w:sz w:val="28"/>
          <w:szCs w:val="28"/>
          <w:highlight w:val="none"/>
          <w:lang w:val="en-US" w:eastAsia="zh-CN"/>
        </w:rPr>
        <w:t>1.</w:t>
      </w:r>
      <w:r>
        <w:rPr>
          <w:rStyle w:val="8"/>
          <w:rFonts w:hint="eastAsia" w:ascii="宋体" w:hAnsi="宋体" w:eastAsia="宋体" w:cs="宋体"/>
          <w:color w:val="auto"/>
          <w:sz w:val="28"/>
          <w:szCs w:val="28"/>
          <w:highlight w:val="none"/>
        </w:rPr>
        <w:t>2 设备生产企业的标准。</w:t>
      </w:r>
    </w:p>
    <w:p>
      <w:pPr>
        <w:keepNext w:val="0"/>
        <w:keepLines w:val="0"/>
        <w:pageBreakBefore w:val="0"/>
        <w:kinsoku/>
        <w:wordWrap/>
        <w:overflowPunct/>
        <w:topLinePunct w:val="0"/>
        <w:autoSpaceDE/>
        <w:autoSpaceDN/>
        <w:bidi w:val="0"/>
        <w:adjustRightInd/>
        <w:snapToGrid w:val="0"/>
        <w:spacing w:line="336" w:lineRule="auto"/>
        <w:ind w:firstLine="700" w:firstLineChars="250"/>
        <w:outlineLvl w:val="9"/>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w:t>
      </w:r>
      <w:r>
        <w:rPr>
          <w:rStyle w:val="8"/>
          <w:rFonts w:hint="eastAsia" w:ascii="宋体" w:hAnsi="宋体" w:eastAsia="宋体" w:cs="宋体"/>
          <w:color w:val="auto"/>
          <w:sz w:val="28"/>
          <w:szCs w:val="28"/>
          <w:highlight w:val="none"/>
        </w:rPr>
        <w:t>.1.</w:t>
      </w:r>
      <w:r>
        <w:rPr>
          <w:rStyle w:val="8"/>
          <w:rFonts w:hint="eastAsia" w:ascii="宋体" w:hAnsi="宋体" w:eastAsia="宋体" w:cs="宋体"/>
          <w:color w:val="auto"/>
          <w:sz w:val="28"/>
          <w:szCs w:val="28"/>
          <w:highlight w:val="none"/>
          <w:lang w:val="en-US" w:eastAsia="zh-CN"/>
        </w:rPr>
        <w:t>1.</w:t>
      </w:r>
      <w:r>
        <w:rPr>
          <w:rStyle w:val="8"/>
          <w:rFonts w:hint="eastAsia" w:ascii="宋体" w:hAnsi="宋体" w:eastAsia="宋体" w:cs="宋体"/>
          <w:color w:val="auto"/>
          <w:sz w:val="28"/>
          <w:szCs w:val="28"/>
          <w:highlight w:val="none"/>
        </w:rPr>
        <w:t>3 乙方所提供的产品说明书或相关说明文档中所列明的标准。</w:t>
      </w:r>
    </w:p>
    <w:p>
      <w:pPr>
        <w:keepNext w:val="0"/>
        <w:keepLines w:val="0"/>
        <w:pageBreakBefore w:val="0"/>
        <w:kinsoku/>
        <w:wordWrap/>
        <w:overflowPunct/>
        <w:topLinePunct w:val="0"/>
        <w:autoSpaceDE/>
        <w:autoSpaceDN/>
        <w:bidi w:val="0"/>
        <w:adjustRightInd/>
        <w:snapToGrid w:val="0"/>
        <w:spacing w:line="336" w:lineRule="auto"/>
        <w:ind w:firstLine="700" w:firstLineChars="250"/>
        <w:outlineLvl w:val="9"/>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w:t>
      </w:r>
      <w:r>
        <w:rPr>
          <w:rStyle w:val="8"/>
          <w:rFonts w:hint="eastAsia" w:ascii="宋体" w:hAnsi="宋体" w:eastAsia="宋体" w:cs="宋体"/>
          <w:color w:val="auto"/>
          <w:sz w:val="28"/>
          <w:szCs w:val="28"/>
          <w:highlight w:val="none"/>
        </w:rPr>
        <w:t>.1.</w:t>
      </w:r>
      <w:r>
        <w:rPr>
          <w:rStyle w:val="8"/>
          <w:rFonts w:hint="eastAsia" w:ascii="宋体" w:hAnsi="宋体" w:eastAsia="宋体" w:cs="宋体"/>
          <w:color w:val="auto"/>
          <w:sz w:val="28"/>
          <w:szCs w:val="28"/>
          <w:highlight w:val="none"/>
          <w:lang w:val="en-US" w:eastAsia="zh-CN"/>
        </w:rPr>
        <w:t>1.</w:t>
      </w:r>
      <w:r>
        <w:rPr>
          <w:rStyle w:val="8"/>
          <w:rFonts w:hint="eastAsia" w:ascii="宋体" w:hAnsi="宋体" w:eastAsia="宋体" w:cs="宋体"/>
          <w:color w:val="auto"/>
          <w:sz w:val="28"/>
          <w:szCs w:val="28"/>
          <w:highlight w:val="none"/>
        </w:rPr>
        <w:t>4 多项标准不一致的，按最高的标准执行；虽有上述标准，但双方对质量有特别要求的，应按特别要求执行。 </w:t>
      </w:r>
    </w:p>
    <w:p>
      <w:pPr>
        <w:keepNext w:val="0"/>
        <w:keepLines w:val="0"/>
        <w:pageBreakBefore w:val="0"/>
        <w:kinsoku/>
        <w:wordWrap/>
        <w:overflowPunct/>
        <w:topLinePunct w:val="0"/>
        <w:autoSpaceDE/>
        <w:autoSpaceDN/>
        <w:bidi w:val="0"/>
        <w:adjustRightInd/>
        <w:snapToGrid w:val="0"/>
        <w:spacing w:line="336" w:lineRule="auto"/>
        <w:ind w:firstLine="700" w:firstLineChars="250"/>
        <w:outlineLvl w:val="9"/>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w:t>
      </w:r>
      <w:r>
        <w:rPr>
          <w:rStyle w:val="8"/>
          <w:rFonts w:hint="eastAsia" w:ascii="宋体" w:hAnsi="宋体" w:eastAsia="宋体" w:cs="宋体"/>
          <w:color w:val="auto"/>
          <w:sz w:val="28"/>
          <w:szCs w:val="28"/>
          <w:highlight w:val="none"/>
        </w:rPr>
        <w:t>.</w:t>
      </w:r>
      <w:r>
        <w:rPr>
          <w:rStyle w:val="8"/>
          <w:rFonts w:hint="eastAsia" w:ascii="宋体" w:hAnsi="宋体" w:eastAsia="宋体" w:cs="宋体"/>
          <w:color w:val="auto"/>
          <w:sz w:val="28"/>
          <w:szCs w:val="28"/>
          <w:highlight w:val="none"/>
          <w:lang w:val="en-US" w:eastAsia="zh-CN"/>
        </w:rPr>
        <w:t>1.</w:t>
      </w:r>
      <w:r>
        <w:rPr>
          <w:rStyle w:val="8"/>
          <w:rFonts w:hint="eastAsia" w:ascii="宋体" w:hAnsi="宋体" w:eastAsia="宋体" w:cs="宋体"/>
          <w:color w:val="auto"/>
          <w:sz w:val="28"/>
          <w:szCs w:val="28"/>
          <w:highlight w:val="none"/>
        </w:rPr>
        <w:t>2乙方保证其出售的设备是原厂生产的、全新的、未使用过的（包括零部件），生产日期应在自合同签署之日往前推算6个月内</w:t>
      </w:r>
      <w:r>
        <w:rPr>
          <w:rStyle w:val="8"/>
          <w:rFonts w:hint="eastAsia" w:ascii="宋体" w:hAnsi="宋体" w:eastAsia="宋体" w:cs="宋体"/>
          <w:color w:val="auto"/>
          <w:sz w:val="28"/>
          <w:szCs w:val="28"/>
          <w:highlight w:val="none"/>
          <w:lang w:eastAsia="zh-CN"/>
        </w:rPr>
        <w:t>，</w:t>
      </w:r>
      <w:r>
        <w:rPr>
          <w:rStyle w:val="8"/>
          <w:rFonts w:hint="eastAsia" w:ascii="宋体" w:hAnsi="宋体" w:eastAsia="宋体" w:cs="宋体"/>
          <w:color w:val="auto"/>
          <w:sz w:val="28"/>
          <w:szCs w:val="28"/>
          <w:highlight w:val="none"/>
        </w:rPr>
        <w:t>符合原厂质量检测标准（以说明书为准）。</w:t>
      </w:r>
    </w:p>
    <w:p>
      <w:pPr>
        <w:keepNext w:val="0"/>
        <w:keepLines w:val="0"/>
        <w:pageBreakBefore w:val="0"/>
        <w:kinsoku/>
        <w:wordWrap/>
        <w:overflowPunct/>
        <w:topLinePunct w:val="0"/>
        <w:autoSpaceDE/>
        <w:autoSpaceDN/>
        <w:bidi w:val="0"/>
        <w:adjustRightInd/>
        <w:snapToGrid w:val="0"/>
        <w:spacing w:line="336" w:lineRule="auto"/>
        <w:ind w:firstLine="548" w:firstLineChars="196"/>
        <w:outlineLvl w:val="9"/>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w:t>
      </w:r>
      <w:r>
        <w:rPr>
          <w:rStyle w:val="8"/>
          <w:rFonts w:hint="eastAsia" w:ascii="宋体" w:hAnsi="宋体" w:eastAsia="宋体" w:cs="宋体"/>
          <w:color w:val="auto"/>
          <w:sz w:val="28"/>
          <w:szCs w:val="28"/>
          <w:highlight w:val="none"/>
        </w:rPr>
        <w:t>配套材料</w:t>
      </w:r>
    </w:p>
    <w:p>
      <w:pPr>
        <w:keepNext w:val="0"/>
        <w:keepLines w:val="0"/>
        <w:pageBreakBefore w:val="0"/>
        <w:kinsoku/>
        <w:wordWrap/>
        <w:overflowPunct/>
        <w:topLinePunct w:val="0"/>
        <w:autoSpaceDE/>
        <w:autoSpaceDN/>
        <w:bidi w:val="0"/>
        <w:adjustRightInd/>
        <w:snapToGrid w:val="0"/>
        <w:spacing w:line="336" w:lineRule="auto"/>
        <w:ind w:firstLine="700" w:firstLineChars="250"/>
        <w:outlineLvl w:val="9"/>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w:t>
      </w:r>
      <w:r>
        <w:rPr>
          <w:rStyle w:val="8"/>
          <w:rFonts w:hint="eastAsia" w:ascii="宋体" w:hAnsi="宋体" w:eastAsia="宋体" w:cs="宋体"/>
          <w:color w:val="auto"/>
          <w:sz w:val="28"/>
          <w:szCs w:val="28"/>
          <w:highlight w:val="none"/>
        </w:rPr>
        <w:t>.1 乙方交货时应同时提交设备的下列配套材料：</w:t>
      </w:r>
    </w:p>
    <w:p>
      <w:pPr>
        <w:keepNext w:val="0"/>
        <w:keepLines w:val="0"/>
        <w:pageBreakBefore w:val="0"/>
        <w:kinsoku/>
        <w:wordWrap/>
        <w:overflowPunct/>
        <w:topLinePunct w:val="0"/>
        <w:autoSpaceDE/>
        <w:autoSpaceDN/>
        <w:bidi w:val="0"/>
        <w:adjustRightInd/>
        <w:snapToGrid w:val="0"/>
        <w:spacing w:line="336" w:lineRule="auto"/>
        <w:ind w:firstLine="700" w:firstLineChars="250"/>
        <w:outlineLvl w:val="9"/>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2.2.1.1</w:t>
      </w:r>
      <w:r>
        <w:rPr>
          <w:rStyle w:val="8"/>
          <w:rFonts w:hint="eastAsia" w:ascii="宋体" w:hAnsi="宋体" w:eastAsia="宋体" w:cs="宋体"/>
          <w:color w:val="auto"/>
          <w:sz w:val="28"/>
          <w:szCs w:val="28"/>
          <w:highlight w:val="none"/>
        </w:rPr>
        <w:t xml:space="preserve"> 原厂出厂证明</w:t>
      </w:r>
    </w:p>
    <w:p>
      <w:pPr>
        <w:keepNext w:val="0"/>
        <w:keepLines w:val="0"/>
        <w:pageBreakBefore w:val="0"/>
        <w:kinsoku/>
        <w:wordWrap/>
        <w:overflowPunct/>
        <w:topLinePunct w:val="0"/>
        <w:autoSpaceDE/>
        <w:autoSpaceDN/>
        <w:bidi w:val="0"/>
        <w:adjustRightInd/>
        <w:snapToGrid w:val="0"/>
        <w:spacing w:line="336" w:lineRule="auto"/>
        <w:ind w:firstLine="700" w:firstLineChars="250"/>
        <w:outlineLvl w:val="9"/>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2.2.1.2</w:t>
      </w:r>
      <w:r>
        <w:rPr>
          <w:rStyle w:val="8"/>
          <w:rFonts w:hint="eastAsia" w:ascii="宋体" w:hAnsi="宋体" w:eastAsia="宋体" w:cs="宋体"/>
          <w:color w:val="auto"/>
          <w:sz w:val="28"/>
          <w:szCs w:val="28"/>
          <w:highlight w:val="none"/>
        </w:rPr>
        <w:t xml:space="preserve"> 产品合格证书</w:t>
      </w:r>
    </w:p>
    <w:p>
      <w:pPr>
        <w:keepNext w:val="0"/>
        <w:keepLines w:val="0"/>
        <w:pageBreakBefore w:val="0"/>
        <w:kinsoku/>
        <w:wordWrap/>
        <w:overflowPunct/>
        <w:topLinePunct w:val="0"/>
        <w:autoSpaceDE/>
        <w:autoSpaceDN/>
        <w:bidi w:val="0"/>
        <w:adjustRightInd/>
        <w:snapToGrid w:val="0"/>
        <w:spacing w:line="336" w:lineRule="auto"/>
        <w:ind w:firstLine="700" w:firstLineChars="250"/>
        <w:outlineLvl w:val="9"/>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2.2.1.3</w:t>
      </w:r>
      <w:r>
        <w:rPr>
          <w:rStyle w:val="8"/>
          <w:rFonts w:hint="eastAsia" w:ascii="宋体" w:hAnsi="宋体" w:eastAsia="宋体" w:cs="宋体"/>
          <w:color w:val="auto"/>
          <w:sz w:val="28"/>
          <w:szCs w:val="28"/>
          <w:highlight w:val="none"/>
        </w:rPr>
        <w:t xml:space="preserve"> 保修单</w:t>
      </w:r>
    </w:p>
    <w:p>
      <w:pPr>
        <w:keepNext w:val="0"/>
        <w:keepLines w:val="0"/>
        <w:pageBreakBefore w:val="0"/>
        <w:kinsoku/>
        <w:wordWrap/>
        <w:overflowPunct/>
        <w:topLinePunct w:val="0"/>
        <w:autoSpaceDE/>
        <w:autoSpaceDN/>
        <w:bidi w:val="0"/>
        <w:adjustRightInd/>
        <w:snapToGrid w:val="0"/>
        <w:spacing w:line="336" w:lineRule="auto"/>
        <w:ind w:firstLine="700" w:firstLineChars="250"/>
        <w:outlineLvl w:val="9"/>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2.2.1.4</w:t>
      </w:r>
      <w:r>
        <w:rPr>
          <w:rStyle w:val="8"/>
          <w:rFonts w:hint="eastAsia" w:ascii="宋体" w:hAnsi="宋体" w:eastAsia="宋体" w:cs="宋体"/>
          <w:color w:val="auto"/>
          <w:sz w:val="28"/>
          <w:szCs w:val="28"/>
          <w:highlight w:val="none"/>
        </w:rPr>
        <w:t xml:space="preserve"> 使用与维护说明书（中文版）</w:t>
      </w:r>
    </w:p>
    <w:p>
      <w:pPr>
        <w:keepNext w:val="0"/>
        <w:keepLines w:val="0"/>
        <w:pageBreakBefore w:val="0"/>
        <w:kinsoku/>
        <w:wordWrap/>
        <w:overflowPunct/>
        <w:topLinePunct w:val="0"/>
        <w:autoSpaceDE/>
        <w:autoSpaceDN/>
        <w:bidi w:val="0"/>
        <w:adjustRightInd/>
        <w:snapToGrid w:val="0"/>
        <w:spacing w:line="336" w:lineRule="auto"/>
        <w:ind w:firstLine="700" w:firstLineChars="250"/>
        <w:outlineLvl w:val="9"/>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2.2.1.5</w:t>
      </w:r>
      <w:r>
        <w:rPr>
          <w:rStyle w:val="8"/>
          <w:rFonts w:hint="eastAsia" w:ascii="宋体" w:hAnsi="宋体" w:eastAsia="宋体" w:cs="宋体"/>
          <w:color w:val="auto"/>
          <w:sz w:val="28"/>
          <w:szCs w:val="28"/>
          <w:highlight w:val="none"/>
        </w:rPr>
        <w:t>设备物料清单</w:t>
      </w:r>
    </w:p>
    <w:p>
      <w:pPr>
        <w:keepNext w:val="0"/>
        <w:keepLines w:val="0"/>
        <w:pageBreakBefore w:val="0"/>
        <w:kinsoku/>
        <w:wordWrap/>
        <w:overflowPunct/>
        <w:topLinePunct w:val="0"/>
        <w:autoSpaceDE/>
        <w:autoSpaceDN/>
        <w:bidi w:val="0"/>
        <w:adjustRightInd/>
        <w:snapToGrid w:val="0"/>
        <w:spacing w:line="336" w:lineRule="auto"/>
        <w:ind w:firstLine="700" w:firstLineChars="250"/>
        <w:outlineLvl w:val="9"/>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2.2.1.6</w:t>
      </w:r>
      <w:r>
        <w:rPr>
          <w:rStyle w:val="8"/>
          <w:rFonts w:hint="eastAsia" w:ascii="宋体" w:hAnsi="宋体" w:eastAsia="宋体" w:cs="宋体"/>
          <w:color w:val="auto"/>
          <w:sz w:val="28"/>
          <w:szCs w:val="28"/>
          <w:highlight w:val="none"/>
        </w:rPr>
        <w:t xml:space="preserve"> 其他应当具备的随附单证。</w:t>
      </w:r>
    </w:p>
    <w:p>
      <w:pPr>
        <w:keepNext w:val="0"/>
        <w:keepLines w:val="0"/>
        <w:pageBreakBefore w:val="0"/>
        <w:kinsoku/>
        <w:wordWrap/>
        <w:overflowPunct/>
        <w:topLinePunct w:val="0"/>
        <w:autoSpaceDE/>
        <w:autoSpaceDN/>
        <w:bidi w:val="0"/>
        <w:adjustRightInd/>
        <w:snapToGrid w:val="0"/>
        <w:spacing w:line="336" w:lineRule="auto"/>
        <w:ind w:firstLine="700" w:firstLineChars="250"/>
        <w:outlineLvl w:val="9"/>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2.2.1.7</w:t>
      </w:r>
      <w:r>
        <w:rPr>
          <w:rStyle w:val="8"/>
          <w:rFonts w:hint="eastAsia" w:ascii="宋体" w:hAnsi="宋体" w:eastAsia="宋体" w:cs="宋体"/>
          <w:color w:val="auto"/>
          <w:sz w:val="28"/>
          <w:szCs w:val="28"/>
          <w:highlight w:val="none"/>
        </w:rPr>
        <w:t xml:space="preserve"> 若产品为进口产品，还应当附有产品的装箱单、报关单、产品进出口检疫书等有关文件。</w:t>
      </w:r>
    </w:p>
    <w:p>
      <w:pPr>
        <w:keepNext w:val="0"/>
        <w:keepLines w:val="0"/>
        <w:pageBreakBefore w:val="0"/>
        <w:kinsoku/>
        <w:wordWrap/>
        <w:overflowPunct/>
        <w:topLinePunct w:val="0"/>
        <w:autoSpaceDE/>
        <w:autoSpaceDN/>
        <w:bidi w:val="0"/>
        <w:adjustRightInd/>
        <w:snapToGrid w:val="0"/>
        <w:spacing w:line="336" w:lineRule="auto"/>
        <w:ind w:firstLine="700" w:firstLineChars="250"/>
        <w:outlineLvl w:val="9"/>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2.2.1.8</w:t>
      </w:r>
      <w:r>
        <w:rPr>
          <w:rStyle w:val="8"/>
          <w:rFonts w:hint="eastAsia" w:ascii="宋体" w:hAnsi="宋体" w:eastAsia="宋体" w:cs="宋体"/>
          <w:color w:val="auto"/>
          <w:sz w:val="28"/>
          <w:szCs w:val="28"/>
          <w:highlight w:val="none"/>
        </w:rPr>
        <w:t xml:space="preserve"> </w:t>
      </w:r>
      <w:r>
        <w:rPr>
          <w:rStyle w:val="8"/>
          <w:rFonts w:hint="eastAsia" w:ascii="宋体" w:hAnsi="宋体" w:eastAsia="宋体" w:cs="宋体"/>
          <w:color w:val="auto"/>
          <w:sz w:val="28"/>
          <w:szCs w:val="28"/>
          <w:highlight w:val="none"/>
          <w:lang w:val="en-US" w:eastAsia="zh-CN"/>
        </w:rPr>
        <w:t>配</w:t>
      </w:r>
      <w:r>
        <w:rPr>
          <w:rStyle w:val="8"/>
          <w:rFonts w:hint="eastAsia" w:ascii="宋体" w:hAnsi="宋体" w:eastAsia="宋体" w:cs="宋体"/>
          <w:color w:val="auto"/>
          <w:sz w:val="28"/>
          <w:szCs w:val="28"/>
          <w:highlight w:val="none"/>
        </w:rPr>
        <w:t>套材料应用防水袋包装并放在设备包装中，并在设备安装调试完成之后移交丙方。</w:t>
      </w:r>
    </w:p>
    <w:p>
      <w:pPr>
        <w:spacing w:line="360" w:lineRule="auto"/>
        <w:jc w:val="both"/>
        <w:outlineLvl w:val="9"/>
        <w:rPr>
          <w:rFonts w:hint="eastAsia" w:ascii="宋体" w:hAnsi="宋体" w:eastAsia="宋体" w:cs="宋体"/>
          <w:b/>
          <w:bCs/>
          <w:color w:val="auto"/>
          <w:sz w:val="28"/>
          <w:szCs w:val="28"/>
          <w:highlight w:val="none"/>
          <w:lang w:val="en-US" w:eastAsia="zh-CN"/>
        </w:rPr>
      </w:pPr>
      <w:bookmarkStart w:id="27" w:name="_Toc20225"/>
      <w:bookmarkStart w:id="28" w:name="_Toc24072"/>
      <w:bookmarkStart w:id="29" w:name="_Toc1786"/>
      <w:r>
        <w:rPr>
          <w:rFonts w:hint="eastAsia" w:ascii="宋体" w:hAnsi="宋体" w:eastAsia="宋体" w:cs="宋体"/>
          <w:b/>
          <w:bCs/>
          <w:color w:val="auto"/>
          <w:sz w:val="28"/>
          <w:szCs w:val="28"/>
          <w:highlight w:val="none"/>
          <w:lang w:val="en-US" w:eastAsia="zh-CN"/>
        </w:rPr>
        <w:t>3.安装验收</w:t>
      </w:r>
      <w:bookmarkEnd w:id="27"/>
      <w:bookmarkEnd w:id="28"/>
      <w:bookmarkEnd w:id="29"/>
    </w:p>
    <w:p>
      <w:pPr>
        <w:spacing w:line="360" w:lineRule="auto"/>
        <w:ind w:firstLine="560" w:firstLineChars="200"/>
        <w:jc w:val="both"/>
        <w:outlineLvl w:val="9"/>
        <w:rPr>
          <w:rFonts w:hint="eastAsia" w:ascii="宋体" w:hAnsi="宋体" w:eastAsia="宋体" w:cs="宋体"/>
          <w:b/>
          <w:bCs/>
          <w:color w:val="auto"/>
          <w:sz w:val="28"/>
          <w:szCs w:val="28"/>
          <w:highlight w:val="none"/>
        </w:rPr>
      </w:pPr>
      <w:r>
        <w:rPr>
          <w:rFonts w:hint="eastAsia" w:ascii="宋体" w:hAnsi="宋体" w:eastAsia="宋体" w:cs="宋体"/>
          <w:b w:val="0"/>
          <w:bCs w:val="0"/>
          <w:color w:val="auto"/>
          <w:sz w:val="28"/>
          <w:szCs w:val="28"/>
          <w:highlight w:val="none"/>
          <w:lang w:val="en-US" w:eastAsia="zh-CN"/>
        </w:rPr>
        <w:t>安装调试完毕后，丙方根据招投标文件和产品说明书的功能配置、技术参数等进行检验、试用。乙方应向丙方提供要求的验收资料，丙方应在收到完整的验收资料后，在验收报告上签字盖章。</w:t>
      </w:r>
    </w:p>
    <w:p>
      <w:pPr>
        <w:spacing w:line="360" w:lineRule="auto"/>
        <w:jc w:val="both"/>
        <w:outlineLvl w:val="9"/>
        <w:rPr>
          <w:rFonts w:hint="eastAsia" w:ascii="宋体" w:hAnsi="宋体" w:eastAsia="宋体" w:cs="宋体"/>
          <w:b/>
          <w:bCs/>
          <w:color w:val="auto"/>
          <w:sz w:val="28"/>
          <w:szCs w:val="28"/>
          <w:highlight w:val="none"/>
        </w:rPr>
      </w:pPr>
      <w:bookmarkStart w:id="30" w:name="_Toc18989"/>
      <w:bookmarkStart w:id="31" w:name="_Toc9466"/>
      <w:bookmarkStart w:id="32" w:name="_Toc11006"/>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bCs/>
          <w:color w:val="auto"/>
          <w:sz w:val="28"/>
          <w:szCs w:val="28"/>
          <w:highlight w:val="none"/>
        </w:rPr>
        <w:t>设备使用观察期</w:t>
      </w:r>
      <w:bookmarkEnd w:id="30"/>
      <w:bookmarkEnd w:id="31"/>
      <w:bookmarkEnd w:id="32"/>
    </w:p>
    <w:p>
      <w:pPr>
        <w:spacing w:line="360" w:lineRule="auto"/>
        <w:ind w:firstLine="560" w:firstLineChars="200"/>
        <w:jc w:val="both"/>
        <w:outlineLvl w:val="9"/>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rPr>
        <w:t>乙、丙双方约定为从设备安装调试并通过验收合格之日起 60 日为设备使用观察期。</w:t>
      </w:r>
    </w:p>
    <w:p>
      <w:pPr>
        <w:spacing w:line="360" w:lineRule="auto"/>
        <w:jc w:val="left"/>
        <w:outlineLvl w:val="9"/>
        <w:rPr>
          <w:rFonts w:hint="eastAsia" w:ascii="宋体" w:hAnsi="宋体" w:eastAsia="宋体" w:cs="宋体"/>
          <w:b/>
          <w:bCs/>
          <w:color w:val="auto"/>
          <w:sz w:val="28"/>
          <w:szCs w:val="28"/>
          <w:highlight w:val="none"/>
        </w:rPr>
      </w:pPr>
      <w:bookmarkStart w:id="33" w:name="_Toc5575"/>
      <w:bookmarkStart w:id="34" w:name="_Toc4398"/>
      <w:bookmarkStart w:id="35" w:name="_Toc5000"/>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、售后服务</w:t>
      </w:r>
      <w:bookmarkEnd w:id="33"/>
      <w:bookmarkEnd w:id="34"/>
      <w:bookmarkEnd w:id="35"/>
    </w:p>
    <w:p>
      <w:pPr>
        <w:rPr>
          <w:rFonts w:hint="eastAsia" w:ascii="宋体" w:hAnsi="宋体" w:eastAsia="宋体" w:cs="宋体"/>
          <w:sz w:val="28"/>
          <w:szCs w:val="28"/>
          <w:lang w:val="en-US" w:eastAsia="zh-CN"/>
        </w:rPr>
      </w:pPr>
      <w:bookmarkStart w:id="36" w:name="_Toc3596"/>
      <w:bookmarkStart w:id="37" w:name="_Toc23837"/>
      <w:r>
        <w:rPr>
          <w:rFonts w:hint="eastAsia" w:ascii="宋体" w:hAnsi="宋体" w:eastAsia="宋体" w:cs="宋体"/>
          <w:b/>
          <w:bCs/>
          <w:sz w:val="28"/>
          <w:szCs w:val="28"/>
          <w:lang w:val="en-US" w:eastAsia="zh-CN"/>
        </w:rPr>
        <w:t>5.1  包1全自动化学发光免疫分析仪（一）售后服务要求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（1）保修期起始日期从设备验收合格移交使用单位之日起算，保修期为：主机≥72个月，相关配件≥72个月，由乙方负责免费维护维修。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（3）保修期内的开机率，保证开机率≥95%（按工作日计算）。因设备原因导致开机率＜95%时，每超过1天，免费保修期延长5天。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（5）如配备软件系统，乙方应终身提供软件免费升级，升级必须适配原厂软件，且不得影响设备的质保。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（7）具有专用的网址或公众号等，免费在线提供临床应用培训及产品操作指导等。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（8）若设备需链接医院网络信息系统，供应商应负责设备（含软件及相关服务）与使用医院网络端口链接的相关安装及费用。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（9）提供备件送达期限：＜4天。设备停产后的备件供应：保证十年。</w:t>
      </w:r>
    </w:p>
    <w:p>
      <w:pPr>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5.2  包2全自动化学发光免疫分析仪（二）售后服务要求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（1）保修期起始日期从设备验收合格移交使用单位之日起算，保修期为：主机≥72个月，相关配件≥72个月，由乙方负责免费维护维修。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（3）保修期内的开机率，保证开机率≥95%（按工作日计算）。因设备原因导致开机率＜95%时，每超过1天，免费保修期延长5天。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（5）如配备软件系统，乙方应终身提供软件免费升级，升级必须适配原厂软件，且不得影响设备的质保。</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（7）具有专用的网址或公众号等，免费在线提供临床应用培训及产品操作指导等。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（8）若设备需链接医院网络信息系统，供应商应负责设备（含软件及相关服务）与使用医院网络端口链接的相关安装及费用。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（9）提供备件送达期限：＜4天。设备停产后的备件供应：保证十年。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5.3  包3全自动生化免疫分析流水线（一）售后服务要求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（1）保修期起始日期从设备验收合格移交使用单位之日起算，保修期为：主机≥120个月，相关配件≥120个月，由乙方负责免费维护维修。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（3）保修期内的开机率，保证开机率≥95%（按工作日计算）。因设备原因导致开机率＜95%时，每超过1天，免费保修期延长5天。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（5）如配备软件系统，乙方应终身提供软件免费升级，升级必须适配原厂软件，且不得影响设备的质保。</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（7）具有专用的网址或公众号等，免费在线提供临床应用培训及产品操作指导等。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（8）若设备需链接医院网络信息系统，供应商应负责设备（含软件及相关服务）与使用医院网络端口链接的相关安装及费用。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（9）提供备件送达期限：＜4天。设备停产后的备件供应：保证十年。</w:t>
      </w:r>
    </w:p>
    <w:p>
      <w:pPr>
        <w:rPr>
          <w:rFonts w:hint="eastAsia" w:ascii="宋体" w:hAnsi="宋体" w:eastAsia="宋体" w:cs="宋体"/>
          <w:b/>
          <w:bCs/>
          <w:sz w:val="28"/>
          <w:szCs w:val="28"/>
          <w:lang w:val="en-US" w:eastAsia="zh-CN"/>
        </w:rPr>
      </w:pPr>
    </w:p>
    <w:p>
      <w:pPr>
        <w:rPr>
          <w:rFonts w:hint="eastAsia" w:ascii="宋体" w:hAnsi="宋体" w:eastAsia="宋体" w:cs="宋体"/>
          <w:b/>
          <w:bCs/>
          <w:sz w:val="28"/>
          <w:szCs w:val="28"/>
          <w:lang w:val="en-US" w:eastAsia="zh-CN"/>
        </w:rPr>
      </w:pPr>
    </w:p>
    <w:p>
      <w:pPr>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5.4  包4全自动生化免疫分析流水线（二）售后服务要求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（1）保修期起始日期从设备验收合格移交使用单位之日起算，保修期为：主机≥72个月，相关配件≥72个月，由乙方负责免费维护维修。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（3）保修期内的开机率，保证开机率≥95%（按工作日计算）。因设备原因导致开机率＜95%时，每超过1天，免费保修期延长5天。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（5）如配备软件系统，乙方应终身提供软件免费升级，升级必须适配原厂软件，且不得影响设备的质保。</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（7）具有专用的网址或公众号等，免费在线提供临床应用培训及产品操作指导等。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（8）若设备需链接医院网络信息系统，供应商应负责设备（含软件及相关服务）与使用医院网络端口链接的相关安装及费用。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（9）提供备件送达期限：＜4天。设备停产后的备件供应：保证十年。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5.5  包5全自动生化免疫分析流水线（三）售后服务要求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（1）保修期起始日期从设备验收合格移交使用单位之日起算，保修期为：主机≥72个月，相关配件≥72个月，由乙方负责免费维护维修。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（3）保修期内的开机率，保证开机率≥95%（按工作日计算）。因设备原因导致开机率＜95%时，每超过1天，免费保修期延长5天。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（5）如配备软件系统，乙方应终身提供软件免费升级，升级必须适配原厂软件，且不得影响设备的质保。</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（7）具有专用的网址或公众号等，免费在线提供临床应用培训及产品操作指导等。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（8）若设备需链接医院网络信息系统，供应商应负责设备（含软件及相关服务）与使用医院网络端口链接的相关安装及费用。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（9）提供备件送达期限：＜4天。设备停产后的备件供应：保证十年。</w:t>
      </w:r>
    </w:p>
    <w:p>
      <w:pPr>
        <w:rPr>
          <w:rFonts w:hint="eastAsia" w:ascii="宋体" w:hAnsi="宋体" w:eastAsia="宋体" w:cs="宋体"/>
          <w:b/>
          <w:bCs/>
          <w:sz w:val="28"/>
          <w:szCs w:val="28"/>
          <w:lang w:val="en-US" w:eastAsia="zh-CN"/>
        </w:rPr>
      </w:pPr>
    </w:p>
    <w:p>
      <w:pPr>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5.6  包6全自动生化免疫分析流水线（四）售后服务要求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（1）保修期起始日期从设备验收合格移交使用单位之日起算，保修期为：主机≥120个月，相关配件≥120个月，由乙方负责免费维护维修。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（3）保修期内的开机率，保证开机率≥95%（按工作日计算）。因设备原因导致开机率＜95%时，每超过1天，免费保修期延长5天。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（5）如配备软件系统，乙方应终身提供软件免费升级，升级必须适配原厂软件，且不得影响设备的质保。</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（7）具有专用的网址或公众号等，免费在线提供临床应用培训及产品操作指导等。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（8）若设备需链接医院网络信息系统，供应商应负责设备（含软件及相关服务）与使用医院网络端口链接的相关安装及费用。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（9）提供备件送达期限：＜4天。设备停产后的备件供应：保证十年。</w:t>
      </w:r>
    </w:p>
    <w:p>
      <w:pPr>
        <w:rPr>
          <w:rFonts w:hint="eastAsia" w:ascii="宋体" w:hAnsi="宋体" w:eastAsia="宋体" w:cs="宋体"/>
          <w:b/>
          <w:bCs/>
          <w:sz w:val="28"/>
          <w:szCs w:val="28"/>
          <w:lang w:val="en-US" w:eastAsia="zh-CN"/>
        </w:rPr>
      </w:pPr>
    </w:p>
    <w:p>
      <w:pPr>
        <w:rPr>
          <w:rFonts w:hint="eastAsia" w:ascii="宋体" w:hAnsi="宋体" w:eastAsia="宋体" w:cs="宋体"/>
          <w:b/>
          <w:bCs/>
          <w:sz w:val="28"/>
          <w:szCs w:val="28"/>
          <w:lang w:val="en-US" w:eastAsia="zh-CN"/>
        </w:rPr>
      </w:pPr>
    </w:p>
    <w:p>
      <w:pPr>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5.7  包7全自动生化免疫分析流水线（五）售后服务要求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（1）保修期起始日期从设备验收合格移交使用单位之日起算，保修期为：主机≥72个月，相关配件≥72个月，由乙方负责免费维护维修。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（3）保修期内的开机率，保证开机率≥95%（按工作日计算）。因设备原因导致开机率＜95%时，每超过1天，免费保修期延长5天。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（5）如配备软件系统，乙方应终身提供软件免费升级，升级必须适配原厂软件，且不得影响设备的质保。</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（7）具有专用的网址或公众号等，免费在线提供临床应用培训及产品操作指导等。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（8）若设备需链接医院网络信息系统，供应商应负责设备（含软件及相关服务）与使用医院网络端口链接的相关安装及费用。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（9）提供备件送达期限：＜4天。设备停产后的备件供应：保证十年。</w:t>
      </w:r>
    </w:p>
    <w:p>
      <w:pPr>
        <w:rPr>
          <w:rFonts w:hint="eastAsia" w:ascii="宋体" w:hAnsi="宋体" w:eastAsia="宋体" w:cs="宋体"/>
          <w:b/>
          <w:bCs/>
          <w:sz w:val="28"/>
          <w:szCs w:val="28"/>
          <w:lang w:val="en-US" w:eastAsia="zh-CN"/>
        </w:rPr>
      </w:pPr>
    </w:p>
    <w:p>
      <w:pPr>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5.8  包8血气分析仪（一）售后服务要求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（1）保修期起始日期从设备验收合格移交使用单位之日起算，保修期为：主机≥72个月，相关配件≥72个月，由乙方负责免费维护维修。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（3）保修期内的开机率，保证开机率≥95%（按工作日计算）。因设备原因导致开机率＜95%时，每超过1天，免费保修期延长5天。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（5）如配备软件系统，乙方应终身提供软件免费升级，升级必须适配原厂软件，且不得影响设备的质保。</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（7）具有专用的网址或公众号等，免费在线提供临床应用培训及产品操作指导等。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若设备需链接医院网络信息系统，供应商应负责设备（含软件及相关服务）与使用医院网络端口链接的相关安装及费用。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（9）提供备件送达期限：＜4天。设备停产后的备件供应：保证十年。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5.9  包9售后服务要求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A、血气分析仪（二）</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（1）保修期起始日期从设备验收合格移交使用单位之日起算，保修期为：主机≥72个月，相关配件≥72个月，由乙方负责免费维护维修。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（3）保修期内的开机率，保证开机率≥95%（按工作日计算）。因设备原因导致开机率＜95%时，每超过1天，免费保修期延长5天。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（5）如配备软件系统，乙方应终身提供软件免费升级，升级必须适配原厂软件，且不得影响设备的质保。</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（7）具有专用的网址或公众号等，免费在线提供临床应用培训及产品操作指导等。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（8）若设备需链接医院网络信息系统，供应商应负责设备（含软件及相关服务）与使用医院网络端口链接的相关安装及费用。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（9）提供备件送达期限：＜4天。设备停产后的备件供应：保证十年。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B、血气分析仪（三）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（1）保修期起始日期从设备验收合格移交使用单位之日起算，保修期为：主机≥72个月，相关配件≥72个月，由乙方负责免费维护维修。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（3）保修期内的开机率，保证开机率≥95%（按工作日计算）。因设备原因导致开机率＜95%时，每超过1天，免费保修期延长5天。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（5）如配备软件系统，乙方应终身提供软件免费升级，升级必须适配原厂软件，且不得影响设备的质保。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（7）具有专用的网址或公众号等，免费在线提供临床应用培训及产品操作指导等。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（8）若设备需链接医院网络信息系统，供应商应负责设备（含软件及相关服务）与使用医院网络端口链接的相关安装及费用。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提供备件送达期限：＜4天。设备停产后的备件供应：保证十年。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5.10   包10售后服务要求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A、电解质分析仪（一）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（1）保修期起始日期从设备验收合格移交使用单位之日起算，保修期为：主机≥72个月，相关配件≥72个月，由乙方负责免费维护维修。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（3）保修期内的开机率，保证开机率≥95%（按工作日计算）。因设备原因导致开机率＜95%时，每超过1天，免费保修期延长5天。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（5）如配备软件系统，乙方应终身提供软件免费升级，升级必须适配原厂软件，且不得影响设备的质保。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（7）具有专用的网址或公众号等，免费在线提供临床应用培训及产品操作指导等。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（8）若设备需链接医院网络信息系统，供应商应负责设备（含软件及相关服务）与使用医院网络端口链接的相关安装及费用。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（9）提供备件送达期限：＜4天。设备停产后的备件供应：保证十年。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B、电解质分析仪（二）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（1）保修期起始日期从设备验收合格移交使用单位之日起算，保修期为：主机≥72个月，相关配件≥72个月，由乙方负责免费维护维修。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（3）保修期内的开机率，保证开机率≥95%（按工作日计算）。因设备原因导致开机率＜95%时，每超过1天，免费保修期延长5天。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（5）如配备软件系统，乙方应终身提供软件免费升级，升级必须适配原厂软件，且不得影响设备的质保。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（7）具有专用的网址或公众号等，免费在线提供临床应用培训及产品操作指导等。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（8）若设备需链接医院网络信息系统，供应商应负责设备（含软件及相关服务）与使用医院网络端口链接的相关安装及费用。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（9）提供备件送达期限：＜4天。设备停产后的备件供应：保证十年。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kern w:val="2"/>
          <w:sz w:val="28"/>
          <w:szCs w:val="28"/>
          <w:lang w:val="en-US" w:eastAsia="zh-CN" w:bidi="ar-SA"/>
        </w:rPr>
        <w:t>C、</w:t>
      </w:r>
      <w:r>
        <w:rPr>
          <w:rFonts w:hint="eastAsia" w:ascii="宋体" w:hAnsi="宋体" w:eastAsia="宋体" w:cs="宋体"/>
          <w:b/>
          <w:bCs/>
          <w:sz w:val="28"/>
          <w:szCs w:val="28"/>
          <w:lang w:val="en-US" w:eastAsia="zh-CN"/>
        </w:rPr>
        <w:t>电解质分析仪（三）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（1）保修期起始日期从设备验收合格移交使用单位之日起算，保修期为：主机≥72个月，相关配件≥72个月，由乙方负责免费维护维修。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（3）保修期内的开机率，保证开机率≥95%（按工作日计算）。因设备原因导致开机率＜95%时，每超过1天，免费保修期延长5天。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（5）如配备软件系统，乙方应终身提供软件免费升级，升级必须适配原厂软件，且不得影响设备的质保。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（7）具有专用的网址或公众号等，免费在线提供临床应用培训及产品操作指导等。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（8）若设备需链接医院网络信息系统，供应商应负责设备（含软件及相关服务）与使用医院网络端口链接的相关安装及费用。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（9）提供备件送达期限：＜4天。设备停产后的备件供应：保证十年。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D、电解质分析仪（四）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（1）保修期起始日期从设备验收合格移交使用单位之日起算，保修期为：主机≥72个月，相关配件≥72个月，由乙方负责免费维护维修。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（3）保修期内的开机率，保证开机率≥95%（按工作日计算）。因设备原因导致开机率＜95%时，每超过1天，免费保修期延长5天。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（5）如配备软件系统，乙方应终身提供软件免费升级，升级必须适配原厂软件，且不得影响设备的质保。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（7）具有专用的网址或公众号等，免费在线提供临床应用培训及产品操作指导等。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（8）若设备需链接医院网络信息系统，供应商应负责设备（含软件及相关服务）与使用医院网络端口链接的相关安装及费用。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（9）提供备件送达期限：＜4天。设备停产后的备件供应：保证十年。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val="en-US" w:eastAsia="zh-CN"/>
        </w:rPr>
      </w:pPr>
    </w:p>
    <w:p>
      <w:pPr>
        <w:spacing w:line="360" w:lineRule="auto"/>
        <w:jc w:val="left"/>
        <w:outlineLvl w:val="9"/>
        <w:rPr>
          <w:rFonts w:hint="eastAsia" w:ascii="宋体" w:hAnsi="宋体" w:eastAsia="宋体" w:cs="宋体"/>
          <w:b/>
          <w:bCs/>
          <w:color w:val="auto"/>
          <w:sz w:val="28"/>
          <w:szCs w:val="28"/>
          <w:highlight w:val="none"/>
          <w:lang w:val="en-US" w:eastAsia="zh-CN"/>
        </w:rPr>
      </w:pPr>
    </w:p>
    <w:p>
      <w:pPr>
        <w:spacing w:line="360" w:lineRule="auto"/>
        <w:jc w:val="left"/>
        <w:outlineLvl w:val="9"/>
        <w:rPr>
          <w:rFonts w:hint="eastAsia" w:ascii="宋体" w:hAnsi="宋体" w:eastAsia="宋体" w:cs="宋体"/>
          <w:b/>
          <w:bCs/>
          <w:color w:val="auto"/>
          <w:sz w:val="28"/>
          <w:szCs w:val="28"/>
          <w:highlight w:val="none"/>
        </w:rPr>
      </w:pPr>
      <w:bookmarkStart w:id="38" w:name="_Toc31521"/>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、付款方式</w:t>
      </w:r>
      <w:bookmarkEnd w:id="36"/>
      <w:bookmarkEnd w:id="37"/>
      <w:bookmarkEnd w:id="38"/>
    </w:p>
    <w:p>
      <w:pPr>
        <w:spacing w:line="360" w:lineRule="auto"/>
        <w:jc w:val="left"/>
        <w:outlineLvl w:val="9"/>
        <w:rPr>
          <w:rFonts w:hint="eastAsia" w:ascii="宋体" w:hAnsi="宋体" w:eastAsia="宋体" w:cs="宋体"/>
          <w:b w:val="0"/>
          <w:bCs w:val="0"/>
          <w:color w:val="auto"/>
          <w:sz w:val="28"/>
          <w:szCs w:val="28"/>
          <w:highlight w:val="none"/>
          <w:lang w:val="en-US" w:eastAsia="zh-CN"/>
        </w:rPr>
      </w:pPr>
      <w:bookmarkStart w:id="39" w:name="_Toc23674"/>
      <w:bookmarkStart w:id="40" w:name="_Toc2938"/>
      <w:bookmarkStart w:id="41" w:name="_Toc5601"/>
      <w:r>
        <w:rPr>
          <w:rFonts w:hint="eastAsia" w:ascii="宋体" w:hAnsi="宋体" w:eastAsia="宋体" w:cs="宋体"/>
          <w:b w:val="0"/>
          <w:bCs w:val="0"/>
          <w:color w:val="auto"/>
          <w:sz w:val="28"/>
          <w:szCs w:val="28"/>
          <w:highlight w:val="none"/>
          <w:lang w:val="en-US" w:eastAsia="zh-CN"/>
        </w:rPr>
        <w:t>（1）合同签订后，设备到货且乙方提供有效的合同总价款的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如付款单位为甲方，则需提供有效的合同总价款的20%税务发票丙方签字盖章的验收报告，其余相关材料交付丙方），丙方（甲方）向乙方支付合同总价款的20%。（如使用单位为省级医疗机构则全部由甲方付款。）</w:t>
      </w:r>
      <w:bookmarkEnd w:id="39"/>
    </w:p>
    <w:p>
      <w:pPr>
        <w:spacing w:line="360" w:lineRule="auto"/>
        <w:jc w:val="left"/>
        <w:outlineLvl w:val="9"/>
        <w:rPr>
          <w:rFonts w:hint="eastAsia" w:ascii="宋体" w:hAnsi="宋体" w:eastAsia="宋体" w:cs="宋体"/>
          <w:b w:val="0"/>
          <w:bCs w:val="0"/>
          <w:color w:val="auto"/>
          <w:sz w:val="28"/>
          <w:szCs w:val="28"/>
          <w:highlight w:val="none"/>
          <w:lang w:val="en-US" w:eastAsia="zh-CN"/>
        </w:rPr>
      </w:pPr>
      <w:bookmarkStart w:id="42" w:name="_Toc6705"/>
      <w:r>
        <w:rPr>
          <w:rFonts w:hint="eastAsia" w:ascii="宋体" w:hAnsi="宋体" w:eastAsia="宋体" w:cs="宋体"/>
          <w:b w:val="0"/>
          <w:bCs w:val="0"/>
          <w:color w:val="auto"/>
          <w:sz w:val="28"/>
          <w:szCs w:val="28"/>
          <w:highlight w:val="none"/>
          <w:lang w:val="en-US" w:eastAsia="zh-CN"/>
        </w:rPr>
        <w:t>（2）设备验收合格之日起一年后，经确认乙方所提供设备无任何产品质量、售后问题，丙方退还乙方合同总价款5%的银行保函原件。</w:t>
      </w:r>
      <w:bookmarkEnd w:id="42"/>
    </w:p>
    <w:p>
      <w:pPr>
        <w:spacing w:line="360" w:lineRule="auto"/>
        <w:jc w:val="left"/>
        <w:outlineLvl w:val="9"/>
        <w:rPr>
          <w:rFonts w:hint="eastAsia" w:ascii="宋体" w:hAnsi="宋体" w:eastAsia="宋体" w:cs="宋体"/>
          <w:b w:val="0"/>
          <w:bCs w:val="0"/>
          <w:color w:val="auto"/>
          <w:sz w:val="28"/>
          <w:szCs w:val="28"/>
          <w:highlight w:val="none"/>
          <w:lang w:val="en-US" w:eastAsia="zh-CN"/>
        </w:rPr>
      </w:pPr>
      <w:bookmarkStart w:id="43" w:name="_Toc32056"/>
      <w:r>
        <w:rPr>
          <w:rFonts w:hint="eastAsia" w:ascii="宋体" w:hAnsi="宋体" w:eastAsia="宋体" w:cs="宋体"/>
          <w:b w:val="0"/>
          <w:bCs w:val="0"/>
          <w:color w:val="auto"/>
          <w:sz w:val="28"/>
          <w:szCs w:val="28"/>
          <w:highlight w:val="none"/>
          <w:lang w:val="en-US" w:eastAsia="zh-CN"/>
        </w:rPr>
        <w:t>（3）</w:t>
      </w:r>
      <w:bookmarkEnd w:id="43"/>
      <w:r>
        <w:rPr>
          <w:rFonts w:hint="eastAsia" w:ascii="宋体" w:hAnsi="宋体" w:eastAsia="宋体" w:cs="宋体"/>
          <w:b w:val="0"/>
          <w:bCs w:val="0"/>
          <w:color w:val="auto"/>
          <w:sz w:val="28"/>
          <w:szCs w:val="28"/>
          <w:highlight w:val="none"/>
          <w:lang w:val="en-US" w:eastAsia="zh-CN"/>
        </w:rPr>
        <w:t>乙方应于付款前，按照甲方及丙方的要求，提供正规的税务发票及付款所需的其他材料，未提供齐全的，付款单位有权不予支付相应款项，且无需承担违约责任。</w:t>
      </w:r>
    </w:p>
    <w:p>
      <w:pPr>
        <w:spacing w:line="360" w:lineRule="auto"/>
        <w:jc w:val="left"/>
        <w:outlineLvl w:val="9"/>
        <w:rPr>
          <w:rFonts w:hint="eastAsia" w:ascii="宋体" w:hAnsi="宋体" w:eastAsia="宋体" w:cs="宋体"/>
          <w:b/>
          <w:bCs/>
          <w:color w:val="auto"/>
          <w:sz w:val="28"/>
          <w:szCs w:val="28"/>
          <w:highlight w:val="none"/>
          <w:lang w:val="en-US" w:eastAsia="zh-CN"/>
        </w:rPr>
      </w:pPr>
      <w:bookmarkStart w:id="44" w:name="_Toc31570"/>
      <w:r>
        <w:rPr>
          <w:rFonts w:hint="eastAsia" w:ascii="宋体" w:hAnsi="宋体" w:eastAsia="宋体" w:cs="宋体"/>
          <w:b/>
          <w:bCs/>
          <w:color w:val="auto"/>
          <w:sz w:val="28"/>
          <w:szCs w:val="28"/>
          <w:highlight w:val="none"/>
          <w:lang w:val="en-US" w:eastAsia="zh-CN"/>
        </w:rPr>
        <w:t>7、所投货物（第三章采购需求-一、采购清单-采购清单表中的设备）属于二、三类医疗器械产品的须具有医疗器械注册证、医疗器械生产许可证（除进口设备外），属于第一类医疗器械的须具有医疗器械备案凭证、医疗器械生产备案凭证。（提供证书复印件，加盖公章）。</w:t>
      </w:r>
      <w:bookmarkEnd w:id="40"/>
      <w:bookmarkEnd w:id="41"/>
      <w:bookmarkEnd w:id="44"/>
    </w:p>
    <w:p>
      <w:pPr>
        <w:outlineLvl w:val="9"/>
        <w:rPr>
          <w:rFonts w:hint="default" w:asciiTheme="minorEastAsia" w:hAnsiTheme="minorEastAsia" w:eastAsiaTheme="minorEastAsia" w:cstheme="minorEastAsia"/>
          <w:b/>
          <w:bCs/>
          <w:i w:val="0"/>
          <w:iCs/>
          <w:color w:val="auto"/>
          <w:kern w:val="2"/>
          <w:sz w:val="28"/>
          <w:szCs w:val="28"/>
          <w:highlight w:val="none"/>
          <w:lang w:val="en-US" w:eastAsia="zh-CN" w:bidi="ar-SA"/>
        </w:rPr>
      </w:pPr>
      <w:r>
        <w:rPr>
          <w:rFonts w:hint="eastAsia" w:asciiTheme="minorEastAsia" w:hAnsiTheme="minorEastAsia" w:eastAsiaTheme="minorEastAsia" w:cstheme="minorEastAsia"/>
          <w:b/>
          <w:bCs/>
          <w:i w:val="0"/>
          <w:iCs/>
          <w:color w:val="auto"/>
          <w:kern w:val="2"/>
          <w:sz w:val="28"/>
          <w:szCs w:val="28"/>
          <w:highlight w:val="none"/>
          <w:lang w:val="en-US" w:eastAsia="zh-CN" w:bidi="ar-SA"/>
        </w:rPr>
        <w:t>8、所投货物为进口设备，投标人不是该设备制造商的，必须获得设备制造商或国内代理商针对本项目的直接授权并提供授权书。（</w:t>
      </w:r>
      <w:r>
        <w:rPr>
          <w:rFonts w:hint="eastAsia" w:ascii="宋体" w:hAnsi="宋体" w:eastAsia="宋体" w:cs="宋体"/>
          <w:b/>
          <w:bCs/>
          <w:color w:val="auto"/>
          <w:sz w:val="28"/>
          <w:szCs w:val="28"/>
          <w:highlight w:val="none"/>
          <w:lang w:val="en-US" w:eastAsia="zh-CN"/>
        </w:rPr>
        <w:t>适用于所投货物含进口产品的采购包）</w:t>
      </w:r>
    </w:p>
    <w:p>
      <w:pPr>
        <w:outlineLvl w:val="9"/>
        <w:rPr>
          <w:rFonts w:hint="eastAsia" w:ascii="宋体" w:hAnsi="宋体" w:eastAsia="宋体" w:cs="宋体"/>
          <w:b/>
          <w:bCs/>
          <w:color w:val="auto"/>
          <w:sz w:val="28"/>
          <w:szCs w:val="28"/>
          <w:highlight w:val="none"/>
          <w:lang w:val="en-US" w:eastAsia="zh-CN"/>
        </w:rPr>
      </w:pPr>
      <w:r>
        <w:rPr>
          <w:rFonts w:hint="eastAsia" w:asciiTheme="minorEastAsia" w:hAnsiTheme="minorEastAsia" w:eastAsiaTheme="minorEastAsia" w:cstheme="minorEastAsia"/>
          <w:b/>
          <w:bCs/>
          <w:i w:val="0"/>
          <w:iCs/>
          <w:color w:val="auto"/>
          <w:kern w:val="2"/>
          <w:sz w:val="28"/>
          <w:szCs w:val="28"/>
          <w:highlight w:val="none"/>
          <w:lang w:val="en-US" w:eastAsia="zh-CN" w:bidi="ar-SA"/>
        </w:rPr>
        <w:t>9、投标人承诺所配套使用的试剂耗材必须符合《医疗器械监督管理条例》（中华人民共和国国务院令第739号）的相关规定，合同签订前提供所有试剂耗材注册证给采购人核验。（投标人提供承诺函加盖公章，格式自拟）</w:t>
      </w:r>
    </w:p>
    <w:p>
      <w:pPr>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10、2024年超长期特别国债“以旧换新”项目医疗设备集中采购项目整体采购预算金额为145343.00万元，投标企业及产品要符合《财政部关于在政府采购活动中对自欧盟进口的医疗器械采取相关措施的通知》（财库〔2025〕19号）要求。(投标人须提供承诺函加盖公章，格式自拟)（适用于所投货物含进口产品的采购包）</w:t>
      </w:r>
    </w:p>
    <w:p>
      <w:pPr>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具体详见附件：</w:t>
      </w:r>
    </w:p>
    <w:p>
      <w:pPr>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（1）《财政部关于在政府采购活动中对自欧盟进口的医疗器械</w:t>
      </w:r>
    </w:p>
    <w:p>
      <w:pPr>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采取相关措施的通知》（财库〔2025〕19号）</w:t>
      </w:r>
    </w:p>
    <w:p>
      <w:pPr>
        <w:outlineLvl w:val="9"/>
        <w:rPr>
          <w:rFonts w:hint="default" w:eastAsia="宋体"/>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（2）《关于在政府采购活动中对自欧盟进口的医疗器械采取相关措施的通知》政策问答</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1C56C9"/>
    <w:rsid w:val="0E1C56C9"/>
    <w:rsid w:val="13DA7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customStyle="1" w:styleId="5">
    <w:name w:val="样式1"/>
    <w:basedOn w:val="1"/>
    <w:qFormat/>
    <w:uiPriority w:val="0"/>
    <w:rPr>
      <w:rFonts w:ascii="Calibri" w:hAnsi="Calibri" w:eastAsia="宋体" w:cs="Times New Roman"/>
      <w:sz w:val="44"/>
    </w:rPr>
  </w:style>
  <w:style w:type="character" w:customStyle="1" w:styleId="6">
    <w:name w:val="font21"/>
    <w:basedOn w:val="3"/>
    <w:qFormat/>
    <w:uiPriority w:val="0"/>
    <w:rPr>
      <w:rFonts w:hint="default" w:ascii="Times New Roman" w:hAnsi="Times New Roman" w:cs="Times New Roman"/>
      <w:color w:val="000000"/>
      <w:sz w:val="24"/>
      <w:szCs w:val="24"/>
      <w:u w:val="none"/>
    </w:rPr>
  </w:style>
  <w:style w:type="character" w:customStyle="1" w:styleId="7">
    <w:name w:val="font11"/>
    <w:basedOn w:val="3"/>
    <w:qFormat/>
    <w:uiPriority w:val="0"/>
    <w:rPr>
      <w:rFonts w:hint="default" w:ascii="仿宋_GB2312" w:eastAsia="仿宋_GB2312" w:cs="仿宋_GB2312"/>
      <w:color w:val="000000"/>
      <w:sz w:val="24"/>
      <w:szCs w:val="24"/>
      <w:u w:val="none"/>
    </w:rPr>
  </w:style>
  <w:style w:type="character" w:customStyle="1" w:styleId="8">
    <w:name w:val="NormalCharacter"/>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2025-09-18T03:42:00Z</dcterms:created>
  <dc:creator>Administrator</dc:creator>
  <cp:lastModifiedBy>Administrator</cp:lastModifiedBy>
  <dcterms:modified xsi:type="dcterms:W3CDTF">2025-09-18T03:43:29Z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