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-5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</w:pPr>
      <w:bookmarkStart w:id="0" w:name="_Toc27554"/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技术响应表</w:t>
      </w:r>
      <w:bookmarkEnd w:id="0"/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-第二项技术要求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填写该表。投标文件有正、负偏离均应在下表中列明。若无偏离，请标明“完全响应”。</w:t>
      </w:r>
    </w:p>
    <w:tbl>
      <w:tblPr>
        <w:tblStyle w:val="5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投标单位全称（公章）：          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auto"/>
          <w:highlight w:val="none"/>
        </w:rPr>
        <w:t>法定代表人（或授权代理人）</w:t>
      </w:r>
      <w:r>
        <w:rPr>
          <w:rFonts w:hint="eastAsia" w:ascii="仿宋" w:hAnsi="仿宋" w:eastAsia="仿宋" w:cs="仿宋"/>
          <w:color w:val="auto"/>
          <w:highlight w:val="none"/>
          <w:u w:val="single" w:color="000000"/>
        </w:rPr>
        <w:t>：（签字或盖章）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sz w:val="2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1、此表为样表，行数可自行添加，但格式不变。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、投标人在《技术偏离表》填写的“投标产品性能指标及技术参数”与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《第三章 采购需求》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的技术参数要求存在填写不全的情况，将被视为此条技术要求不响应。示例，采购需求某项技术要求共有 10 项参数，投标人只响应了 9项，填写不全，则视为此条技术要求不响应做扣分处理（技术参数中如有小项的，最小项计为1项参数）。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、投标产品的技术参数应按要求提供相应的证明资料，以证明投标人响应的真实性。证明资料包括例如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【（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）国家认可的第三方检测机构出具的检测报告；（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）技术参数确认函（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）产品彩页；（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（注：1.关境内制造的货物的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或设备说明书必须加盖制造商公章；2.关境外制造的货物的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或设备说明书必须加盖制造商或者国内代理商公章）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投标人应在“备注”一栏中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71B11"/>
    <w:rsid w:val="13DA7422"/>
    <w:rsid w:val="1FBD125B"/>
    <w:rsid w:val="62571B11"/>
    <w:rsid w:val="7896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5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758</Words>
  <Characters>766</Characters>
  <Lines>0</Lines>
  <Paragraphs>0</Paragraphs>
  <TotalTime>0</TotalTime>
  <ScaleCrop>false</ScaleCrop>
  <LinksUpToDate>false</LinksUpToDate>
  <CharactersWithSpaces>811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2025-09-17T02:47:00Z</dcterms:created>
  <dc:creator>Administrator</dc:creator>
  <cp:lastModifiedBy>Administrator</cp:lastModifiedBy>
  <dcterms:modified xsi:type="dcterms:W3CDTF">2025-09-19T11:31:51Z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14C4292368F1453BBBD2F130CD489670_12</vt:lpwstr>
  </property>
</Properties>
</file>