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D8387">
      <w:pPr>
        <w:pStyle w:val="2"/>
        <w:spacing w:before="88" w:line="223" w:lineRule="auto"/>
        <w:jc w:val="center"/>
        <w:outlineLvl w:val="0"/>
        <w:rPr>
          <w:sz w:val="43"/>
          <w:szCs w:val="43"/>
        </w:rPr>
      </w:pPr>
      <w:r>
        <w:rPr>
          <w:b/>
          <w:bCs/>
          <w:spacing w:val="2"/>
          <w:sz w:val="43"/>
          <w:szCs w:val="43"/>
        </w:rPr>
        <w:t>技术</w:t>
      </w:r>
      <w:r>
        <w:rPr>
          <w:rFonts w:hint="eastAsia"/>
          <w:b/>
          <w:bCs/>
          <w:spacing w:val="2"/>
          <w:sz w:val="43"/>
          <w:szCs w:val="43"/>
          <w:lang w:val="en-US" w:eastAsia="zh-CN"/>
        </w:rPr>
        <w:t>参数</w:t>
      </w:r>
      <w:r>
        <w:rPr>
          <w:b/>
          <w:bCs/>
          <w:spacing w:val="2"/>
          <w:sz w:val="43"/>
          <w:szCs w:val="43"/>
        </w:rPr>
        <w:t>响应表</w:t>
      </w:r>
    </w:p>
    <w:p w14:paraId="238664BE">
      <w:pPr>
        <w:spacing w:line="408" w:lineRule="auto"/>
        <w:rPr>
          <w:rFonts w:ascii="Arial"/>
          <w:sz w:val="21"/>
        </w:rPr>
      </w:pPr>
    </w:p>
    <w:p w14:paraId="7535E598">
      <w:pPr>
        <w:pStyle w:val="2"/>
        <w:spacing w:before="78" w:line="360" w:lineRule="auto"/>
        <w:ind w:left="122" w:right="112" w:firstLine="482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说明：投标人必须仔细阅读招标文件“第三章 采购需求</w:t>
      </w:r>
      <w:r>
        <w:rPr>
          <w:spacing w:val="-7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”</w:t>
      </w:r>
      <w:r>
        <w:rPr>
          <w:rFonts w:hint="eastAsia"/>
          <w:spacing w:val="-1"/>
          <w:sz w:val="20"/>
          <w:szCs w:val="20"/>
          <w:lang w:val="en-US" w:eastAsia="zh-CN"/>
        </w:rPr>
        <w:t>所投标包的设备</w:t>
      </w:r>
      <w:r>
        <w:rPr>
          <w:rFonts w:hint="eastAsia"/>
          <w:spacing w:val="-1"/>
          <w:sz w:val="20"/>
          <w:szCs w:val="20"/>
        </w:rPr>
        <w:t>技术参数</w:t>
      </w:r>
      <w:r>
        <w:rPr>
          <w:spacing w:val="-1"/>
          <w:sz w:val="20"/>
          <w:szCs w:val="20"/>
        </w:rPr>
        <w:t>要求在《技术</w:t>
      </w:r>
      <w:r>
        <w:rPr>
          <w:rFonts w:hint="eastAsia"/>
          <w:spacing w:val="-1"/>
          <w:sz w:val="20"/>
          <w:szCs w:val="20"/>
          <w:lang w:val="en-US" w:eastAsia="zh-CN"/>
        </w:rPr>
        <w:t>参数</w:t>
      </w:r>
      <w:r>
        <w:rPr>
          <w:spacing w:val="-1"/>
          <w:sz w:val="20"/>
          <w:szCs w:val="20"/>
        </w:rPr>
        <w:t>响</w:t>
      </w:r>
      <w:r>
        <w:rPr>
          <w:spacing w:val="-8"/>
          <w:sz w:val="20"/>
          <w:szCs w:val="20"/>
        </w:rPr>
        <w:t>应表》中需要进行响应的技术</w:t>
      </w:r>
      <w:r>
        <w:rPr>
          <w:rFonts w:hint="eastAsia"/>
          <w:spacing w:val="-8"/>
          <w:sz w:val="20"/>
          <w:szCs w:val="20"/>
          <w:lang w:val="en-US" w:eastAsia="zh-CN"/>
        </w:rPr>
        <w:t>参数</w:t>
      </w:r>
      <w:r>
        <w:rPr>
          <w:spacing w:val="-8"/>
          <w:sz w:val="20"/>
          <w:szCs w:val="20"/>
        </w:rPr>
        <w:t>条款，并对上述技术</w:t>
      </w:r>
      <w:r>
        <w:rPr>
          <w:rFonts w:hint="eastAsia"/>
          <w:spacing w:val="-8"/>
          <w:sz w:val="20"/>
          <w:szCs w:val="20"/>
          <w:lang w:val="en-US" w:eastAsia="zh-CN"/>
        </w:rPr>
        <w:t>参数</w:t>
      </w:r>
      <w:r>
        <w:rPr>
          <w:spacing w:val="-8"/>
          <w:sz w:val="20"/>
          <w:szCs w:val="20"/>
        </w:rPr>
        <w:t>条款的响应情况逐项列入该表，</w:t>
      </w:r>
      <w:r>
        <w:rPr>
          <w:spacing w:val="-1"/>
          <w:sz w:val="20"/>
          <w:szCs w:val="20"/>
        </w:rPr>
        <w:t>以及对其响应情况进行说明；未列入该表的视作投标人不响应。</w:t>
      </w:r>
    </w:p>
    <w:p w14:paraId="2AE456A6">
      <w:pPr>
        <w:pStyle w:val="2"/>
        <w:spacing w:before="2" w:line="330" w:lineRule="auto"/>
        <w:ind w:left="125" w:right="176" w:firstLine="480"/>
        <w:jc w:val="both"/>
        <w:rPr>
          <w:sz w:val="20"/>
          <w:szCs w:val="20"/>
        </w:rPr>
      </w:pPr>
      <w:r>
        <w:rPr>
          <w:b/>
          <w:bCs/>
          <w:spacing w:val="-20"/>
          <w:sz w:val="20"/>
          <w:szCs w:val="20"/>
        </w:rPr>
        <w:t>如带“▲</w:t>
      </w:r>
      <w:r>
        <w:rPr>
          <w:spacing w:val="-79"/>
          <w:sz w:val="20"/>
          <w:szCs w:val="20"/>
        </w:rPr>
        <w:t xml:space="preserve"> </w:t>
      </w:r>
      <w:r>
        <w:rPr>
          <w:b/>
          <w:bCs/>
          <w:spacing w:val="-20"/>
          <w:sz w:val="20"/>
          <w:szCs w:val="20"/>
        </w:rPr>
        <w:t>”或“★</w:t>
      </w:r>
      <w:r>
        <w:rPr>
          <w:spacing w:val="-86"/>
          <w:sz w:val="20"/>
          <w:szCs w:val="20"/>
        </w:rPr>
        <w:t xml:space="preserve"> </w:t>
      </w:r>
      <w:r>
        <w:rPr>
          <w:b/>
          <w:bCs/>
          <w:spacing w:val="-20"/>
          <w:sz w:val="20"/>
          <w:szCs w:val="20"/>
        </w:rPr>
        <w:t>”的指标列入下表时，必须在指标前面保留“▲</w:t>
      </w:r>
      <w:r>
        <w:rPr>
          <w:spacing w:val="-86"/>
          <w:sz w:val="20"/>
          <w:szCs w:val="20"/>
        </w:rPr>
        <w:t xml:space="preserve"> </w:t>
      </w:r>
      <w:r>
        <w:rPr>
          <w:b/>
          <w:bCs/>
          <w:spacing w:val="-20"/>
          <w:sz w:val="20"/>
          <w:szCs w:val="20"/>
        </w:rPr>
        <w:t>”或“★</w:t>
      </w:r>
      <w:r>
        <w:rPr>
          <w:spacing w:val="-88"/>
          <w:sz w:val="20"/>
          <w:szCs w:val="20"/>
        </w:rPr>
        <w:t xml:space="preserve"> </w:t>
      </w:r>
      <w:r>
        <w:rPr>
          <w:b/>
          <w:bCs/>
          <w:spacing w:val="-20"/>
          <w:sz w:val="20"/>
          <w:szCs w:val="20"/>
        </w:rPr>
        <w:t>”;</w:t>
      </w:r>
      <w:r>
        <w:rPr>
          <w:sz w:val="20"/>
          <w:szCs w:val="20"/>
        </w:rPr>
        <w:t xml:space="preserve"> </w:t>
      </w:r>
      <w:r>
        <w:rPr>
          <w:b/>
          <w:bCs/>
          <w:spacing w:val="1"/>
          <w:sz w:val="20"/>
          <w:szCs w:val="20"/>
        </w:rPr>
        <w:t>投标人必须根据标的的实际情况如实填写，评标委员会如发现有虚假描述的，</w:t>
      </w:r>
      <w:r>
        <w:rPr>
          <w:spacing w:val="11"/>
          <w:sz w:val="20"/>
          <w:szCs w:val="20"/>
        </w:rPr>
        <w:t xml:space="preserve"> </w:t>
      </w:r>
      <w:r>
        <w:rPr>
          <w:b/>
          <w:bCs/>
          <w:spacing w:val="-3"/>
          <w:sz w:val="20"/>
          <w:szCs w:val="20"/>
        </w:rPr>
        <w:t>该投标文件作无效投标文件处理。</w:t>
      </w:r>
    </w:p>
    <w:tbl>
      <w:tblPr>
        <w:tblStyle w:val="5"/>
        <w:tblW w:w="883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5"/>
        <w:gridCol w:w="1046"/>
        <w:gridCol w:w="2333"/>
        <w:gridCol w:w="1971"/>
        <w:gridCol w:w="1333"/>
        <w:gridCol w:w="1789"/>
      </w:tblGrid>
      <w:tr w14:paraId="6D7067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365" w:type="dxa"/>
            <w:shd w:val="clear" w:color="auto" w:fill="D9D9D9"/>
            <w:textDirection w:val="tbRlV"/>
            <w:vAlign w:val="center"/>
          </w:tcPr>
          <w:p w14:paraId="4702E487">
            <w:pPr>
              <w:spacing w:before="59" w:line="210" w:lineRule="auto"/>
              <w:ind w:left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6"/>
                <w:sz w:val="18"/>
                <w:szCs w:val="18"/>
              </w:rPr>
              <w:t>序号</w:t>
            </w:r>
          </w:p>
        </w:tc>
        <w:tc>
          <w:tcPr>
            <w:tcW w:w="1046" w:type="dxa"/>
            <w:shd w:val="clear" w:color="auto" w:fill="D9D9D9"/>
            <w:vAlign w:val="center"/>
          </w:tcPr>
          <w:p w14:paraId="3BC2528E">
            <w:pPr>
              <w:spacing w:before="165" w:line="22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标的名称</w:t>
            </w:r>
          </w:p>
        </w:tc>
        <w:tc>
          <w:tcPr>
            <w:tcW w:w="2333" w:type="dxa"/>
            <w:shd w:val="clear" w:color="auto" w:fill="D9D9D9"/>
            <w:vAlign w:val="center"/>
          </w:tcPr>
          <w:p w14:paraId="059F9821">
            <w:pPr>
              <w:spacing w:before="165" w:line="219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招标文件技术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val="en-US" w:eastAsia="zh-CN"/>
              </w:rPr>
              <w:t>参数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条款描述</w:t>
            </w:r>
          </w:p>
        </w:tc>
        <w:tc>
          <w:tcPr>
            <w:tcW w:w="1971" w:type="dxa"/>
            <w:shd w:val="clear" w:color="auto" w:fill="D9D9D9"/>
            <w:vAlign w:val="center"/>
          </w:tcPr>
          <w:p w14:paraId="5EC34B3F">
            <w:pPr>
              <w:spacing w:before="50" w:line="219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投标人技术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val="en-US" w:eastAsia="zh-CN"/>
              </w:rPr>
              <w:t>参数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响应情况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描述</w:t>
            </w:r>
          </w:p>
        </w:tc>
        <w:tc>
          <w:tcPr>
            <w:tcW w:w="1333" w:type="dxa"/>
            <w:shd w:val="clear" w:color="auto" w:fill="D9D9D9"/>
            <w:vAlign w:val="center"/>
          </w:tcPr>
          <w:p w14:paraId="632DB0A9">
            <w:pPr>
              <w:spacing w:before="30" w:line="230" w:lineRule="auto"/>
              <w:ind w:right="30"/>
              <w:jc w:val="center"/>
              <w:rPr>
                <w:rFonts w:ascii="宋体" w:hAnsi="宋体" w:eastAsia="宋体" w:cs="宋体"/>
                <w:spacing w:val="1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响应情况说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明</w:t>
            </w:r>
          </w:p>
          <w:p w14:paraId="74F970A1">
            <w:pPr>
              <w:spacing w:before="30" w:line="230" w:lineRule="auto"/>
              <w:ind w:right="3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＋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/=/-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）</w:t>
            </w:r>
          </w:p>
        </w:tc>
        <w:tc>
          <w:tcPr>
            <w:tcW w:w="1789" w:type="dxa"/>
            <w:shd w:val="clear" w:color="auto" w:fill="D9D9D9"/>
            <w:vAlign w:val="center"/>
          </w:tcPr>
          <w:p w14:paraId="2003B8BE">
            <w:pPr>
              <w:spacing w:before="165" w:line="221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备注</w:t>
            </w:r>
          </w:p>
        </w:tc>
      </w:tr>
      <w:tr w14:paraId="44743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365" w:type="dxa"/>
            <w:vAlign w:val="center"/>
          </w:tcPr>
          <w:p w14:paraId="666CB120">
            <w:pPr>
              <w:spacing w:before="277" w:line="241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46" w:type="dxa"/>
            <w:vAlign w:val="center"/>
          </w:tcPr>
          <w:p w14:paraId="50498731">
            <w:pPr>
              <w:pStyle w:val="6"/>
              <w:jc w:val="center"/>
            </w:pPr>
          </w:p>
        </w:tc>
        <w:tc>
          <w:tcPr>
            <w:tcW w:w="2333" w:type="dxa"/>
            <w:vAlign w:val="center"/>
          </w:tcPr>
          <w:p w14:paraId="4C32CB98">
            <w:pPr>
              <w:pStyle w:val="6"/>
              <w:jc w:val="center"/>
            </w:pPr>
          </w:p>
        </w:tc>
        <w:tc>
          <w:tcPr>
            <w:tcW w:w="1971" w:type="dxa"/>
            <w:vAlign w:val="center"/>
          </w:tcPr>
          <w:p w14:paraId="794C4AC7">
            <w:pPr>
              <w:pStyle w:val="6"/>
              <w:jc w:val="center"/>
            </w:pPr>
          </w:p>
        </w:tc>
        <w:tc>
          <w:tcPr>
            <w:tcW w:w="1333" w:type="dxa"/>
            <w:vAlign w:val="center"/>
          </w:tcPr>
          <w:p w14:paraId="56D68D87">
            <w:pPr>
              <w:pStyle w:val="6"/>
              <w:jc w:val="center"/>
            </w:pPr>
          </w:p>
        </w:tc>
        <w:tc>
          <w:tcPr>
            <w:tcW w:w="1789" w:type="dxa"/>
            <w:vAlign w:val="center"/>
          </w:tcPr>
          <w:p w14:paraId="0581CDB7">
            <w:pPr>
              <w:pStyle w:val="6"/>
              <w:jc w:val="center"/>
            </w:pPr>
          </w:p>
        </w:tc>
      </w:tr>
      <w:tr w14:paraId="459431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365" w:type="dxa"/>
            <w:vAlign w:val="center"/>
          </w:tcPr>
          <w:p w14:paraId="3F73DD0D">
            <w:pPr>
              <w:spacing w:before="273" w:line="241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46" w:type="dxa"/>
            <w:vAlign w:val="center"/>
          </w:tcPr>
          <w:p w14:paraId="775E0F68">
            <w:pPr>
              <w:pStyle w:val="6"/>
              <w:jc w:val="center"/>
            </w:pPr>
          </w:p>
        </w:tc>
        <w:tc>
          <w:tcPr>
            <w:tcW w:w="2333" w:type="dxa"/>
            <w:vAlign w:val="center"/>
          </w:tcPr>
          <w:p w14:paraId="739D01F5">
            <w:pPr>
              <w:pStyle w:val="6"/>
              <w:jc w:val="center"/>
            </w:pPr>
          </w:p>
        </w:tc>
        <w:tc>
          <w:tcPr>
            <w:tcW w:w="1971" w:type="dxa"/>
            <w:vAlign w:val="center"/>
          </w:tcPr>
          <w:p w14:paraId="41CE4D9B">
            <w:pPr>
              <w:pStyle w:val="6"/>
              <w:jc w:val="center"/>
            </w:pPr>
          </w:p>
        </w:tc>
        <w:tc>
          <w:tcPr>
            <w:tcW w:w="1333" w:type="dxa"/>
            <w:vAlign w:val="center"/>
          </w:tcPr>
          <w:p w14:paraId="3DC367C4">
            <w:pPr>
              <w:pStyle w:val="6"/>
              <w:jc w:val="center"/>
            </w:pPr>
          </w:p>
        </w:tc>
        <w:tc>
          <w:tcPr>
            <w:tcW w:w="1789" w:type="dxa"/>
            <w:vAlign w:val="center"/>
          </w:tcPr>
          <w:p w14:paraId="01AFFDCD">
            <w:pPr>
              <w:pStyle w:val="6"/>
              <w:jc w:val="center"/>
            </w:pPr>
          </w:p>
        </w:tc>
      </w:tr>
      <w:tr w14:paraId="467EC8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365" w:type="dxa"/>
            <w:vAlign w:val="center"/>
          </w:tcPr>
          <w:p w14:paraId="657AC88E">
            <w:pPr>
              <w:spacing w:before="5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46" w:type="dxa"/>
            <w:vAlign w:val="center"/>
          </w:tcPr>
          <w:p w14:paraId="0447B804">
            <w:pPr>
              <w:pStyle w:val="6"/>
              <w:jc w:val="center"/>
            </w:pPr>
          </w:p>
        </w:tc>
        <w:tc>
          <w:tcPr>
            <w:tcW w:w="2333" w:type="dxa"/>
            <w:vAlign w:val="center"/>
          </w:tcPr>
          <w:p w14:paraId="0D80B73B">
            <w:pPr>
              <w:pStyle w:val="6"/>
              <w:jc w:val="center"/>
            </w:pPr>
          </w:p>
        </w:tc>
        <w:tc>
          <w:tcPr>
            <w:tcW w:w="1971" w:type="dxa"/>
            <w:vAlign w:val="center"/>
          </w:tcPr>
          <w:p w14:paraId="191CDD49">
            <w:pPr>
              <w:pStyle w:val="6"/>
              <w:jc w:val="center"/>
            </w:pPr>
          </w:p>
        </w:tc>
        <w:tc>
          <w:tcPr>
            <w:tcW w:w="1333" w:type="dxa"/>
            <w:vAlign w:val="center"/>
          </w:tcPr>
          <w:p w14:paraId="747FE071">
            <w:pPr>
              <w:pStyle w:val="6"/>
              <w:jc w:val="center"/>
            </w:pPr>
          </w:p>
        </w:tc>
        <w:tc>
          <w:tcPr>
            <w:tcW w:w="1789" w:type="dxa"/>
            <w:vAlign w:val="center"/>
          </w:tcPr>
          <w:p w14:paraId="54CFFDFF">
            <w:pPr>
              <w:pStyle w:val="6"/>
              <w:jc w:val="center"/>
            </w:pPr>
          </w:p>
        </w:tc>
      </w:tr>
      <w:tr w14:paraId="1896D5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365" w:type="dxa"/>
            <w:vAlign w:val="center"/>
          </w:tcPr>
          <w:p w14:paraId="06359963">
            <w:pPr>
              <w:spacing w:before="118" w:line="284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2"/>
                <w:sz w:val="18"/>
                <w:szCs w:val="18"/>
              </w:rPr>
              <w:t>…</w:t>
            </w:r>
          </w:p>
        </w:tc>
        <w:tc>
          <w:tcPr>
            <w:tcW w:w="1046" w:type="dxa"/>
            <w:vAlign w:val="center"/>
          </w:tcPr>
          <w:p w14:paraId="08A978C2">
            <w:pPr>
              <w:pStyle w:val="6"/>
              <w:jc w:val="center"/>
            </w:pPr>
          </w:p>
        </w:tc>
        <w:tc>
          <w:tcPr>
            <w:tcW w:w="2333" w:type="dxa"/>
            <w:vAlign w:val="center"/>
          </w:tcPr>
          <w:p w14:paraId="0099C871">
            <w:pPr>
              <w:pStyle w:val="6"/>
              <w:jc w:val="center"/>
            </w:pPr>
          </w:p>
        </w:tc>
        <w:tc>
          <w:tcPr>
            <w:tcW w:w="1971" w:type="dxa"/>
            <w:vAlign w:val="center"/>
          </w:tcPr>
          <w:p w14:paraId="25FED441">
            <w:pPr>
              <w:pStyle w:val="6"/>
              <w:jc w:val="center"/>
            </w:pPr>
          </w:p>
        </w:tc>
        <w:tc>
          <w:tcPr>
            <w:tcW w:w="1333" w:type="dxa"/>
            <w:vAlign w:val="center"/>
          </w:tcPr>
          <w:p w14:paraId="7F793AFF">
            <w:pPr>
              <w:pStyle w:val="6"/>
              <w:jc w:val="center"/>
            </w:pPr>
          </w:p>
        </w:tc>
        <w:tc>
          <w:tcPr>
            <w:tcW w:w="1789" w:type="dxa"/>
            <w:vAlign w:val="center"/>
          </w:tcPr>
          <w:p w14:paraId="3FE8B129">
            <w:pPr>
              <w:pStyle w:val="6"/>
              <w:jc w:val="center"/>
            </w:pPr>
          </w:p>
        </w:tc>
      </w:tr>
    </w:tbl>
    <w:p w14:paraId="204250B8">
      <w:pPr>
        <w:spacing w:line="246" w:lineRule="auto"/>
        <w:rPr>
          <w:rFonts w:ascii="Arial"/>
          <w:sz w:val="21"/>
        </w:rPr>
      </w:pPr>
    </w:p>
    <w:p w14:paraId="77C0276D">
      <w:pPr>
        <w:spacing w:line="246" w:lineRule="auto"/>
        <w:rPr>
          <w:rFonts w:ascii="Arial"/>
          <w:sz w:val="21"/>
        </w:rPr>
      </w:pPr>
    </w:p>
    <w:p w14:paraId="568517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</w:pPr>
      <w:r>
        <w:rPr>
          <w:spacing w:val="-1"/>
        </w:rPr>
        <w:t>注：1.此表为表样，行数可自行添加，但表式不变。</w:t>
      </w:r>
    </w:p>
    <w:p w14:paraId="6384ED1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57"/>
        <w:textAlignment w:val="baseline"/>
        <w:rPr>
          <w:spacing w:val="-8"/>
        </w:rPr>
      </w:pPr>
      <w:r>
        <w:rPr>
          <w:rFonts w:hint="eastAsia"/>
          <w:spacing w:val="-8"/>
          <w:lang w:val="en-US" w:eastAsia="zh-CN"/>
        </w:rPr>
        <w:t>2.</w:t>
      </w:r>
      <w:r>
        <w:rPr>
          <w:spacing w:val="-8"/>
        </w:rPr>
        <w:t>招标文件“第三章 采购需求 ”未要求在该表中进行响应的技术</w:t>
      </w:r>
      <w:r>
        <w:rPr>
          <w:rFonts w:hint="eastAsia"/>
          <w:spacing w:val="-8"/>
          <w:lang w:val="en-US" w:eastAsia="zh-CN"/>
        </w:rPr>
        <w:t>参数</w:t>
      </w:r>
      <w:r>
        <w:rPr>
          <w:spacing w:val="-8"/>
        </w:rPr>
        <w:t>条款，投标人无需填写；可是，投标人根据项目情况需要添加的设备、材料、服务等请列出，但不作为无效投标的依据。</w:t>
      </w:r>
    </w:p>
    <w:p w14:paraId="1EBCE07D">
      <w:pPr>
        <w:pStyle w:val="2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60" w:leftChars="0" w:right="0" w:rightChars="0"/>
        <w:textAlignment w:val="baseline"/>
      </w:pPr>
      <w:r>
        <w:rPr>
          <w:spacing w:val="-1"/>
        </w:rPr>
        <w:t>3.请在“投标人技术</w:t>
      </w:r>
      <w:r>
        <w:rPr>
          <w:rFonts w:hint="eastAsia"/>
          <w:spacing w:val="-1"/>
          <w:lang w:val="en-US" w:eastAsia="zh-CN"/>
        </w:rPr>
        <w:t>参数</w:t>
      </w:r>
      <w:r>
        <w:rPr>
          <w:spacing w:val="-1"/>
        </w:rPr>
        <w:t>响应情况描述</w:t>
      </w:r>
      <w:r>
        <w:rPr>
          <w:spacing w:val="-66"/>
        </w:rPr>
        <w:t xml:space="preserve"> </w:t>
      </w:r>
      <w:r>
        <w:rPr>
          <w:spacing w:val="-1"/>
        </w:rPr>
        <w:t>”中列出标的的详</w:t>
      </w:r>
      <w:r>
        <w:rPr>
          <w:spacing w:val="-2"/>
        </w:rPr>
        <w:t>细参数情况。</w:t>
      </w:r>
    </w:p>
    <w:p w14:paraId="6380BB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57"/>
        <w:textAlignment w:val="baseline"/>
      </w:pPr>
      <w:r>
        <w:rPr>
          <w:spacing w:val="-8"/>
        </w:rPr>
        <w:t>4.“响应情况说明</w:t>
      </w:r>
      <w:r>
        <w:rPr>
          <w:spacing w:val="-66"/>
        </w:rPr>
        <w:t xml:space="preserve"> </w:t>
      </w:r>
      <w:r>
        <w:rPr>
          <w:spacing w:val="-8"/>
        </w:rPr>
        <w:t>”应按下列规定填写对</w:t>
      </w:r>
      <w:r>
        <w:rPr>
          <w:spacing w:val="-9"/>
        </w:rPr>
        <w:t>招标文件技术</w:t>
      </w:r>
      <w:r>
        <w:rPr>
          <w:rFonts w:hint="eastAsia"/>
          <w:spacing w:val="-9"/>
          <w:lang w:val="en-US" w:eastAsia="zh-CN"/>
        </w:rPr>
        <w:t>参数</w:t>
      </w:r>
      <w:r>
        <w:rPr>
          <w:spacing w:val="-9"/>
        </w:rPr>
        <w:t>条款的响应情况：优于的视为正偏离，填写“+</w:t>
      </w:r>
      <w:r>
        <w:rPr>
          <w:spacing w:val="-42"/>
        </w:rPr>
        <w:t xml:space="preserve"> </w:t>
      </w:r>
      <w:r>
        <w:rPr>
          <w:spacing w:val="-9"/>
        </w:rPr>
        <w:t>”</w:t>
      </w:r>
      <w:r>
        <w:rPr>
          <w:rFonts w:hint="eastAsia"/>
          <w:spacing w:val="-9"/>
          <w:lang w:eastAsia="zh-CN"/>
        </w:rPr>
        <w:t>；</w:t>
      </w:r>
      <w:r>
        <w:t xml:space="preserve"> </w:t>
      </w:r>
      <w:r>
        <w:rPr>
          <w:spacing w:val="-4"/>
        </w:rPr>
        <w:t>符合的视为满足，填写“=</w:t>
      </w:r>
      <w:r>
        <w:rPr>
          <w:spacing w:val="-65"/>
        </w:rPr>
        <w:t xml:space="preserve"> </w:t>
      </w:r>
      <w:r>
        <w:rPr>
          <w:spacing w:val="-4"/>
        </w:rPr>
        <w:t>”；低于的视为负偏离或不</w:t>
      </w:r>
      <w:r>
        <w:rPr>
          <w:spacing w:val="-5"/>
        </w:rPr>
        <w:t>满足，填写“-</w:t>
      </w:r>
      <w:r>
        <w:rPr>
          <w:spacing w:val="-65"/>
        </w:rPr>
        <w:t xml:space="preserve"> </w:t>
      </w:r>
      <w:r>
        <w:rPr>
          <w:spacing w:val="-5"/>
        </w:rPr>
        <w:t>”；如不按规定填写或不填写的，均视</w:t>
      </w:r>
      <w:r>
        <w:rPr>
          <w:spacing w:val="-2"/>
        </w:rPr>
        <w:t>为不响应。</w:t>
      </w:r>
    </w:p>
    <w:p w14:paraId="3AB57D4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59"/>
        <w:textAlignment w:val="baseline"/>
        <w:rPr>
          <w:rFonts w:hint="eastAsia"/>
          <w:spacing w:val="-5"/>
        </w:rPr>
      </w:pPr>
      <w:r>
        <w:rPr>
          <w:spacing w:val="-5"/>
        </w:rPr>
        <w:t>5.</w:t>
      </w:r>
      <w:r>
        <w:rPr>
          <w:rFonts w:hint="eastAsia"/>
          <w:spacing w:val="-5"/>
        </w:rPr>
        <w:t>投标人在《技术参数响应表》填写的“投标人技术参数响应情况描述”与《第三章 采购需求》的技术参数要求存在填写不全的情况，将被视为此条技术</w:t>
      </w:r>
      <w:r>
        <w:rPr>
          <w:rFonts w:hint="eastAsia"/>
          <w:spacing w:val="-5"/>
          <w:lang w:val="en-US" w:eastAsia="zh-CN"/>
        </w:rPr>
        <w:t>参数</w:t>
      </w:r>
      <w:r>
        <w:rPr>
          <w:rFonts w:hint="eastAsia"/>
          <w:spacing w:val="-5"/>
        </w:rPr>
        <w:t>要求不响应。示例，采购需求某项技术要求共有10项参数，投标人只响应了9项，填写不全，则视为此条技术要求不响应做扣分处理（技术参数中如有小项的，最小项计为1项参数）。</w:t>
      </w:r>
    </w:p>
    <w:p w14:paraId="449A6A7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59"/>
        <w:textAlignment w:val="baseline"/>
        <w:rPr>
          <w:spacing w:val="-1"/>
        </w:rPr>
      </w:pPr>
      <w:r>
        <w:rPr>
          <w:rFonts w:hint="eastAsia"/>
          <w:spacing w:val="-5"/>
          <w:lang w:val="en-US" w:eastAsia="zh-CN"/>
        </w:rPr>
        <w:t>6.</w:t>
      </w:r>
      <w:r>
        <w:rPr>
          <w:spacing w:val="-5"/>
        </w:rPr>
        <w:t>招标文件有标注“★</w:t>
      </w:r>
      <w:r>
        <w:rPr>
          <w:spacing w:val="-51"/>
        </w:rPr>
        <w:t xml:space="preserve"> </w:t>
      </w:r>
      <w:r>
        <w:rPr>
          <w:spacing w:val="-5"/>
        </w:rPr>
        <w:t>”条款的为实质性条款，若有任何一条负偏离或不满足则导致投标无效。非“★</w:t>
      </w:r>
      <w:r>
        <w:rPr>
          <w:spacing w:val="-66"/>
        </w:rPr>
        <w:t xml:space="preserve"> </w:t>
      </w:r>
      <w:r>
        <w:rPr>
          <w:spacing w:val="-5"/>
        </w:rPr>
        <w:t>”</w:t>
      </w:r>
      <w:r>
        <w:t xml:space="preserve"> 号条款未响应或不满足（负偏离</w:t>
      </w:r>
      <w:r>
        <w:rPr>
          <w:spacing w:val="-43"/>
        </w:rPr>
        <w:t>），</w:t>
      </w:r>
      <w:r>
        <w:t>将根据评审要</w:t>
      </w:r>
      <w:r>
        <w:rPr>
          <w:spacing w:val="-1"/>
        </w:rPr>
        <w:t>求影响其得分，但不作为无效投标条款。</w:t>
      </w:r>
    </w:p>
    <w:p w14:paraId="09D7D7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59"/>
        <w:textAlignment w:val="baseline"/>
      </w:pPr>
      <w:r>
        <w:rPr>
          <w:rFonts w:hint="eastAsia"/>
          <w:spacing w:val="-1"/>
          <w:lang w:val="en-US" w:eastAsia="zh-CN"/>
        </w:rPr>
        <w:t>7.</w:t>
      </w:r>
      <w:r>
        <w:rPr>
          <w:rFonts w:hint="eastAsia"/>
          <w:spacing w:val="-1"/>
        </w:rPr>
        <w:t>投标产品的技术参数应按要求提供相应的证明资料，以证明投标人响应的真实性。证明资料包括例如【（1）国家认可的第三方检测机构出具的检测报告；（2）货物制造商盖章的技术参数确认函（格式自拟）；（3）产品彩页；（4）货物制造商盖章的产品白皮书或设备说明书。】。投标人应在“备注”一栏中列出技术参数的证明资料名称，并指明该证明资料在投标文件中的具体位置。提供的证明资料显示产品参数信息不符合招标文件要求的，如果投标人响应情况说明为“</w:t>
      </w:r>
      <w:r>
        <w:rPr>
          <w:rFonts w:hint="eastAsia"/>
          <w:spacing w:val="-1"/>
          <w:lang w:val="en-US" w:eastAsia="zh-CN"/>
        </w:rPr>
        <w:t>满足</w:t>
      </w:r>
      <w:r>
        <w:rPr>
          <w:rFonts w:hint="eastAsia"/>
          <w:spacing w:val="-1"/>
        </w:rPr>
        <w:t>或正偏离”的，则应判断为负偏离；提供的证明材料模糊不清，导致评审专家无法判断的，如果投标人响应情况说明为“</w:t>
      </w:r>
      <w:r>
        <w:rPr>
          <w:rFonts w:hint="eastAsia"/>
          <w:spacing w:val="-1"/>
          <w:lang w:val="en-US" w:eastAsia="zh-CN"/>
        </w:rPr>
        <w:t>满足</w:t>
      </w:r>
      <w:r>
        <w:rPr>
          <w:rFonts w:hint="eastAsia"/>
          <w:spacing w:val="-1"/>
        </w:rPr>
        <w:t>或正偏离”</w:t>
      </w:r>
      <w:bookmarkStart w:id="0" w:name="_GoBack"/>
      <w:bookmarkEnd w:id="0"/>
      <w:r>
        <w:rPr>
          <w:rFonts w:hint="eastAsia"/>
          <w:spacing w:val="-1"/>
        </w:rPr>
        <w:t>的，则应判断为负偏离。若未要求提供相应证明材料的，投标人可以不提供。</w:t>
      </w:r>
    </w:p>
    <w:p w14:paraId="76BC75E5">
      <w:pPr>
        <w:spacing w:line="314" w:lineRule="auto"/>
        <w:rPr>
          <w:rFonts w:ascii="Arial"/>
          <w:sz w:val="21"/>
        </w:rPr>
      </w:pPr>
    </w:p>
    <w:p w14:paraId="278F2AD2">
      <w:pPr>
        <w:pStyle w:val="2"/>
        <w:spacing w:before="58" w:line="219" w:lineRule="auto"/>
        <w:rPr>
          <w:spacing w:val="-2"/>
        </w:rPr>
      </w:pPr>
    </w:p>
    <w:p w14:paraId="58B24EAE">
      <w:pPr>
        <w:pStyle w:val="2"/>
        <w:spacing w:before="58" w:line="219" w:lineRule="auto"/>
        <w:rPr>
          <w:spacing w:val="-2"/>
        </w:rPr>
      </w:pPr>
    </w:p>
    <w:p w14:paraId="5EF9D9A8">
      <w:pPr>
        <w:pStyle w:val="2"/>
        <w:spacing w:before="58" w:line="219" w:lineRule="auto"/>
        <w:rPr>
          <w:spacing w:val="-2"/>
        </w:rPr>
      </w:pPr>
    </w:p>
    <w:p w14:paraId="61BA4A95">
      <w:pPr>
        <w:pStyle w:val="2"/>
        <w:spacing w:before="58" w:line="219" w:lineRule="auto"/>
        <w:ind w:firstLine="5808" w:firstLineChars="3300"/>
        <w:rPr>
          <w:rFonts w:hint="default" w:eastAsia="宋体"/>
          <w:u w:val="single"/>
          <w:lang w:val="en-US" w:eastAsia="zh-CN"/>
        </w:rPr>
      </w:pPr>
      <w:r>
        <w:rPr>
          <w:spacing w:val="-2"/>
        </w:rPr>
        <w:t>投标人全称（公章</w:t>
      </w:r>
      <w:r>
        <w:rPr>
          <w:spacing w:val="-49"/>
        </w:rPr>
        <w:t>）：</w:t>
      </w:r>
      <w:r>
        <w:rPr>
          <w:rFonts w:hint="eastAsia"/>
          <w:spacing w:val="-49"/>
          <w:u w:val="single"/>
          <w:lang w:val="en-US" w:eastAsia="zh-CN"/>
        </w:rPr>
        <w:t xml:space="preserve">                  </w:t>
      </w: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C767E3"/>
    <w:rsid w:val="0AF06468"/>
    <w:rsid w:val="0F71038E"/>
    <w:rsid w:val="12B66520"/>
    <w:rsid w:val="137A57A0"/>
    <w:rsid w:val="17C81174"/>
    <w:rsid w:val="1EBC3110"/>
    <w:rsid w:val="35F5126F"/>
    <w:rsid w:val="482A083B"/>
    <w:rsid w:val="50CE26AB"/>
    <w:rsid w:val="57B974E6"/>
    <w:rsid w:val="5E2225AE"/>
    <w:rsid w:val="5FEB0458"/>
    <w:rsid w:val="6B7A6841"/>
    <w:rsid w:val="792902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586</Words>
  <Characters>594</Characters>
  <TotalTime>0</TotalTime>
  <ScaleCrop>false</ScaleCrop>
  <LinksUpToDate>false</LinksUpToDate>
  <CharactersWithSpaces>632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2025-07-03T11:21:00Z</dcterms:created>
  <dc:creator>JIAO</dc:creator>
  <cp:lastModifiedBy>miss</cp:lastModifiedBy>
  <dcterms:modified xsi:type="dcterms:W3CDTF">2025-07-11T06:37:02Z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2025-07-11T14:22:07Z</vt:filetime>
  </property>
  <property fmtid="{D5CDD505-2E9C-101B-9397-08002B2CF9AE}" pid="4" name="KSOTemplateDocerSaveRecord">
    <vt:lpwstr>eyJoZGlkIjoiNTZkZDk5MmMzYTZhZGI3M2JmMDQ3MjliNmUxOWEzMmUiLCJ1c2VySWQiOiIzMDUyNzYyMTQifQ==</vt:lpwstr>
  </property>
  <property fmtid="{D5CDD505-2E9C-101B-9397-08002B2CF9AE}" pid="5" name="KSOProductBuildVer">
    <vt:lpwstr>2052-12.1.0.21915</vt:lpwstr>
  </property>
  <property fmtid="{D5CDD505-2E9C-101B-9397-08002B2CF9AE}" pid="6" name="ICV">
    <vt:lpwstr>EFC74236A2A24B10838E25BE5C5E9272_12</vt:lpwstr>
  </property>
</Properties>
</file>