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HNJY2025【71】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29,915,000.00元</w:t>
      </w:r>
      <w:r>
        <w:rPr>
          <w:rFonts w:ascii="仿宋_GB2312" w:hAnsi="仿宋_GB2312" w:cs="仿宋_GB2312" w:eastAsia="仿宋_GB2312"/>
        </w:rPr>
        <w:t>贰仟玖佰玖拾壹万伍仟元整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采购包2：2,000,000.00元</w:t>
            </w:r>
          </w:p>
          <w:p>
            <w:pPr>
              <w:pStyle w:val="null3"/>
              <w:jc w:val="left"/>
            </w:pPr>
            <w:r>
              <w:rPr>
                <w:rFonts w:ascii="仿宋_GB2312" w:hAnsi="仿宋_GB2312" w:cs="仿宋_GB2312" w:eastAsia="仿宋_GB2312"/>
              </w:rPr>
              <w:t>采购包3：3,000,000.00元</w:t>
            </w:r>
          </w:p>
          <w:p>
            <w:pPr>
              <w:pStyle w:val="null3"/>
              <w:jc w:val="left"/>
            </w:pPr>
            <w:r>
              <w:rPr>
                <w:rFonts w:ascii="仿宋_GB2312" w:hAnsi="仿宋_GB2312" w:cs="仿宋_GB2312" w:eastAsia="仿宋_GB2312"/>
              </w:rPr>
              <w:t>采购包4：240,000.00元</w:t>
            </w:r>
          </w:p>
          <w:p>
            <w:pPr>
              <w:pStyle w:val="null3"/>
              <w:jc w:val="left"/>
            </w:pPr>
            <w:r>
              <w:rPr>
                <w:rFonts w:ascii="仿宋_GB2312" w:hAnsi="仿宋_GB2312" w:cs="仿宋_GB2312" w:eastAsia="仿宋_GB2312"/>
              </w:rPr>
              <w:t>采购包5：2,100,000.00元</w:t>
            </w:r>
          </w:p>
          <w:p>
            <w:pPr>
              <w:pStyle w:val="null3"/>
              <w:jc w:val="left"/>
            </w:pPr>
            <w:r>
              <w:rPr>
                <w:rFonts w:ascii="仿宋_GB2312" w:hAnsi="仿宋_GB2312" w:cs="仿宋_GB2312" w:eastAsia="仿宋_GB2312"/>
              </w:rPr>
              <w:t>采购包6：1,800,000.00元</w:t>
            </w:r>
          </w:p>
          <w:p>
            <w:pPr>
              <w:pStyle w:val="null3"/>
              <w:jc w:val="left"/>
            </w:pPr>
            <w:r>
              <w:rPr>
                <w:rFonts w:ascii="仿宋_GB2312" w:hAnsi="仿宋_GB2312" w:cs="仿宋_GB2312" w:eastAsia="仿宋_GB2312"/>
              </w:rPr>
              <w:t>采购包7：8,232,000.00元</w:t>
            </w:r>
          </w:p>
          <w:p>
            <w:pPr>
              <w:pStyle w:val="null3"/>
              <w:jc w:val="left"/>
            </w:pPr>
            <w:r>
              <w:rPr>
                <w:rFonts w:ascii="仿宋_GB2312" w:hAnsi="仿宋_GB2312" w:cs="仿宋_GB2312" w:eastAsia="仿宋_GB2312"/>
              </w:rPr>
              <w:t>采购包8：12,000,000.00元</w:t>
            </w:r>
          </w:p>
          <w:p>
            <w:pPr>
              <w:pStyle w:val="null3"/>
              <w:jc w:val="left"/>
            </w:pPr>
            <w:r>
              <w:rPr>
                <w:rFonts w:ascii="仿宋_GB2312" w:hAnsi="仿宋_GB2312" w:cs="仿宋_GB2312" w:eastAsia="仿宋_GB2312"/>
              </w:rPr>
              <w:t>采购包9：243,000.00元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各包中标（成交）金额为计费基数，按照《海南省物价局关于降低部分招标代理服务收费标准的通知》（琼价费管〔2011〕225号）文件规定的收费标准执行，由各包中标人（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本项目可兼投9包，本项目可兼中9包。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 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 具体详见附件： 1.《财政部关于在政府采购活动中对自欧盟进口的医疗器械采取相关措施的通知》（财库〔2025〕19号） 2.《关于在政府采购活动中对自欧盟进口的医疗器械采取相关措施的通知》政策问答。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2024年超长期特别国债“以旧换新”项目医疗设备集中采购</w:t>
      </w:r>
      <w:r>
        <w:rPr>
          <w:rFonts w:ascii="仿宋_GB2312" w:hAnsi="仿宋_GB2312" w:cs="仿宋_GB2312" w:eastAsia="仿宋_GB2312"/>
          <w:sz w:val="24"/>
        </w:rPr>
        <w:t>（三十六）</w:t>
      </w:r>
    </w:p>
    <w:p>
      <w:pPr>
        <w:pStyle w:val="null3"/>
        <w:ind w:firstLine="480"/>
        <w:jc w:val="both"/>
      </w:pPr>
      <w:r>
        <w:rPr>
          <w:rFonts w:ascii="仿宋_GB2312" w:hAnsi="仿宋_GB2312" w:cs="仿宋_GB2312" w:eastAsia="仿宋_GB2312"/>
          <w:sz w:val="24"/>
        </w:rPr>
        <w:t>2.预算金额：</w:t>
      </w:r>
      <w:r>
        <w:rPr>
          <w:rFonts w:ascii="仿宋_GB2312" w:hAnsi="仿宋_GB2312" w:cs="仿宋_GB2312" w:eastAsia="仿宋_GB2312"/>
          <w:sz w:val="24"/>
        </w:rPr>
        <w:t>本项目总预算</w:t>
      </w:r>
      <w:r>
        <w:rPr>
          <w:rFonts w:ascii="仿宋_GB2312" w:hAnsi="仿宋_GB2312" w:cs="仿宋_GB2312" w:eastAsia="仿宋_GB2312"/>
          <w:sz w:val="24"/>
        </w:rPr>
        <w:t>¥</w:t>
      </w:r>
      <w:r>
        <w:rPr>
          <w:rFonts w:ascii="仿宋_GB2312" w:hAnsi="仿宋_GB2312" w:cs="仿宋_GB2312" w:eastAsia="仿宋_GB2312"/>
          <w:sz w:val="24"/>
        </w:rPr>
        <w:t>2991.5</w:t>
      </w:r>
      <w:r>
        <w:rPr>
          <w:rFonts w:ascii="仿宋_GB2312" w:hAnsi="仿宋_GB2312" w:cs="仿宋_GB2312" w:eastAsia="仿宋_GB2312"/>
          <w:sz w:val="24"/>
        </w:rPr>
        <w:t>万元（其中</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1</w:t>
      </w:r>
      <w:r>
        <w:rPr>
          <w:rFonts w:ascii="仿宋_GB2312" w:hAnsi="仿宋_GB2312" w:cs="仿宋_GB2312" w:eastAsia="仿宋_GB2312"/>
          <w:sz w:val="24"/>
        </w:rPr>
        <w:t>预算：</w:t>
      </w:r>
      <w:r>
        <w:rPr>
          <w:rFonts w:ascii="仿宋_GB2312" w:hAnsi="仿宋_GB2312" w:cs="仿宋_GB2312" w:eastAsia="仿宋_GB2312"/>
          <w:sz w:val="24"/>
        </w:rPr>
        <w:t>30.00万元、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2</w:t>
      </w:r>
      <w:r>
        <w:rPr>
          <w:rFonts w:ascii="仿宋_GB2312" w:hAnsi="仿宋_GB2312" w:cs="仿宋_GB2312" w:eastAsia="仿宋_GB2312"/>
          <w:sz w:val="24"/>
        </w:rPr>
        <w:t>预算：</w:t>
      </w:r>
      <w:r>
        <w:rPr>
          <w:rFonts w:ascii="仿宋_GB2312" w:hAnsi="仿宋_GB2312" w:cs="仿宋_GB2312" w:eastAsia="仿宋_GB2312"/>
          <w:sz w:val="24"/>
        </w:rPr>
        <w:t>200.00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3</w:t>
      </w:r>
      <w:r>
        <w:rPr>
          <w:rFonts w:ascii="仿宋_GB2312" w:hAnsi="仿宋_GB2312" w:cs="仿宋_GB2312" w:eastAsia="仿宋_GB2312"/>
          <w:sz w:val="24"/>
        </w:rPr>
        <w:t>预算：</w:t>
      </w:r>
      <w:r>
        <w:rPr>
          <w:rFonts w:ascii="仿宋_GB2312" w:hAnsi="仿宋_GB2312" w:cs="仿宋_GB2312" w:eastAsia="仿宋_GB2312"/>
          <w:sz w:val="24"/>
        </w:rPr>
        <w:t>300.00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4</w:t>
      </w:r>
      <w:r>
        <w:rPr>
          <w:rFonts w:ascii="仿宋_GB2312" w:hAnsi="仿宋_GB2312" w:cs="仿宋_GB2312" w:eastAsia="仿宋_GB2312"/>
          <w:sz w:val="24"/>
        </w:rPr>
        <w:t>预算：</w:t>
      </w:r>
      <w:r>
        <w:rPr>
          <w:rFonts w:ascii="仿宋_GB2312" w:hAnsi="仿宋_GB2312" w:cs="仿宋_GB2312" w:eastAsia="仿宋_GB2312"/>
          <w:sz w:val="24"/>
        </w:rPr>
        <w:t>24.00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5</w:t>
      </w:r>
      <w:r>
        <w:rPr>
          <w:rFonts w:ascii="仿宋_GB2312" w:hAnsi="仿宋_GB2312" w:cs="仿宋_GB2312" w:eastAsia="仿宋_GB2312"/>
          <w:sz w:val="24"/>
        </w:rPr>
        <w:t>预算：</w:t>
      </w:r>
      <w:r>
        <w:rPr>
          <w:rFonts w:ascii="仿宋_GB2312" w:hAnsi="仿宋_GB2312" w:cs="仿宋_GB2312" w:eastAsia="仿宋_GB2312"/>
          <w:sz w:val="24"/>
        </w:rPr>
        <w:t>210.00</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6</w:t>
      </w:r>
      <w:r>
        <w:rPr>
          <w:rFonts w:ascii="仿宋_GB2312" w:hAnsi="仿宋_GB2312" w:cs="仿宋_GB2312" w:eastAsia="仿宋_GB2312"/>
          <w:sz w:val="24"/>
        </w:rPr>
        <w:t>预算：</w:t>
      </w:r>
      <w:r>
        <w:rPr>
          <w:rFonts w:ascii="仿宋_GB2312" w:hAnsi="仿宋_GB2312" w:cs="仿宋_GB2312" w:eastAsia="仿宋_GB2312"/>
          <w:sz w:val="24"/>
        </w:rPr>
        <w:t>180.00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7</w:t>
      </w:r>
      <w:r>
        <w:rPr>
          <w:rFonts w:ascii="仿宋_GB2312" w:hAnsi="仿宋_GB2312" w:cs="仿宋_GB2312" w:eastAsia="仿宋_GB2312"/>
          <w:sz w:val="24"/>
        </w:rPr>
        <w:t>预算：</w:t>
      </w:r>
      <w:r>
        <w:rPr>
          <w:rFonts w:ascii="仿宋_GB2312" w:hAnsi="仿宋_GB2312" w:cs="仿宋_GB2312" w:eastAsia="仿宋_GB2312"/>
          <w:sz w:val="24"/>
        </w:rPr>
        <w:t>823.20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8</w:t>
      </w:r>
      <w:r>
        <w:rPr>
          <w:rFonts w:ascii="仿宋_GB2312" w:hAnsi="仿宋_GB2312" w:cs="仿宋_GB2312" w:eastAsia="仿宋_GB2312"/>
          <w:sz w:val="24"/>
        </w:rPr>
        <w:t>预算：</w:t>
      </w:r>
      <w:r>
        <w:rPr>
          <w:rFonts w:ascii="仿宋_GB2312" w:hAnsi="仿宋_GB2312" w:cs="仿宋_GB2312" w:eastAsia="仿宋_GB2312"/>
          <w:sz w:val="24"/>
        </w:rPr>
        <w:t>1200.00</w:t>
      </w:r>
      <w:r>
        <w:rPr>
          <w:rFonts w:ascii="仿宋_GB2312" w:hAnsi="仿宋_GB2312" w:cs="仿宋_GB2312" w:eastAsia="仿宋_GB2312"/>
          <w:sz w:val="24"/>
        </w:rPr>
        <w:t>万元、</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9</w:t>
      </w:r>
      <w:r>
        <w:rPr>
          <w:rFonts w:ascii="仿宋_GB2312" w:hAnsi="仿宋_GB2312" w:cs="仿宋_GB2312" w:eastAsia="仿宋_GB2312"/>
          <w:sz w:val="24"/>
        </w:rPr>
        <w:t>预算：</w:t>
      </w:r>
      <w:r>
        <w:rPr>
          <w:rFonts w:ascii="仿宋_GB2312" w:hAnsi="仿宋_GB2312" w:cs="仿宋_GB2312" w:eastAsia="仿宋_GB2312"/>
          <w:sz w:val="24"/>
        </w:rPr>
        <w:t>24.30</w:t>
      </w:r>
      <w:r>
        <w:rPr>
          <w:rFonts w:ascii="仿宋_GB2312" w:hAnsi="仿宋_GB2312" w:cs="仿宋_GB2312" w:eastAsia="仿宋_GB2312"/>
          <w:sz w:val="24"/>
        </w:rPr>
        <w:t>万元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细菌测定系统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全自动鉴定药敏分析系统（一）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全自动鉴定药敏分析系统（二）</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血液细胞分析仪（一）</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血液细胞分析仪（二）</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血液细胞分析仪（三）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8,232,000.00</w:t>
      </w:r>
    </w:p>
    <w:p>
      <w:pPr>
        <w:pStyle w:val="null3"/>
        <w:jc w:val="left"/>
      </w:pPr>
      <w:r>
        <w:rPr>
          <w:rFonts w:ascii="仿宋_GB2312" w:hAnsi="仿宋_GB2312" w:cs="仿宋_GB2312" w:eastAsia="仿宋_GB2312"/>
        </w:rPr>
        <w:t>采购包最高限价（元）: 8,232,000.00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全自动血细胞分析流水线（一）</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8,232,000.00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12,000,000.00</w:t>
      </w:r>
    </w:p>
    <w:p>
      <w:pPr>
        <w:pStyle w:val="null3"/>
        <w:jc w:val="left"/>
      </w:pPr>
      <w:r>
        <w:rPr>
          <w:rFonts w:ascii="仿宋_GB2312" w:hAnsi="仿宋_GB2312" w:cs="仿宋_GB2312" w:eastAsia="仿宋_GB2312"/>
        </w:rPr>
        <w:t>采购包最高限价（元）: 12,000,000.00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全自动血细胞分析流水线（二）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243,000.00</w:t>
      </w:r>
    </w:p>
    <w:p>
      <w:pPr>
        <w:pStyle w:val="null3"/>
        <w:jc w:val="left"/>
      </w:pPr>
      <w:r>
        <w:rPr>
          <w:rFonts w:ascii="仿宋_GB2312" w:hAnsi="仿宋_GB2312" w:cs="仿宋_GB2312" w:eastAsia="仿宋_GB2312"/>
        </w:rPr>
        <w:t>采购包最高限价（元）: 243,000.00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医用纯水机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超纯水机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细菌测定系统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全自动鉴定药敏分析系统（一）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全自动鉴定药敏分析系统（二）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血液细胞分析仪（一）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血液细胞分析仪（二）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血液细胞分析仪（三）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全自动血细胞分析流水线（一）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全自动血细胞分析流水线（二）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医用纯水机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超纯水机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标的名称：细菌测定系统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标的名称：全自动鉴定药敏分析系统（一）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标的名称：全自动鉴定药敏分析系统（二）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标的名称：血液细胞分析仪（一）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标的名称：血液细胞分析仪（二）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标的名称：血液细胞分析仪（三）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标的名称：全自动血细胞分析流水线（一）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标的名称：全自动血细胞分析流水线（二）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标的名称：医用纯水机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投标企业及产品符合性</w:t>
            </w:r>
          </w:p>
        </w:tc>
        <w:tc>
          <w:tcPr>
            <w:tcW w:type="dxa" w:w="3322"/>
          </w:tcPr>
          <w:p>
            <w:pPr>
              <w:pStyle w:val="null3"/>
              <w:jc w:val="left"/>
            </w:pPr>
            <w:r>
              <w:rPr>
                <w:rFonts w:ascii="仿宋_GB2312" w:hAnsi="仿宋_GB2312" w:cs="仿宋_GB2312" w:eastAsia="仿宋_GB2312"/>
              </w:rPr>
              <w:t>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 具体详见附件： 1.《财政部关于在政府采购活动中对自欧盟进口的医疗器械 采取相关措施的通知》（财库〔2025〕19号） 2.《关于在政府采购活动中对自欧盟进口的医疗器械采取相关措施的通知》政策问答</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号的其他参数）的响应共15条，完全满足得45分； 每负偏离一条扣3分。一般参数（非▲号、★号的其他指标）应在投标文件中提供货物制造商盖章的技术参数承诺函（格式详见第六章投标文件格式要求-技术参数承诺函），否则视为负偏离。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证明材料：提供鉴定和药敏配套试剂耗材耗占比（格式自拟，占比应为唯一值；以二级医院收费为测算标准）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1、重要技术参数（标▲号）共2条，完全满足得9.8分，每负偏离一项扣4.9分。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9.8000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号的其他参数）的响应共11条，完全满足得35.2分； 每负偏离一条扣3.2分。一般参数（非▲号、★号的其他指标）应在投标文件中提供货物制造商盖章的技术参数承诺函，否则视为负偏离。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35.2000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证明材料：提供鉴定和药敏配套试剂耗材耗占比（格式自拟，占比应为唯一值；以二级医院收费为测算标准）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号的其他参数）的响应共9条，完全满足得45分； 每负偏离一条扣5分。一般参数（非▲号、★号的其他指标）应在投标文件中提供货物制造商盖章的技术参数承诺函，否则视为负偏离。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证明材料：提供鉴定和药敏配套试剂耗材耗占比（格式自拟，占比应为唯一值；以二级医院收费为测算标准）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号的其他参数）的响应共17条，完全满足得44.2分； 每负偏离一条扣2.6分。一般参数（非▲号、★号的其他指标）应在投标文件中提供货物制造商盖章的技术参数承诺函，否则视为负偏离。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44.2000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试剂耗材占比：25%（含）以下得5.8分；25%（不含）-30%（含）得4.35分；30%（不含）-35%（含）得2.9分；35%（不含）-40%（含）得1.45分；40%（不含）以上和不提供均不得分； 证明材料：提供血细胞分析项目（五分类）配套试剂耗材耗占比（格式自拟，占比应为唯一值；以二级医院收费为测算标准）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1、重要技术参数（标▲号）共1条，完全满足得5.8分，每负偏离一项扣5.8分。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5.8000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号的其他参数）的响应共49条，完全满足得39.2分； 每负偏离一条扣0.8分。一般参数（非▲号、★号的其他指标）应在投标文件中提供货物制造商盖章的技术参数承诺函，否则视为负偏离。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39.2000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证明材料：提供血细胞分析项目（五分类）配套试剂耗材耗占比（格式自拟，占比应为唯一值；以二级医院收费为测算标准）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1、重要技术参数（标▲号）共3条，完全满足得7.2分，每负偏离一项扣2.4分。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7.2000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号的其他参数）的响应共42条，完全满足得37.8分； 每负偏离一条扣0.9分。一般参数（非▲号、★号的其他指标）应在投标文件中提供货物制造商盖章的技术参数承诺函，否则视为负偏离。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证明材料：提供血细胞分析项目（五分类）配套试剂耗材耗占比（格式自拟，占比应为唯一值；以二级医院收费为测算标准）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号的其他参数）的响应共22条，完全满足得44分； 每负偏离一条扣2分。一般参数（非▲号、★号的其他指标）应在投标文件中提供货物制造商盖章的技术参数承诺函，否则视为负偏离。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试剂耗材占比：25%（含）以下得6分；25%（不含）-30%（含）得4.5分；30%（不含）-35%（含）得3分；35%（不含）-40%（含）得1.5分；40%（不含）以上和不提供均不得分； 证明材料：提供血细胞分析项目（五分类）配套试剂耗材耗占比（格式自拟，占比应为唯一值；以二级医院收费为测算标准）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1、重要技术参数（标▲号）共4条，完全满足得10.2分，每负偏离一项扣2.55分。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10.2000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号的其他参数）的响应共116条，完全满足得34.8分； 每负偏离一条扣0.3分。一般参数（非▲号、★号的其他指标）应在投标文件中提供货物制造商盖章的技术参数承诺函，否则视为负偏离。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34.8000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配套试剂耗占比</w:t>
            </w:r>
          </w:p>
        </w:tc>
        <w:tc>
          <w:tcPr>
            <w:tcW w:type="dxa" w:w="2492"/>
          </w:tcPr>
          <w:p>
            <w:pPr>
              <w:pStyle w:val="null3"/>
              <w:jc w:val="both"/>
            </w:pPr>
            <w:r>
              <w:rPr>
                <w:rFonts w:ascii="仿宋_GB2312" w:hAnsi="仿宋_GB2312" w:cs="仿宋_GB2312" w:eastAsia="仿宋_GB2312"/>
              </w:rPr>
              <w:t>试剂耗材占比：25%（含）以下得5分；25%（不含）-30%（含）得4分；30%（不含）-35%（含）得3分；35%（不含）-40%（含）得2分；40%（不含）以上和不提供均不得分； 证明材料：提供血细胞分析项目（五分类）配套试剂耗材耗占比（格式自拟，占比应为唯一值；以二级医院收费为测算标准）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号的其他参数）的响应共48条，完全满足得48分； 每负偏离一条扣1.0分。一般参数（非▲号、★号的其他指标）应在投标文件中提供货物制造商盖章的技术参数承诺函，否则视为负偏离。</w:t>
            </w:r>
          </w:p>
        </w:tc>
        <w:tc>
          <w:tcPr>
            <w:tcW w:type="dxa" w:w="831"/>
          </w:tcPr>
          <w:p>
            <w:pPr>
              <w:pStyle w:val="null3"/>
              <w:jc w:val="right"/>
            </w:pPr>
            <w:r>
              <w:rPr>
                <w:rFonts w:ascii="仿宋_GB2312" w:hAnsi="仿宋_GB2312" w:cs="仿宋_GB2312" w:eastAsia="仿宋_GB2312"/>
              </w:rPr>
              <w:t>48.0000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1）技术方案以及项目实施服务计划完整丰富且不缺项漏项，每项内容详细完整，先进合理、步骤有序，且方案整体可维护性、操作性高，有针对性提出合理化建议，考虑问题周全的得8分； 2）方案内容较完整，内容的分析详细、专业、合理、可行性程度较全面，细化的各个内容满足采购人的需求的得6分； 3）方案内容完整，思路较清晰、方案较合理、具有一定可行性、能够满足采购人的需求的得4分； 4）方案基本完整，思路比较清晰、方案较合理、可行性一般、基本能够满足采购人的需求的得2分；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细菌测定系统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全自动鉴定药敏分析系统（一）</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全自动鉴定药敏分析系统（二）</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血液细胞分析仪（一）</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血液细胞分析仪（二）</w:t>
            </w:r>
          </w:p>
        </w:tc>
        <w:tc>
          <w:tcPr>
            <w:tcW w:type="dxa" w:w="755"/>
          </w:tcPr>
          <w:p>
            <w:pPr>
              <w:pStyle w:val="null3"/>
              <w:jc w:val="left"/>
            </w:pPr>
            <w:r>
              <w:rPr>
                <w:rFonts w:ascii="仿宋_GB2312" w:hAnsi="仿宋_GB2312" w:cs="仿宋_GB2312" w:eastAsia="仿宋_GB2312"/>
              </w:rPr>
              <w:t xml:space="preserve"> 21.0000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血液细胞分析仪（三）</w:t>
            </w:r>
          </w:p>
        </w:tc>
        <w:tc>
          <w:tcPr>
            <w:tcW w:type="dxa" w:w="755"/>
          </w:tcPr>
          <w:p>
            <w:pPr>
              <w:pStyle w:val="null3"/>
              <w:jc w:val="left"/>
            </w:pPr>
            <w:r>
              <w:rPr>
                <w:rFonts w:ascii="仿宋_GB2312" w:hAnsi="仿宋_GB2312" w:cs="仿宋_GB2312" w:eastAsia="仿宋_GB2312"/>
              </w:rPr>
              <w:t xml:space="preserve"> 9.0000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全自动血细胞分析流水线（一）</w:t>
            </w:r>
          </w:p>
        </w:tc>
        <w:tc>
          <w:tcPr>
            <w:tcW w:type="dxa" w:w="755"/>
          </w:tcPr>
          <w:p>
            <w:pPr>
              <w:pStyle w:val="null3"/>
              <w:jc w:val="left"/>
            </w:pPr>
            <w:r>
              <w:rPr>
                <w:rFonts w:ascii="仿宋_GB2312" w:hAnsi="仿宋_GB2312" w:cs="仿宋_GB2312" w:eastAsia="仿宋_GB2312"/>
              </w:rPr>
              <w:t xml:space="preserve"> 14.0000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8232000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全自动血细胞分析流水线（二）</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医用纯水机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生物安全柜</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超纯水机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