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C7B64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 w14:paraId="150797A3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0C9E3EAF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XX（投标单位）在2024年超长期特别国债“以旧换新”项目医疗设备集中采购（二十七）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项目编号：SCIT-HNZG-2025060002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 w14:paraId="39127AD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445DCA32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1AEFC2D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DA15730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3A4EC74E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3DF65C8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6183B954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51F4FB8B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5D2229D7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55E8C26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 w14:paraId="4E149175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 w14:paraId="57634BFB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13DA7422"/>
    <w:rsid w:val="31062C3C"/>
    <w:rsid w:val="5A623A63"/>
    <w:rsid w:val="7B2A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388</Characters>
  <Lines>0</Lines>
  <Paragraphs>0</Paragraphs>
  <TotalTime>0</TotalTime>
  <ScaleCrop>false</ScaleCrop>
  <LinksUpToDate>false</LinksUpToDate>
  <CharactersWithSpaces>401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HNCZ</cp:lastModifiedBy>
  <dcterms:modified xsi:type="dcterms:W3CDTF">2025-07-02T10:20:36Z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eyJoZGlkIjoiYmVjNDFhNTJjYmNhZjA0OTZlYTg5YzdhOWRlNGRiMDEiLCJ1c2VySWQiOiI2MzU0ODc5NTgifQ==</vt:lpwstr>
  </property>
  <property fmtid="{D5CDD505-2E9C-101B-9397-08002B2CF9AE}" pid="4" name="ICV">
    <vt:lpwstr>0E995D1128444BB5B5D854DA89EF0E48_12</vt:lpwstr>
  </property>
</Properties>
</file>