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宋体" w:hAnsi="宋体" w:eastAsia="宋体" w:cs="宋体"/>
          <w:b/>
          <w:color w:val="auto"/>
          <w:sz w:val="32"/>
          <w:highlight w:val="none"/>
        </w:rPr>
        <w:t>必须为未被列入信用中国网站(www.creditchina.gov.cn)的“失信被执行人”、“重大税收违法失信主体”和中国政府采购网(www.ccgp.gov.cn) 的“政府采购严重违法失信行为记录名单”的投标人。</w:t>
      </w:r>
      <w:r>
        <w:rPr>
          <w:rFonts w:hint="eastAsia" w:ascii="宋体" w:hAnsi="宋体" w:eastAsia="宋体" w:cs="宋体"/>
          <w:b/>
          <w:color w:val="auto"/>
          <w:sz w:val="32"/>
          <w:highlight w:val="none"/>
          <w:lang w:val="en-US" w:eastAsia="zh-CN"/>
        </w:rPr>
        <w:t>（招标人或招标代理机构将在投标截止时间后通过上述网站查询相关投标人信用记录，对列入不良信用记录名单的，其投标将被否决。以上信用查询记录，招标人或招标代理机构将下载查询结果页面后与项目资料一并保存。投标人不良信用记录以招标人或招标代理机构查询结果为准。在本招标文件规定的查询时间之外，网站信息发生的任何变更均不作为资格审查依据。投标人自行提供的与网站信息不一致的其他证明材料亦不作为资格审查依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7643A5"/>
    <w:rsid w:val="13DA7422"/>
    <w:rsid w:val="4D764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2025-04-29T11:21:00Z</dcterms:created>
  <dc:creator>Administrator</dc:creator>
  <cp:lastModifiedBy>Administrator</cp:lastModifiedBy>
  <dcterms:modified xsi:type="dcterms:W3CDTF">2025-04-29T11:21:50Z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