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2024年超长期特别国债“以旧换新”项目医疗设备集中采购（三十二）(二次招标)</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SCIT-HNZG-2025070001L1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四川国际招标有限责任公司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2024年超长期特别国债“以旧换新”项目医疗设备集中采购（三十二）(二次招标)</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SCIT-HNZG-2025070001L1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2024年超长期特别国债“以旧换新”项目医疗设备集中采购（三十二）(二次招标)</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2,023,140.00元</w:t>
      </w:r>
      <w:r>
        <w:rPr>
          <w:rFonts w:ascii="仿宋_GB2312" w:hAnsi="仿宋_GB2312" w:cs="仿宋_GB2312" w:eastAsia="仿宋_GB2312"/>
        </w:rPr>
        <w:t>贰佰零贰万叁仟壹佰肆拾元整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合同签订后30日内交付合同标的物设备。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1、特定资格审查：1）①投标人为生产企业的，投标货物若属于第一类医疗器械产品，须提供第一类医疗器械生产备案凭证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1、特定资格审查：1）①投标人为生产企业的，投标货物若属于第一类医疗器械产品，须提供第一类医疗器械生产备案凭证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1、特定资格审查：1）①投标人为生产企业的，投标货物若属于第一类医疗器械产品，须提供第一类医疗器械生产备案凭证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1、特定资格审查：1）①投标人为生产企业的，投标货物若属于第一类医疗器械产品，须提供第一类医疗器械生产备案凭证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1、本项目落实的政府采购政策：促进中小企业发展、促进监狱企业发展、促进残疾人福利性单位发展。 2、本项目不专门面向中小企业采购的原因：按照政府采购促进中小企业发展管理办法规定预留采购份额无法确保充分供应、充分竞争，或者存在可能影响政府采购目标实现的情形，本项目不专门面向中小企业。 3、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4、本项目为远程不见面开标，供应商无须到达开标现场，但开标前必须进入电子开标大厅在线签到（未签到视为无效投标），远程按时参加在线开标解密、开标记录盖章确认等即可。 5、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邢天赤</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海南省海口市龙华区国贸路26号汇通大厦704、706、707室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技术负责人（甘曼）、项目经理（蔡俊江）、项目助理（吴师娟）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18976346657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采购包2：217,600.00元</w:t>
            </w:r>
          </w:p>
          <w:p>
            <w:pPr>
              <w:pStyle w:val="null3"/>
              <w:jc w:val="left"/>
            </w:pPr>
            <w:r>
              <w:rPr>
                <w:rFonts w:ascii="仿宋_GB2312" w:hAnsi="仿宋_GB2312" w:cs="仿宋_GB2312" w:eastAsia="仿宋_GB2312"/>
              </w:rPr>
              <w:t>采购包3：552,540.00元</w:t>
            </w:r>
          </w:p>
          <w:p>
            <w:pPr>
              <w:pStyle w:val="null3"/>
              <w:jc w:val="left"/>
            </w:pPr>
            <w:r>
              <w:rPr>
                <w:rFonts w:ascii="仿宋_GB2312" w:hAnsi="仿宋_GB2312" w:cs="仿宋_GB2312" w:eastAsia="仿宋_GB2312"/>
              </w:rPr>
              <w:t>采购包4：353,000.00元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代理服务费收费标准：代理费用由 中标（成交）供应商 支付，以 中标（成交）金额为计费基数，参照《海南省物价局关于降低部分招标代理机构服务收费标准的通知》（琼价费管〔2011〕225号）文件规定的收费标准执行。在中标（成交）通知书领取之前 收取代理费用。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其他政府采购政策（实质性要求）：根据《海南省财政厅关于印发海南省绿色产品政府采购实施意见(试行)的通知》，参加政府采购活动前三年内，投标人有环保类行政处罚记录的，其投标无效。参加本次政府采购活动的投标人应当提供《环保类行政处罚记录声明函》（格式详见本项目招标文件第六章）。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联系人：甘女士</w:t>
      </w:r>
    </w:p>
    <w:p>
      <w:pPr>
        <w:pStyle w:val="null3"/>
        <w:jc w:val="left"/>
      </w:pPr>
      <w:r>
        <w:rPr>
          <w:rFonts w:ascii="仿宋_GB2312" w:hAnsi="仿宋_GB2312" w:cs="仿宋_GB2312" w:eastAsia="仿宋_GB2312"/>
        </w:rPr>
        <w:t>联系电话：0898-68520848转822</w:t>
      </w:r>
    </w:p>
    <w:p>
      <w:pPr>
        <w:pStyle w:val="null3"/>
        <w:jc w:val="left"/>
      </w:pPr>
      <w:r>
        <w:rPr>
          <w:rFonts w:ascii="仿宋_GB2312" w:hAnsi="仿宋_GB2312" w:cs="仿宋_GB2312" w:eastAsia="仿宋_GB2312"/>
        </w:rPr>
        <w:t>地址：四川国际招标有限责任公司海南分公司总工室（海南省海口市龙华区国贸路26号汇通大厦（现安徽大厦）706室）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2024年超长期特别国债“以旧换新”项目医疗设备集中采购</w:t>
      </w:r>
      <w:r>
        <w:rPr>
          <w:rFonts w:ascii="仿宋_GB2312" w:hAnsi="仿宋_GB2312" w:cs="仿宋_GB2312" w:eastAsia="仿宋_GB2312"/>
        </w:rPr>
        <w:t>（三十二）（二次招标）项目包含18套，预算金额合计202.314万元。该项目设备的购置进一步优化我省医疗机构的医疗资源布局与配置，更好地满足人民群众和境内外游客、投资者的健康保障需求，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手术动力装置（一）</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432,000.00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手术动力装置（二）</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468,000.00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217,600.00</w:t>
      </w:r>
    </w:p>
    <w:p>
      <w:pPr>
        <w:pStyle w:val="null3"/>
        <w:jc w:val="left"/>
      </w:pPr>
      <w:r>
        <w:rPr>
          <w:rFonts w:ascii="仿宋_GB2312" w:hAnsi="仿宋_GB2312" w:cs="仿宋_GB2312" w:eastAsia="仿宋_GB2312"/>
        </w:rPr>
        <w:t>采购包最高限价（元）: 217,600.00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可视喉镜</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208,000.00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麻醉喉镜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552,540.00</w:t>
      </w:r>
    </w:p>
    <w:p>
      <w:pPr>
        <w:pStyle w:val="null3"/>
        <w:jc w:val="left"/>
      </w:pPr>
      <w:r>
        <w:rPr>
          <w:rFonts w:ascii="仿宋_GB2312" w:hAnsi="仿宋_GB2312" w:cs="仿宋_GB2312" w:eastAsia="仿宋_GB2312"/>
        </w:rPr>
        <w:t>采购包最高限价（元）: 552,540.00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电动子宫切除器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121,940.00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多功能子宫操纵器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彩超可视人流诊疗系统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353,000.00</w:t>
      </w:r>
    </w:p>
    <w:p>
      <w:pPr>
        <w:pStyle w:val="null3"/>
        <w:jc w:val="left"/>
      </w:pPr>
      <w:r>
        <w:rPr>
          <w:rFonts w:ascii="仿宋_GB2312" w:hAnsi="仿宋_GB2312" w:cs="仿宋_GB2312" w:eastAsia="仿宋_GB2312"/>
        </w:rPr>
        <w:t>采购包最高限价（元）: 353,000.00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自动止血仪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2</w:t>
            </w:r>
          </w:p>
        </w:tc>
        <w:tc>
          <w:tcPr>
            <w:tcW w:type="dxa" w:w="831"/>
          </w:tcPr>
          <w:p>
            <w:pPr>
              <w:pStyle w:val="null3"/>
              <w:jc w:val="left"/>
            </w:pPr>
            <w:r>
              <w:rPr>
                <w:rFonts w:ascii="仿宋_GB2312" w:hAnsi="仿宋_GB2312" w:cs="仿宋_GB2312" w:eastAsia="仿宋_GB2312"/>
              </w:rPr>
              <w:t>自体血液回收机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278,000.00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r>
        <w:tc>
          <w:tcPr>
            <w:tcW w:type="dxa" w:w="831"/>
          </w:tcPr>
          <w:p>
            <w:pPr>
              <w:pStyle w:val="null3"/>
              <w:jc w:val="left"/>
            </w:pPr>
            <w:r>
              <w:rPr>
                <w:rFonts w:ascii="仿宋_GB2312" w:hAnsi="仿宋_GB2312" w:cs="仿宋_GB2312" w:eastAsia="仿宋_GB2312"/>
              </w:rPr>
              <w:t>3</w:t>
            </w:r>
          </w:p>
        </w:tc>
        <w:tc>
          <w:tcPr>
            <w:tcW w:type="dxa" w:w="831"/>
          </w:tcPr>
          <w:p>
            <w:pPr>
              <w:pStyle w:val="null3"/>
              <w:jc w:val="left"/>
            </w:pPr>
            <w:r>
              <w:rPr>
                <w:rFonts w:ascii="仿宋_GB2312" w:hAnsi="仿宋_GB2312" w:cs="仿宋_GB2312" w:eastAsia="仿宋_GB2312"/>
              </w:rPr>
              <w:t>骨科空心电钻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手术动力装置（一）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手术动力装置（二）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468,000.00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可视喉镜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麻醉喉镜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电动子宫切除器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121,940.00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多功能子宫操纵器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彩超可视人流诊疗系统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自动止血仪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自体血液回收机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骨科空心电钻</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标的名称：手术动力装置（一）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标的名称：手术动力装置（二）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标的名称：可视喉镜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标的名称：麻醉喉镜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标的名称：电动子宫切除器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标的名称：多功能子宫操纵器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标的名称：彩超可视人流诊疗系统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标的名称：自动止血仪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标的名称：自体血液回收机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标的名称：骨科空心电钻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参数性质、技术参数与性能指标，具体详见采购需求附件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000000"/>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其他材料 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其他材料 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其他材料 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1）①投标人为生产企业的，投标货物若属于第一类医疗器械产品，须提供第一类医疗器械生产备案凭证 ，投标货物若属于第二类、三类医疗器械产品 ，须提供医疗器械生产许可证；投标人为经营企业的，投标货物若属于第三类医疗器械产品，须提供医疗器械经营许可证和投标货物生产厂家的医疗器械生产许可证，投标货物若属于第二类医疗器械产品，须提供第二类医疗器械经营备案凭证，投标货物若属于第一类医疗器械产品 ，则无须提供此项；②投标货物属于《医疗器械监督管理条例》规定的第一类医疗器械产品须提供第一类医疗器械产品备案凭证 ，属于第二类、第三类医疗器械产品则须提供完整的医疗器械注册证；</w:t>
            </w:r>
          </w:p>
        </w:tc>
        <w:tc>
          <w:tcPr>
            <w:tcW w:type="dxa" w:w="1661"/>
          </w:tcPr>
          <w:p>
            <w:pPr>
              <w:pStyle w:val="null3"/>
              <w:jc w:val="left"/>
            </w:pPr>
            <w:r>
              <w:rPr>
                <w:rFonts w:ascii="仿宋_GB2312" w:hAnsi="仿宋_GB2312" w:cs="仿宋_GB2312" w:eastAsia="仿宋_GB2312"/>
              </w:rPr>
              <w:t>其他材料 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商业信誉、财务会计制度、缴纳税收和社保的承诺函 环保类行政处罚记录声明函 封面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环保类行政处罚记录声明函 具有独立承担民事责任的能力证明文件 投标人承诺函 其他材料 投标函 投标人无不良信用记录 残疾人福利性单位声明函 供应商应提交的相关证明材料 无重大违法记录声明函 法定代表人资格证明书或法定代表人授权委托书 投标保证金缴纳证明材料 符合法律、行政法规规定的其他条件的声明函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标“▲”条款（12分）：符合技术要求得12分；每负偏离1项扣2分，负偏离达6项的，此项得0分；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45条，按以下要求赋分：A：一般技术参数完全满足，得28分；B：一般技术参数不满足1-10项区间时，每不满足一条参数扣1分；C：一般技术参数不满足11-25项区间时，每不满足一条参数扣0.8分； D：一般技术参数不满足26-45项区间时， 每不满足一条参数扣0.3分。最低得0分，漏报技术条款视为不满足。注：上述1-10项、11-25项、26-45项与参数的不满足条款数量相关，不涉及参数所对应序号。示例：如负偏离15项，投标人扣分=10项×1分+（15项-10项）×0.8分=10×1+5×0.8=14分，得分=28分-14分=14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15条，按以下要求赋分：A：一般技术参数完全满足，得40分；B：一般技术参数不满足1-4项区间时，每不满足一条参数扣6分；C：一般技术参数不满足5-9项区间时，每不满足一条参数扣2分； D：一般技术参数不满足10-15项区间时， 每不满足一条参数扣1分。最低得0分，漏报技术条款视为不满足。注：上述1-4项、5-9项、10-15项与参数的不满足条款数量相关，不涉及参数所对应序号。示例：如负偏离6项，投标人扣分=4项×6分+（6项-4项）×2分=4×6+2×2=28分，得分=40分-28分=12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29条，按以下要求赋分：A：一般技术参数完全满足，得40分；B：一般技术参数不满足1-9项区间时，每不满足一条参数扣2分；C：一般技术参数不满足10-19项区间时，每不满足一条参数扣1.4分； D：一般技术参数不满足20-29项区间时， 每不满足一条参数扣0.8分。最低得0分，漏报技术条款视为不满足。注：上述1-9项、10-19项、20-29项与参数的不满足条款数量相关，不涉及参数所对应序号。示例：如负偏离15项，投标人扣分=9项×2分+（15项-9项）×1.4分=9×2+6×1.4=26.4分，得分=40分-26.4分=13.6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标“▲”条款（5分）：符合技术要求得5分；每负偏离1项扣2.5分，负偏离达2项的，此项得0分；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46条，按以下要求赋分：A：一般技术参数完全满足，得35分；B：一般技术参数不满足1-10项区间时，每不满足一条参数扣1.5分；C：一般技术参数不满足11-26项区间时，每不满足一条参数扣1分； D：一般技术参数不满足27-46项区间时， 每不满足一条参数扣0.2分。最低得0分，漏报技术条款视为不满足。注：上述1-10项、11-26项、27-46项与参数的不满足条款数量相关，不涉及参数所对应序号。示例：如负偏离15项，投标人扣分=10项×1.5分+（15项-10项）×1分=10×1.5+5×1=20分，得分=35分-20分=15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技术方案以及项目实施服务计划</w:t>
            </w:r>
          </w:p>
        </w:tc>
        <w:tc>
          <w:tcPr>
            <w:tcW w:type="dxa" w:w="2492"/>
          </w:tcPr>
          <w:p>
            <w:pPr>
              <w:pStyle w:val="null3"/>
              <w:jc w:val="both"/>
            </w:pPr>
            <w:r>
              <w:rPr>
                <w:rFonts w:ascii="仿宋_GB2312" w:hAnsi="仿宋_GB2312" w:cs="仿宋_GB2312" w:eastAsia="仿宋_GB2312"/>
              </w:rPr>
              <w:t>根据投标人提供的技术方案以及项目实施服务计划（包括但不限于：①供货保障流程及要点；②进度控制；③安装调试实施步骤；④培训方案；⑤备品备件情况；⑥校验验收等情况），本项满分共10分。 1）技术方案以及项目实施服务计划完整丰富且不缺项漏项：根据每项内容的详细完整程度，是否先进合理、步骤有序，且方案整体可维护性、操作性，是否有针对性提出合理化建议，是否优于招标人的需要，考虑问题周全程度等方面赋分：10分； 2）技术方案以及项目实施服务计划基本完整：根据内容的完整性、丰富性、科学性、适用性、思路清晰程度等方面赋分：7分； 3）技术方案以及项目实施服务计划缺项漏项不完整：根据描述的内容完整性、条理性、针对性等程度赋分：4分； 4）技术方案以及项目实施服务计划内容不完整，方案不合理，表述混乱、缺乏可行性的，或不提供方案的，得0分。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包括但不限于：①售后服务的内容；②计划可行性；③设备出现故障和缺陷后的解决方案和响应时间；④质保期限；⑤定期维护、故障排查（需注明时间）等因素），本项满分共10分。 1）单项内容详细完整，步骤有序，且方案整体简操作，能较有针对性提出解决建议，优于采购需求，实施过程务实的得10分； 2）单项内容基本能够满足采购需要，思路比较清晰、方案较合理、可行性一般的得7分； 3）单项内容完整但条理不清、方案思路及可行性较差的得4分； 4）内容不完整，方案不合理，表述混乱、缺乏可行性的，或不提供方案的，得0分。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根据投标人提供的质量保证方案（包括但不限于：质保期内的承诺、质保期满后的相关服务、生产厂家的技术支持等内容），本项目满分共10分。 1）具备完善的质量保证方案，内容细致全面，能完全或优于满足采购人需求的，得10分； 2）具备一定的质量保证方案，内容一般，能较大程度地满足采购人的需求的，得7分； 3）质量保证方案不完善，只能部分满足采购人需求的，得4分； 4）无方案的得0分。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SCIT-HNZG-2025070001L1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2024年超长期特别国债“以旧换新”项目医疗设备集中采购（三十二）(二次招标)</w:t>
      </w:r>
    </w:p>
    <w:p>
      <w:pPr>
        <w:pStyle w:val="null3"/>
        <w:jc w:val="left"/>
      </w:pPr>
      <w:r>
        <w:rPr>
          <w:rFonts w:ascii="仿宋_GB2312" w:hAnsi="仿宋_GB2312" w:cs="仿宋_GB2312" w:eastAsia="仿宋_GB2312"/>
        </w:rPr>
        <w:t>采购包：</w:t>
      </w:r>
      <w:r>
        <w:rPr>
          <w:rFonts w:ascii="仿宋_GB2312" w:hAnsi="仿宋_GB2312" w:cs="仿宋_GB2312" w:eastAsia="仿宋_GB2312"/>
        </w:rPr>
        <w:t>原采购第3包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手术动力装置（一）</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432000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手术动力装置（二）</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468000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SCIT-HNZG-2025070001L1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2024年超长期特别国债“以旧换新”项目医疗设备集中采购（三十二）(二次招标)</w:t>
      </w:r>
    </w:p>
    <w:p>
      <w:pPr>
        <w:pStyle w:val="null3"/>
        <w:jc w:val="left"/>
      </w:pPr>
      <w:r>
        <w:rPr>
          <w:rFonts w:ascii="仿宋_GB2312" w:hAnsi="仿宋_GB2312" w:cs="仿宋_GB2312" w:eastAsia="仿宋_GB2312"/>
        </w:rPr>
        <w:t>采购包：</w:t>
      </w:r>
      <w:r>
        <w:rPr>
          <w:rFonts w:ascii="仿宋_GB2312" w:hAnsi="仿宋_GB2312" w:cs="仿宋_GB2312" w:eastAsia="仿宋_GB2312"/>
        </w:rPr>
        <w:t>原采购第4包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可视喉镜</w:t>
            </w:r>
          </w:p>
        </w:tc>
        <w:tc>
          <w:tcPr>
            <w:tcW w:type="dxa" w:w="639"/>
          </w:tcPr>
          <w:p>
            <w:pPr>
              <w:pStyle w:val="null3"/>
              <w:jc w:val="left"/>
            </w:pPr>
            <w:r>
              <w:rPr>
                <w:rFonts w:ascii="仿宋_GB2312" w:hAnsi="仿宋_GB2312" w:cs="仿宋_GB2312" w:eastAsia="仿宋_GB2312"/>
              </w:rPr>
              <w:t xml:space="preserve"> 5.0000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208000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麻醉喉镜</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9600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SCIT-HNZG-2025070001L1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2024年超长期特别国债“以旧换新”项目医疗设备集中采购（三十二）(二次招标)</w:t>
      </w:r>
    </w:p>
    <w:p>
      <w:pPr>
        <w:pStyle w:val="null3"/>
        <w:jc w:val="left"/>
      </w:pPr>
      <w:r>
        <w:rPr>
          <w:rFonts w:ascii="仿宋_GB2312" w:hAnsi="仿宋_GB2312" w:cs="仿宋_GB2312" w:eastAsia="仿宋_GB2312"/>
        </w:rPr>
        <w:t>采购包：</w:t>
      </w:r>
      <w:r>
        <w:rPr>
          <w:rFonts w:ascii="仿宋_GB2312" w:hAnsi="仿宋_GB2312" w:cs="仿宋_GB2312" w:eastAsia="仿宋_GB2312"/>
        </w:rPr>
        <w:t>原采购第5包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电动子宫切除器</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121940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多功能子宫操纵器</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10600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彩超可视人流诊疗系统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420000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SCIT-HNZG-2025070001L1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2024年超长期特别国债“以旧换新”项目医疗设备集中采购（三十二）(二次招标)</w:t>
      </w:r>
    </w:p>
    <w:p>
      <w:pPr>
        <w:pStyle w:val="null3"/>
        <w:jc w:val="left"/>
      </w:pPr>
      <w:r>
        <w:rPr>
          <w:rFonts w:ascii="仿宋_GB2312" w:hAnsi="仿宋_GB2312" w:cs="仿宋_GB2312" w:eastAsia="仿宋_GB2312"/>
        </w:rPr>
        <w:t>采购包：</w:t>
      </w:r>
      <w:r>
        <w:rPr>
          <w:rFonts w:ascii="仿宋_GB2312" w:hAnsi="仿宋_GB2312" w:cs="仿宋_GB2312" w:eastAsia="仿宋_GB2312"/>
        </w:rPr>
        <w:t>原采购第6包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备注</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自动止血仪</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2</w:t>
            </w:r>
          </w:p>
        </w:tc>
        <w:tc>
          <w:tcPr>
            <w:tcW w:type="dxa" w:w="639"/>
          </w:tcPr>
          <w:p>
            <w:pPr>
              <w:pStyle w:val="null3"/>
              <w:jc w:val="left"/>
            </w:pPr>
            <w:r>
              <w:rPr>
                <w:rFonts w:ascii="仿宋_GB2312" w:hAnsi="仿宋_GB2312" w:cs="仿宋_GB2312" w:eastAsia="仿宋_GB2312"/>
              </w:rPr>
              <w:t xml:space="preserve"> 自体血液回收机</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278000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r>
        <w:tc>
          <w:tcPr>
            <w:tcW w:type="dxa" w:w="639"/>
          </w:tcPr>
          <w:p>
            <w:pPr>
              <w:pStyle w:val="null3"/>
              <w:jc w:val="left"/>
            </w:pPr>
            <w:r>
              <w:rPr>
                <w:rFonts w:ascii="仿宋_GB2312" w:hAnsi="仿宋_GB2312" w:cs="仿宋_GB2312" w:eastAsia="仿宋_GB2312"/>
              </w:rPr>
              <w:t xml:space="preserve"> 3</w:t>
            </w:r>
          </w:p>
        </w:tc>
        <w:tc>
          <w:tcPr>
            <w:tcW w:type="dxa" w:w="639"/>
          </w:tcPr>
          <w:p>
            <w:pPr>
              <w:pStyle w:val="null3"/>
              <w:jc w:val="left"/>
            </w:pPr>
            <w:r>
              <w:rPr>
                <w:rFonts w:ascii="仿宋_GB2312" w:hAnsi="仿宋_GB2312" w:cs="仿宋_GB2312" w:eastAsia="仿宋_GB2312"/>
              </w:rPr>
              <w:t xml:space="preserve"> 骨科空心电钻</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1.投标报价要求：</w:t>
      </w:r>
    </w:p>
    <w:p>
      <w:pPr>
        <w:pStyle w:val="null3"/>
        <w:jc w:val="left"/>
      </w:pPr>
      <w:r>
        <w:rPr>
          <w:rFonts w:ascii="仿宋_GB2312" w:hAnsi="仿宋_GB2312" w:cs="仿宋_GB2312" w:eastAsia="仿宋_GB2312"/>
        </w:rPr>
        <w:t>（1）合同约定的价款，除非另有特别说明，已经包含下列项目含税费用：</w:t>
      </w:r>
    </w:p>
    <w:p>
      <w:pPr>
        <w:pStyle w:val="null3"/>
        <w:jc w:val="left"/>
      </w:pPr>
      <w:r>
        <w:rPr>
          <w:rFonts w:ascii="仿宋_GB2312" w:hAnsi="仿宋_GB2312" w:cs="仿宋_GB2312" w:eastAsia="仿宋_GB2312"/>
        </w:rPr>
        <w:t>①货物主体和配件、备品备件、硬件软件、包装、专用工具的费用；</w:t>
      </w:r>
    </w:p>
    <w:p>
      <w:pPr>
        <w:pStyle w:val="null3"/>
        <w:jc w:val="left"/>
      </w:pPr>
      <w:r>
        <w:rPr>
          <w:rFonts w:ascii="仿宋_GB2312" w:hAnsi="仿宋_GB2312" w:cs="仿宋_GB2312" w:eastAsia="仿宋_GB2312"/>
        </w:rPr>
        <w:t>②安装/调试/检验、培训、技术服务和其他相关服务费用；</w:t>
      </w:r>
    </w:p>
    <w:p>
      <w:pPr>
        <w:pStyle w:val="null3"/>
        <w:jc w:val="left"/>
      </w:pPr>
      <w:r>
        <w:rPr>
          <w:rFonts w:ascii="仿宋_GB2312" w:hAnsi="仿宋_GB2312" w:cs="仿宋_GB2312" w:eastAsia="仿宋_GB2312"/>
        </w:rPr>
        <w:t>③进出口手续费用（如有）；</w:t>
      </w:r>
    </w:p>
    <w:p>
      <w:pPr>
        <w:pStyle w:val="null3"/>
        <w:jc w:val="left"/>
      </w:pPr>
      <w:r>
        <w:rPr>
          <w:rFonts w:ascii="仿宋_GB2312" w:hAnsi="仿宋_GB2312" w:cs="仿宋_GB2312" w:eastAsia="仿宋_GB2312"/>
        </w:rPr>
        <w:t>④运输到指定交货地点的运费、保险费用等。</w:t>
      </w:r>
    </w:p>
    <w:p>
      <w:pPr>
        <w:pStyle w:val="null3"/>
        <w:jc w:val="left"/>
      </w:pPr>
      <w:r>
        <w:rPr>
          <w:rFonts w:ascii="仿宋_GB2312" w:hAnsi="仿宋_GB2312" w:cs="仿宋_GB2312" w:eastAsia="仿宋_GB2312"/>
        </w:rPr>
        <w:t>除非另有明确约定，海南省卫生健康委员会、使用单位无需就本次购买向供应商支付其他费用。</w:t>
      </w:r>
    </w:p>
    <w:p>
      <w:pPr>
        <w:pStyle w:val="null3"/>
        <w:jc w:val="left"/>
      </w:pPr>
      <w:r>
        <w:rPr>
          <w:rFonts w:ascii="仿宋_GB2312" w:hAnsi="仿宋_GB2312" w:cs="仿宋_GB2312" w:eastAsia="仿宋_GB2312"/>
        </w:rPr>
        <w:t>（2）各方确认：合同约定价款不因劳务、市场设备价格、政策变化而调整。</w:t>
      </w:r>
    </w:p>
    <w:p>
      <w:pPr>
        <w:pStyle w:val="null3"/>
        <w:jc w:val="left"/>
      </w:pPr>
      <w:r>
        <w:rPr>
          <w:rFonts w:ascii="仿宋_GB2312" w:hAnsi="仿宋_GB2312" w:cs="仿宋_GB2312" w:eastAsia="仿宋_GB2312"/>
        </w:rPr>
        <w:t>2.如所供货物为医疗器械的,医疗产品注册证上的名称与采购标的名称不一致的,需在《开标一览表》的“备注”中明确,验收以医疗器械注册证上的产品名称为准。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详见附件：技术参数承诺函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