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19B84A">
      <w:pPr>
        <w:pStyle w:val="11"/>
        <w:spacing w:before="113" w:line="360" w:lineRule="auto"/>
        <w:ind w:left="2597"/>
        <w:outlineLvl w:val="1"/>
        <w:rPr>
          <w:rFonts w:hint="eastAsia" w:ascii="宋体" w:hAnsi="宋体" w:eastAsia="宋体" w:cs="宋体"/>
          <w:color w:val="auto"/>
          <w:sz w:val="48"/>
          <w:szCs w:val="48"/>
          <w:highlight w:val="none"/>
        </w:rPr>
      </w:pPr>
      <w:r>
        <w:rPr>
          <w:rFonts w:hint="eastAsia" w:ascii="宋体" w:hAnsi="宋体" w:eastAsia="宋体" w:cs="宋体"/>
          <w:b/>
          <w:bCs/>
          <w:color w:val="auto"/>
          <w:spacing w:val="4"/>
          <w:sz w:val="48"/>
          <w:szCs w:val="48"/>
          <w:highlight w:val="none"/>
        </w:rPr>
        <w:t>包</w:t>
      </w:r>
      <w:r>
        <w:rPr>
          <w:rFonts w:hint="eastAsia" w:cs="宋体"/>
          <w:color w:val="auto"/>
          <w:spacing w:val="-57"/>
          <w:sz w:val="48"/>
          <w:szCs w:val="48"/>
          <w:highlight w:val="none"/>
          <w:lang w:val="en-US" w:eastAsia="zh-CN"/>
        </w:rPr>
        <w:t>8</w:t>
      </w:r>
      <w:r>
        <w:rPr>
          <w:rFonts w:hint="eastAsia" w:ascii="宋体" w:hAnsi="宋体" w:eastAsia="宋体" w:cs="宋体"/>
          <w:b/>
          <w:bCs/>
          <w:color w:val="auto"/>
          <w:spacing w:val="4"/>
          <w:sz w:val="48"/>
          <w:szCs w:val="48"/>
          <w:highlight w:val="none"/>
        </w:rPr>
        <w:t>采购需求</w:t>
      </w:r>
    </w:p>
    <w:p w14:paraId="3AEC7F0F">
      <w:pPr>
        <w:pStyle w:val="3"/>
        <w:bidi w:val="0"/>
        <w:spacing w:line="360" w:lineRule="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（一）项目概况</w:t>
      </w:r>
    </w:p>
    <w:p w14:paraId="3F38122B">
      <w:pPr>
        <w:pStyle w:val="17"/>
        <w:numPr>
          <w:ilvl w:val="-1"/>
          <w:numId w:val="0"/>
        </w:numPr>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对</w:t>
      </w:r>
      <w:r>
        <w:rPr>
          <w:rFonts w:hint="eastAsia" w:ascii="宋体" w:hAnsi="宋体" w:eastAsia="宋体" w:cs="宋体"/>
          <w:b w:val="0"/>
          <w:bCs w:val="0"/>
          <w:color w:val="auto"/>
          <w:sz w:val="24"/>
          <w:szCs w:val="24"/>
          <w:highlight w:val="none"/>
          <w:lang w:eastAsia="zh-CN"/>
        </w:rPr>
        <w:t>“海南智慧健康岛建设工程项目”</w:t>
      </w:r>
      <w:r>
        <w:rPr>
          <w:rFonts w:hint="eastAsia" w:ascii="宋体" w:hAnsi="宋体" w:eastAsia="宋体" w:cs="宋体"/>
          <w:b w:val="0"/>
          <w:bCs w:val="0"/>
          <w:color w:val="auto"/>
          <w:sz w:val="24"/>
          <w:szCs w:val="24"/>
          <w:highlight w:val="none"/>
          <w:lang w:val="en-US" w:eastAsia="zh-CN"/>
        </w:rPr>
        <w:t>包1至包6的相关软件系统</w:t>
      </w:r>
      <w:r>
        <w:rPr>
          <w:rFonts w:hint="eastAsia" w:ascii="宋体" w:hAnsi="宋体" w:eastAsia="宋体" w:cs="宋体"/>
          <w:b w:val="0"/>
          <w:bCs w:val="0"/>
          <w:color w:val="auto"/>
          <w:sz w:val="24"/>
          <w:szCs w:val="24"/>
          <w:highlight w:val="none"/>
        </w:rPr>
        <w:t>进行</w:t>
      </w:r>
      <w:r>
        <w:rPr>
          <w:rFonts w:hint="eastAsia" w:ascii="宋体" w:hAnsi="宋体" w:eastAsia="宋体" w:cs="宋体"/>
          <w:b w:val="0"/>
          <w:bCs w:val="0"/>
          <w:color w:val="auto"/>
          <w:sz w:val="24"/>
          <w:szCs w:val="24"/>
          <w:highlight w:val="none"/>
          <w:lang w:val="en-US" w:eastAsia="zh-CN"/>
        </w:rPr>
        <w:t>第三方</w:t>
      </w:r>
      <w:r>
        <w:rPr>
          <w:rFonts w:hint="eastAsia" w:ascii="宋体" w:hAnsi="宋体" w:eastAsia="宋体" w:cs="宋体"/>
          <w:b w:val="0"/>
          <w:bCs w:val="0"/>
          <w:color w:val="auto"/>
          <w:sz w:val="24"/>
          <w:szCs w:val="24"/>
          <w:highlight w:val="none"/>
        </w:rPr>
        <w:t>软件测评服务，确保系统功能、性能、可靠性等符合要求。</w:t>
      </w:r>
    </w:p>
    <w:p w14:paraId="22442579">
      <w:pPr>
        <w:pStyle w:val="3"/>
        <w:bidi w:val="0"/>
        <w:spacing w:line="360" w:lineRule="auto"/>
        <w:rPr>
          <w:rFonts w:hint="eastAsia" w:ascii="宋体" w:hAnsi="宋体" w:eastAsia="宋体" w:cs="宋体"/>
          <w:b/>
          <w:bCs/>
          <w:color w:val="auto"/>
          <w:spacing w:val="-5"/>
          <w:sz w:val="32"/>
          <w:szCs w:val="32"/>
          <w:highlight w:val="none"/>
        </w:rPr>
      </w:pPr>
      <w:r>
        <w:rPr>
          <w:rFonts w:hint="eastAsia" w:ascii="宋体" w:hAnsi="宋体" w:eastAsia="宋体" w:cs="宋体"/>
          <w:b/>
          <w:bCs/>
          <w:color w:val="auto"/>
          <w:spacing w:val="-5"/>
          <w:sz w:val="32"/>
          <w:szCs w:val="32"/>
          <w:highlight w:val="none"/>
          <w:lang w:eastAsia="zh-CN"/>
        </w:rPr>
        <w:t>（</w:t>
      </w:r>
      <w:r>
        <w:rPr>
          <w:rFonts w:hint="eastAsia" w:ascii="宋体" w:hAnsi="宋体" w:eastAsia="宋体" w:cs="宋体"/>
          <w:b/>
          <w:bCs/>
          <w:color w:val="auto"/>
          <w:spacing w:val="-5"/>
          <w:sz w:val="32"/>
          <w:szCs w:val="32"/>
          <w:highlight w:val="none"/>
          <w:lang w:val="en-US" w:eastAsia="zh-CN"/>
        </w:rPr>
        <w:t>二</w:t>
      </w:r>
      <w:r>
        <w:rPr>
          <w:rFonts w:hint="eastAsia" w:ascii="宋体" w:hAnsi="宋体" w:eastAsia="宋体" w:cs="宋体"/>
          <w:b/>
          <w:bCs/>
          <w:color w:val="auto"/>
          <w:spacing w:val="-5"/>
          <w:sz w:val="32"/>
          <w:szCs w:val="32"/>
          <w:highlight w:val="none"/>
          <w:lang w:eastAsia="zh-CN"/>
        </w:rPr>
        <w:t>）</w:t>
      </w:r>
      <w:r>
        <w:rPr>
          <w:rFonts w:hint="eastAsia" w:ascii="宋体" w:hAnsi="宋体" w:eastAsia="宋体" w:cs="宋体"/>
          <w:b/>
          <w:bCs/>
          <w:color w:val="auto"/>
          <w:spacing w:val="-5"/>
          <w:sz w:val="32"/>
          <w:szCs w:val="32"/>
          <w:highlight w:val="none"/>
        </w:rPr>
        <w:t>技术商务要求</w:t>
      </w:r>
    </w:p>
    <w:p w14:paraId="4FDC8B7B">
      <w:pPr>
        <w:pStyle w:val="4"/>
        <w:numPr>
          <w:ilvl w:val="0"/>
          <w:numId w:val="1"/>
        </w:num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技术要求</w:t>
      </w:r>
    </w:p>
    <w:p w14:paraId="218AEF46">
      <w:pPr>
        <w:pStyle w:val="17"/>
        <w:numPr>
          <w:ilvl w:val="-1"/>
          <w:numId w:val="0"/>
        </w:num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rPr>
        <w:t>根据《GB/T 8567 计算机软件文档编制规范》、GB/T 25000.51-2016《系统与软件工程 系统与软件质量要求和评价(SQuaRE)第51部分:就绪可用软件产品(RUSP)的质量要求和测试细则》等规范标准的要求，对被测系统开展软件测评，协助做好整改工作，为项目验收提供依据。</w:t>
      </w:r>
    </w:p>
    <w:p w14:paraId="6BE14130">
      <w:pPr>
        <w:pStyle w:val="6"/>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1.1测试目标</w:t>
      </w:r>
    </w:p>
    <w:p w14:paraId="6630A0A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为保障本项目应用系统平台如期上线，需要对项目应用系统进行系统功能测试、系统性能测试、可靠性测试等，同时通过测试过程了解信息系统的交付情况，达成如下总体测试目标：</w:t>
      </w:r>
    </w:p>
    <w:p w14:paraId="3E34600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1、判定各项目的建设方案、招标方案、需求规格说明书等是否实现；</w:t>
      </w:r>
    </w:p>
    <w:p w14:paraId="1C5B0B0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2、判定各项目的建设是否满足国家、海南省各项政策法规及标准要求。</w:t>
      </w:r>
    </w:p>
    <w:p w14:paraId="29B17BFF">
      <w:pPr>
        <w:pStyle w:val="6"/>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1.2测试内容和范围</w:t>
      </w:r>
    </w:p>
    <w:p w14:paraId="75D5704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本次测试服务需要根据国家有关规范、标准及政务信息系统建设要求对</w:t>
      </w:r>
      <w:r>
        <w:rPr>
          <w:rFonts w:hint="eastAsia" w:ascii="宋体" w:hAnsi="宋体" w:eastAsia="宋体" w:cs="宋体"/>
          <w:color w:val="auto"/>
          <w:kern w:val="0"/>
          <w:sz w:val="24"/>
          <w:szCs w:val="24"/>
          <w:highlight w:val="none"/>
        </w:rPr>
        <w:t>项目中</w:t>
      </w:r>
      <w:r>
        <w:rPr>
          <w:rFonts w:hint="eastAsia" w:ascii="宋体" w:hAnsi="宋体" w:eastAsia="宋体" w:cs="宋体"/>
          <w:color w:val="auto"/>
          <w:sz w:val="24"/>
          <w:szCs w:val="24"/>
          <w:highlight w:val="none"/>
        </w:rPr>
        <w:t>的应用系统进行第三方软件测试。以下是项目和业务系统清单：</w:t>
      </w:r>
    </w:p>
    <w:tbl>
      <w:tblPr>
        <w:tblStyle w:val="13"/>
        <w:tblW w:w="4998" w:type="pct"/>
        <w:tblInd w:w="0" w:type="dxa"/>
        <w:tblLayout w:type="autofit"/>
        <w:tblCellMar>
          <w:top w:w="0" w:type="dxa"/>
          <w:left w:w="108" w:type="dxa"/>
          <w:bottom w:w="0" w:type="dxa"/>
          <w:right w:w="108" w:type="dxa"/>
        </w:tblCellMar>
      </w:tblPr>
      <w:tblGrid>
        <w:gridCol w:w="871"/>
        <w:gridCol w:w="2920"/>
        <w:gridCol w:w="2835"/>
        <w:gridCol w:w="2658"/>
      </w:tblGrid>
      <w:tr w14:paraId="5AA4293E">
        <w:tblPrEx>
          <w:tblCellMar>
            <w:top w:w="0" w:type="dxa"/>
            <w:left w:w="108" w:type="dxa"/>
            <w:bottom w:w="0" w:type="dxa"/>
            <w:right w:w="108" w:type="dxa"/>
          </w:tblCellMar>
        </w:tblPrEx>
        <w:trPr>
          <w:trHeight w:val="276" w:hRule="atLeast"/>
        </w:trPr>
        <w:tc>
          <w:tcPr>
            <w:tcW w:w="469" w:type="pct"/>
            <w:tcBorders>
              <w:top w:val="single" w:color="auto" w:sz="4" w:space="0"/>
              <w:left w:val="single" w:color="auto" w:sz="4" w:space="0"/>
              <w:bottom w:val="single" w:color="auto" w:sz="4" w:space="0"/>
              <w:right w:val="single" w:color="auto" w:sz="4" w:space="0"/>
            </w:tcBorders>
            <w:shd w:val="clear" w:color="auto" w:fill="auto"/>
            <w:noWrap/>
            <w:vAlign w:val="bottom"/>
          </w:tcPr>
          <w:p w14:paraId="0E64739C">
            <w:pPr>
              <w:widowControl/>
              <w:spacing w:line="360" w:lineRule="auto"/>
              <w:ind w:firstLine="0" w:firstLineChars="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1572" w:type="pct"/>
            <w:tcBorders>
              <w:top w:val="single" w:color="auto" w:sz="4" w:space="0"/>
              <w:left w:val="nil"/>
              <w:bottom w:val="single" w:color="auto" w:sz="4" w:space="0"/>
              <w:right w:val="single" w:color="auto" w:sz="4" w:space="0"/>
            </w:tcBorders>
            <w:shd w:val="clear" w:color="auto" w:fill="auto"/>
            <w:noWrap/>
            <w:vAlign w:val="bottom"/>
          </w:tcPr>
          <w:p w14:paraId="559B61EB">
            <w:pPr>
              <w:widowControl/>
              <w:spacing w:line="360" w:lineRule="auto"/>
              <w:ind w:firstLine="0" w:firstLineChars="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项目名称</w:t>
            </w:r>
          </w:p>
        </w:tc>
        <w:tc>
          <w:tcPr>
            <w:tcW w:w="1526" w:type="pct"/>
            <w:tcBorders>
              <w:top w:val="single" w:color="auto" w:sz="4" w:space="0"/>
              <w:left w:val="nil"/>
              <w:bottom w:val="single" w:color="auto" w:sz="4" w:space="0"/>
              <w:right w:val="single" w:color="auto" w:sz="4" w:space="0"/>
            </w:tcBorders>
            <w:shd w:val="clear" w:color="auto" w:fill="auto"/>
            <w:noWrap/>
            <w:vAlign w:val="bottom"/>
          </w:tcPr>
          <w:p w14:paraId="5EC1F08E">
            <w:pPr>
              <w:widowControl/>
              <w:spacing w:line="360" w:lineRule="auto"/>
              <w:ind w:firstLine="0" w:firstLineChars="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业务系统</w:t>
            </w:r>
          </w:p>
        </w:tc>
        <w:tc>
          <w:tcPr>
            <w:tcW w:w="1431" w:type="pct"/>
            <w:tcBorders>
              <w:top w:val="single" w:color="auto" w:sz="4" w:space="0"/>
              <w:left w:val="nil"/>
              <w:bottom w:val="single" w:color="auto" w:sz="4" w:space="0"/>
              <w:right w:val="single" w:color="auto" w:sz="4" w:space="0"/>
            </w:tcBorders>
            <w:shd w:val="clear" w:color="auto" w:fill="auto"/>
            <w:noWrap/>
            <w:vAlign w:val="bottom"/>
          </w:tcPr>
          <w:p w14:paraId="1AA65F41">
            <w:pPr>
              <w:widowControl/>
              <w:spacing w:line="360" w:lineRule="auto"/>
              <w:ind w:firstLine="0" w:firstLineChars="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备注</w:t>
            </w:r>
          </w:p>
        </w:tc>
      </w:tr>
      <w:tr w14:paraId="04348BAA">
        <w:tblPrEx>
          <w:tblCellMar>
            <w:top w:w="0" w:type="dxa"/>
            <w:left w:w="108" w:type="dxa"/>
            <w:bottom w:w="0" w:type="dxa"/>
            <w:right w:w="108" w:type="dxa"/>
          </w:tblCellMar>
        </w:tblPrEx>
        <w:trPr>
          <w:trHeight w:val="552" w:hRule="atLeast"/>
        </w:trPr>
        <w:tc>
          <w:tcPr>
            <w:tcW w:w="469" w:type="pct"/>
            <w:tcBorders>
              <w:top w:val="nil"/>
              <w:left w:val="single" w:color="auto" w:sz="4" w:space="0"/>
              <w:bottom w:val="single" w:color="auto" w:sz="4" w:space="0"/>
              <w:right w:val="single" w:color="auto" w:sz="4" w:space="0"/>
            </w:tcBorders>
            <w:shd w:val="clear" w:color="auto" w:fill="auto"/>
            <w:noWrap/>
            <w:vAlign w:val="bottom"/>
          </w:tcPr>
          <w:p w14:paraId="324C5073">
            <w:pPr>
              <w:widowControl/>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572" w:type="pct"/>
            <w:tcBorders>
              <w:top w:val="nil"/>
              <w:left w:val="nil"/>
              <w:bottom w:val="single" w:color="auto" w:sz="4" w:space="0"/>
              <w:right w:val="single" w:color="auto" w:sz="4" w:space="0"/>
            </w:tcBorders>
            <w:shd w:val="clear" w:color="auto" w:fill="auto"/>
            <w:vAlign w:val="center"/>
          </w:tcPr>
          <w:p w14:paraId="346FDEFA">
            <w:pPr>
              <w:widowControl/>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lang w:eastAsia="zh-CN"/>
              </w:rPr>
              <w:t>海南智慧健康岛建设工程项目</w:t>
            </w:r>
          </w:p>
        </w:tc>
        <w:tc>
          <w:tcPr>
            <w:tcW w:w="1526" w:type="pct"/>
            <w:tcBorders>
              <w:top w:val="nil"/>
              <w:left w:val="nil"/>
              <w:bottom w:val="single" w:color="auto" w:sz="4" w:space="0"/>
              <w:right w:val="single" w:color="auto" w:sz="4" w:space="0"/>
            </w:tcBorders>
            <w:shd w:val="clear" w:color="auto" w:fill="auto"/>
            <w:vAlign w:val="center"/>
          </w:tcPr>
          <w:p w14:paraId="5BCAEC34">
            <w:pPr>
              <w:keepNext w:val="0"/>
              <w:keepLines w:val="0"/>
              <w:widowControl/>
              <w:numPr>
                <w:ilvl w:val="0"/>
                <w:numId w:val="2"/>
              </w:numPr>
              <w:suppressLineNumbers w:val="0"/>
              <w:spacing w:before="0" w:beforeAutospacing="0" w:after="0" w:afterAutospacing="0" w:line="360" w:lineRule="auto"/>
              <w:ind w:left="0" w:leftChars="0" w:right="0" w:firstLine="0" w:firstLineChars="0"/>
              <w:jc w:val="left"/>
              <w:textAlignment w:val="center"/>
              <w:rPr>
                <w:rFonts w:hint="eastAsia"/>
                <w:color w:val="auto"/>
                <w:highlight w:val="none"/>
                <w:lang w:val="en-US" w:eastAsia="zh-CN"/>
              </w:rPr>
            </w:pPr>
            <w:r>
              <w:rPr>
                <w:rFonts w:hint="eastAsia"/>
                <w:color w:val="auto"/>
                <w:highlight w:val="none"/>
                <w:lang w:val="en-US" w:eastAsia="zh-CN"/>
              </w:rPr>
              <w:t>数据健康大脑</w:t>
            </w:r>
          </w:p>
          <w:p w14:paraId="54BD5AD9">
            <w:pPr>
              <w:widowControl/>
              <w:numPr>
                <w:ilvl w:val="0"/>
                <w:numId w:val="2"/>
              </w:numPr>
              <w:spacing w:line="360" w:lineRule="auto"/>
              <w:ind w:left="0" w:leftChars="0" w:firstLine="0" w:firstLineChars="0"/>
              <w:jc w:val="both"/>
              <w:rPr>
                <w:rFonts w:hint="eastAsia" w:ascii="宋体" w:hAnsi="宋体" w:eastAsia="宋体" w:cs="宋体"/>
                <w:color w:val="auto"/>
                <w:kern w:val="0"/>
                <w:sz w:val="24"/>
                <w:szCs w:val="24"/>
                <w:highlight w:val="none"/>
                <w:lang w:bidi="ar"/>
              </w:rPr>
            </w:pPr>
            <w:r>
              <w:rPr>
                <w:rFonts w:hint="eastAsia"/>
                <w:color w:val="auto"/>
                <w:highlight w:val="none"/>
                <w:lang w:val="en-US" w:eastAsia="zh-CN"/>
              </w:rPr>
              <w:t>健康服务全岛通</w:t>
            </w:r>
            <w:bookmarkStart w:id="0" w:name="_GoBack"/>
            <w:bookmarkEnd w:id="0"/>
          </w:p>
          <w:p w14:paraId="158EFDBF">
            <w:pPr>
              <w:keepNext w:val="0"/>
              <w:keepLines w:val="0"/>
              <w:widowControl/>
              <w:numPr>
                <w:ilvl w:val="0"/>
                <w:numId w:val="2"/>
              </w:numPr>
              <w:suppressLineNumbers w:val="0"/>
              <w:spacing w:before="0" w:beforeAutospacing="0" w:after="0" w:afterAutospacing="0" w:line="360" w:lineRule="auto"/>
              <w:ind w:left="0" w:leftChars="0" w:right="0" w:firstLine="0" w:firstLineChars="0"/>
              <w:jc w:val="left"/>
              <w:textAlignment w:val="center"/>
              <w:rPr>
                <w:rFonts w:hint="eastAsia" w:ascii="宋体" w:hAnsi="宋体" w:eastAsia="宋体" w:cs="宋体"/>
                <w:color w:val="auto"/>
                <w:kern w:val="0"/>
                <w:sz w:val="24"/>
                <w:szCs w:val="24"/>
                <w:highlight w:val="none"/>
                <w:lang w:bidi="ar"/>
              </w:rPr>
            </w:pPr>
            <w:r>
              <w:rPr>
                <w:rFonts w:hint="eastAsia"/>
                <w:color w:val="auto"/>
                <w:highlight w:val="none"/>
                <w:lang w:val="en-US" w:eastAsia="zh-CN"/>
              </w:rPr>
              <w:t>三医联动智慧行</w:t>
            </w:r>
          </w:p>
          <w:p w14:paraId="6B411373">
            <w:pPr>
              <w:keepNext w:val="0"/>
              <w:keepLines w:val="0"/>
              <w:widowControl/>
              <w:numPr>
                <w:ilvl w:val="0"/>
                <w:numId w:val="2"/>
              </w:numPr>
              <w:suppressLineNumbers w:val="0"/>
              <w:spacing w:before="0" w:beforeAutospacing="0" w:after="0" w:afterAutospacing="0" w:line="360" w:lineRule="auto"/>
              <w:ind w:left="0" w:leftChars="0" w:right="0" w:firstLine="0" w:firstLineChars="0"/>
              <w:jc w:val="left"/>
              <w:textAlignment w:val="center"/>
              <w:rPr>
                <w:rFonts w:hint="eastAsia" w:ascii="宋体" w:hAnsi="宋体" w:eastAsia="宋体" w:cs="宋体"/>
                <w:color w:val="auto"/>
                <w:kern w:val="0"/>
                <w:sz w:val="24"/>
                <w:szCs w:val="24"/>
                <w:highlight w:val="none"/>
                <w:lang w:bidi="ar"/>
              </w:rPr>
            </w:pPr>
            <w:r>
              <w:rPr>
                <w:rFonts w:hint="eastAsia"/>
                <w:color w:val="auto"/>
                <w:highlight w:val="none"/>
                <w:lang w:val="en-US" w:eastAsia="zh-CN"/>
              </w:rPr>
              <w:t>公共卫生医防融</w:t>
            </w:r>
          </w:p>
          <w:p w14:paraId="56610D98">
            <w:pPr>
              <w:keepNext w:val="0"/>
              <w:keepLines w:val="0"/>
              <w:widowControl/>
              <w:numPr>
                <w:ilvl w:val="0"/>
                <w:numId w:val="2"/>
              </w:numPr>
              <w:suppressLineNumbers w:val="0"/>
              <w:spacing w:before="0" w:beforeAutospacing="0" w:after="0" w:afterAutospacing="0" w:line="360" w:lineRule="auto"/>
              <w:ind w:left="0" w:leftChars="0" w:right="0" w:firstLine="0" w:firstLineChars="0"/>
              <w:jc w:val="left"/>
              <w:textAlignment w:val="center"/>
              <w:rPr>
                <w:rFonts w:hint="eastAsia" w:ascii="宋体" w:hAnsi="宋体" w:eastAsia="宋体" w:cs="宋体"/>
                <w:color w:val="auto"/>
                <w:kern w:val="0"/>
                <w:sz w:val="24"/>
                <w:szCs w:val="24"/>
                <w:highlight w:val="none"/>
                <w:lang w:bidi="ar"/>
              </w:rPr>
            </w:pPr>
            <w:r>
              <w:rPr>
                <w:rFonts w:hint="eastAsia"/>
                <w:color w:val="auto"/>
                <w:highlight w:val="none"/>
                <w:lang w:val="en-US" w:eastAsia="zh-CN"/>
              </w:rPr>
              <w:t>行业治理防风险</w:t>
            </w:r>
          </w:p>
          <w:p w14:paraId="085A1783">
            <w:pPr>
              <w:widowControl/>
              <w:numPr>
                <w:ilvl w:val="0"/>
                <w:numId w:val="2"/>
              </w:numPr>
              <w:spacing w:line="360" w:lineRule="auto"/>
              <w:ind w:left="0" w:leftChars="0" w:firstLine="0" w:firstLineChars="0"/>
              <w:jc w:val="both"/>
              <w:rPr>
                <w:rFonts w:hint="eastAsia" w:ascii="宋体" w:hAnsi="宋体" w:eastAsia="宋体" w:cs="宋体"/>
                <w:color w:val="auto"/>
                <w:sz w:val="24"/>
                <w:szCs w:val="24"/>
                <w:highlight w:val="none"/>
              </w:rPr>
            </w:pPr>
            <w:r>
              <w:rPr>
                <w:rFonts w:hint="eastAsia"/>
                <w:color w:val="auto"/>
                <w:highlight w:val="none"/>
                <w:lang w:val="en-US" w:eastAsia="zh-CN"/>
              </w:rPr>
              <w:t>数字健康创新引擎</w:t>
            </w:r>
          </w:p>
        </w:tc>
        <w:tc>
          <w:tcPr>
            <w:tcW w:w="1431" w:type="pct"/>
            <w:tcBorders>
              <w:top w:val="nil"/>
              <w:left w:val="single" w:color="auto" w:sz="4" w:space="0"/>
              <w:bottom w:val="single" w:color="auto" w:sz="4" w:space="0"/>
              <w:right w:val="single" w:color="auto" w:sz="4" w:space="0"/>
            </w:tcBorders>
            <w:shd w:val="clear" w:color="auto" w:fill="auto"/>
            <w:vAlign w:val="center"/>
          </w:tcPr>
          <w:p w14:paraId="76F9BB53">
            <w:pPr>
              <w:widowControl/>
              <w:spacing w:line="360" w:lineRule="auto"/>
              <w:ind w:firstLine="0" w:firstLineChars="0"/>
              <w:jc w:val="center"/>
              <w:rPr>
                <w:rFonts w:hint="default"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eastAsia="zh-CN"/>
              </w:rPr>
              <w:t>具体功能详见</w:t>
            </w:r>
            <w:r>
              <w:rPr>
                <w:rFonts w:hint="eastAsia" w:ascii="宋体" w:hAnsi="宋体" w:eastAsia="宋体" w:cs="宋体"/>
                <w:color w:val="auto"/>
                <w:sz w:val="24"/>
                <w:szCs w:val="24"/>
                <w:highlight w:val="none"/>
                <w:lang w:val="en-US" w:eastAsia="zh-CN"/>
              </w:rPr>
              <w:t>本项目包1至包6采购需求</w:t>
            </w:r>
          </w:p>
        </w:tc>
      </w:tr>
    </w:tbl>
    <w:p w14:paraId="6E82761B">
      <w:pPr>
        <w:spacing w:line="360" w:lineRule="auto"/>
        <w:ind w:firstLine="480" w:firstLineChars="200"/>
        <w:rPr>
          <w:rFonts w:hint="eastAsia" w:ascii="宋体" w:hAnsi="宋体" w:eastAsia="宋体" w:cs="宋体"/>
          <w:color w:val="auto"/>
          <w:sz w:val="24"/>
          <w:szCs w:val="24"/>
          <w:highlight w:val="none"/>
        </w:rPr>
      </w:pPr>
    </w:p>
    <w:p w14:paraId="7A4F0205">
      <w:pPr>
        <w:pStyle w:val="6"/>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DOCVARIABLE  技术要求开始  \* MERGEFORMAT </w:instrTex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DOCVARIABLE  技术要求开始  \* MERGEFORMAT </w:instrTex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测试服务遵循的原则</w:t>
      </w:r>
    </w:p>
    <w:p w14:paraId="1C54866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测试单位应遵循如下服务准则，并完成项目的测试任务：</w:t>
      </w:r>
    </w:p>
    <w:p w14:paraId="79B7E03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1、科学、客观、公正、高效原则：坚持科学、客观、公正、高效的基本原则，完成系统的软件系统验收测试工作；</w:t>
      </w:r>
    </w:p>
    <w:p w14:paraId="1C828E2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2、标准化原则：按照国家和行业相关的法律、法规、规范、标准和制度开展测试工作，履行测试合同规定的职责和义务；</w:t>
      </w:r>
    </w:p>
    <w:p w14:paraId="2611527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3、制度化原则：服务过程中，严格按照规范化作风要求所有测试人员，做到纪律严明，按章办事，严守规则，提供高质量的测试技术服务；</w:t>
      </w:r>
    </w:p>
    <w:p w14:paraId="5A9AD73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4、遵守国家的法律和政府的有关条例、规定和方法等；</w:t>
      </w:r>
    </w:p>
    <w:p w14:paraId="2B0A4F1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5、认真履行工程建设测试合同所承诺的义务和约定承担的责任；</w:t>
      </w:r>
    </w:p>
    <w:p w14:paraId="43DD0DF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6、坚持科学的态度和实事求是的原则。</w:t>
      </w:r>
    </w:p>
    <w:p w14:paraId="53C4F24D">
      <w:pPr>
        <w:pStyle w:val="6"/>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DOCVARIABLE  技术要求开始  \* MERGEFORMAT </w:instrTex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测试技术内容</w:t>
      </w:r>
    </w:p>
    <w:p w14:paraId="1DB4300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国家对信息化项目建设、验收的相关标准和行业相关标准，根据项目可研初设等材料明确软测服务内容，依据用户提供的文档，列出测试对象的测试特性，分别对每一个被测试特性及其组合进行详细测试设计说明，提交总体测试方案，并根据测试方案中规定的指标和评判标准对指定测试对象实施检测，最后提交详细的项目测试记录及项目测试报告。</w:t>
      </w:r>
    </w:p>
    <w:p w14:paraId="5406BA9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软件系统验收测试技术内容：功能性测试、性能测试、易用性测试、用户文档测试等多方面进行测评。具体要求见下表：</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717"/>
        <w:gridCol w:w="1701"/>
        <w:gridCol w:w="3413"/>
        <w:gridCol w:w="3413"/>
      </w:tblGrid>
      <w:tr w14:paraId="4B749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91" w:hRule="atLeast"/>
          <w:tblHeader/>
          <w:jc w:val="center"/>
        </w:trPr>
        <w:tc>
          <w:tcPr>
            <w:tcW w:w="717" w:type="dxa"/>
            <w:shd w:val="clear" w:color="auto" w:fill="D9D9D9"/>
            <w:vAlign w:val="center"/>
          </w:tcPr>
          <w:p w14:paraId="610D1C8A">
            <w:pPr>
              <w:spacing w:line="360" w:lineRule="auto"/>
              <w:ind w:firstLine="0" w:firstLineChars="0"/>
              <w:jc w:val="both"/>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1701" w:type="dxa"/>
            <w:shd w:val="clear" w:color="auto" w:fill="D9D9D9"/>
            <w:vAlign w:val="center"/>
          </w:tcPr>
          <w:p w14:paraId="6761E3E0">
            <w:pPr>
              <w:spacing w:line="360" w:lineRule="auto"/>
              <w:ind w:firstLine="0" w:firstLineChars="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检测内容</w:t>
            </w:r>
          </w:p>
        </w:tc>
        <w:tc>
          <w:tcPr>
            <w:tcW w:w="3413" w:type="dxa"/>
            <w:shd w:val="clear" w:color="auto" w:fill="D9D9D9"/>
            <w:vAlign w:val="center"/>
          </w:tcPr>
          <w:p w14:paraId="12A70D8E">
            <w:pPr>
              <w:spacing w:line="360" w:lineRule="auto"/>
              <w:ind w:firstLine="0" w:firstLineChars="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检测内容要求</w:t>
            </w:r>
          </w:p>
        </w:tc>
        <w:tc>
          <w:tcPr>
            <w:tcW w:w="3413" w:type="dxa"/>
            <w:shd w:val="clear" w:color="auto" w:fill="D9D9D9"/>
            <w:vAlign w:val="center"/>
          </w:tcPr>
          <w:p w14:paraId="1EE35938">
            <w:pPr>
              <w:spacing w:line="360" w:lineRule="auto"/>
              <w:ind w:firstLine="0" w:firstLineChars="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符合标准</w:t>
            </w:r>
          </w:p>
        </w:tc>
      </w:tr>
      <w:tr w14:paraId="25655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930" w:hRule="atLeast"/>
          <w:jc w:val="center"/>
        </w:trPr>
        <w:tc>
          <w:tcPr>
            <w:tcW w:w="717" w:type="dxa"/>
            <w:vAlign w:val="center"/>
          </w:tcPr>
          <w:p w14:paraId="5A08D364">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701" w:type="dxa"/>
            <w:vAlign w:val="center"/>
          </w:tcPr>
          <w:p w14:paraId="23F7C95A">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功能性测试</w:t>
            </w:r>
          </w:p>
        </w:tc>
        <w:tc>
          <w:tcPr>
            <w:tcW w:w="3413" w:type="dxa"/>
            <w:vAlign w:val="center"/>
          </w:tcPr>
          <w:p w14:paraId="609128BF">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（1）投标人应分析测试对象各功能模块的功能需求，依据项目的《可行性研究报告</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初步设计方案</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需求规格说明书</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概要设计》及其他相关文档的要求验证功能模块是否实现了全部需求和设计，要求投标人测评覆盖所有功能点，确保各项功能是可正确执行的，测试覆盖率应达到 100%。（2）应依据《需求规格说明书》和《详细设计文档》，分析系统模块各功能点测评的优先级别。用户经常使用、关系到系统核心功能、优先级别较高的功能点应予以重点关注，尤其在回归测试时应优先执行。</w:t>
            </w:r>
          </w:p>
          <w:p w14:paraId="5EB70A6A">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应分析系统业务需求，对业务流程进行数据流向测评，确保关键业务流程正确执行；投标人的测评工作必须既包括正常输入和正常业务流程测评，也包括对非法数据输入和异常处理的测评，同时要求测评内容覆盖整个业务周期。</w:t>
            </w:r>
          </w:p>
          <w:p w14:paraId="1D0E9810">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（4）应分析各系统模块的数据处理需求，对系统业务数据进行严格的正确性测评（包括数据是否超出正常的值范围、报表数据准确性等），确保系统即时数据和历史数据准确无误。</w:t>
            </w:r>
          </w:p>
          <w:p w14:paraId="67C5B4F1">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（5）应对系统模块的业务交互进行测试。投标人在进行功能、业务流程等测试的同时，需要对各系统之间的交互情况进行测试，并确认各系统之间的业务数据交互的正确性。</w:t>
            </w:r>
          </w:p>
        </w:tc>
        <w:tc>
          <w:tcPr>
            <w:tcW w:w="3413" w:type="dxa"/>
            <w:vAlign w:val="center"/>
          </w:tcPr>
          <w:p w14:paraId="62DFF525">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功能性测试的目的是测评测试对象的主要服务模块是否逐项满足了业务需求，确保业务需求的功能实现。</w:t>
            </w:r>
          </w:p>
        </w:tc>
      </w:tr>
      <w:tr w14:paraId="7183B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930" w:hRule="atLeast"/>
          <w:jc w:val="center"/>
        </w:trPr>
        <w:tc>
          <w:tcPr>
            <w:tcW w:w="717" w:type="dxa"/>
            <w:vAlign w:val="center"/>
          </w:tcPr>
          <w:p w14:paraId="150907FB">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1701" w:type="dxa"/>
            <w:vAlign w:val="center"/>
          </w:tcPr>
          <w:p w14:paraId="60BF6574">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性能测试</w:t>
            </w:r>
          </w:p>
        </w:tc>
        <w:tc>
          <w:tcPr>
            <w:tcW w:w="3413" w:type="dxa"/>
            <w:vAlign w:val="center"/>
          </w:tcPr>
          <w:p w14:paraId="76C1D053">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投标人应依据《可行性研究报告</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初步设计方案</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需求规格说明书</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概要设计》及其他相关文档对性能指标的描述，考查各业务模块关键业务在正常工作量、预期的峰值工作量下的效率情况，主要考虑系统容量特性、时间特性及资源利用状况等效率指标是否符合用户需求，并据此对系统的性能做出全面的评价。</w:t>
            </w:r>
          </w:p>
        </w:tc>
        <w:tc>
          <w:tcPr>
            <w:tcW w:w="3413" w:type="dxa"/>
            <w:vAlign w:val="center"/>
          </w:tcPr>
          <w:p w14:paraId="41E4C6A1">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系统的性能应满足系统的负载要求和性能需求，性能需求可包括：可承受的并发量、响应时间、吞吐量。</w:t>
            </w:r>
          </w:p>
        </w:tc>
      </w:tr>
      <w:tr w14:paraId="64316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930" w:hRule="atLeast"/>
          <w:jc w:val="center"/>
        </w:trPr>
        <w:tc>
          <w:tcPr>
            <w:tcW w:w="717" w:type="dxa"/>
            <w:vAlign w:val="center"/>
          </w:tcPr>
          <w:p w14:paraId="238E9886">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701" w:type="dxa"/>
            <w:vAlign w:val="center"/>
          </w:tcPr>
          <w:p w14:paraId="51484EFC">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易用性测试</w:t>
            </w:r>
          </w:p>
        </w:tc>
        <w:tc>
          <w:tcPr>
            <w:tcW w:w="3413" w:type="dxa"/>
            <w:vAlign w:val="center"/>
          </w:tcPr>
          <w:p w14:paraId="223C3864">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投标人应依据《可行性研究报告</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初步设计方案</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需求规格说明书</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概要设计》及其他相关文档对易用性指标的描述，依据用户视觉感受和使用习惯，测试功能模块人机交互友好易用，是否符合用户的操作习惯、容易上手操作。</w:t>
            </w:r>
          </w:p>
        </w:tc>
        <w:tc>
          <w:tcPr>
            <w:tcW w:w="3413" w:type="dxa"/>
            <w:vAlign w:val="center"/>
          </w:tcPr>
          <w:p w14:paraId="07919677">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系统的操作命令界面为标准图形交互界面，风格统一，层次简洁，操作命令的命名无二义性。</w:t>
            </w:r>
          </w:p>
        </w:tc>
      </w:tr>
      <w:tr w14:paraId="4A45A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930" w:hRule="atLeast"/>
          <w:jc w:val="center"/>
        </w:trPr>
        <w:tc>
          <w:tcPr>
            <w:tcW w:w="717" w:type="dxa"/>
            <w:vAlign w:val="center"/>
          </w:tcPr>
          <w:p w14:paraId="7BA69FD3">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1701" w:type="dxa"/>
            <w:vAlign w:val="center"/>
          </w:tcPr>
          <w:p w14:paraId="252D2755">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用户文档测试</w:t>
            </w:r>
          </w:p>
        </w:tc>
        <w:tc>
          <w:tcPr>
            <w:tcW w:w="3413" w:type="dxa"/>
            <w:vAlign w:val="center"/>
          </w:tcPr>
          <w:p w14:paraId="2DB44E88">
            <w:pPr>
              <w:spacing w:line="360" w:lineRule="auto"/>
              <w:ind w:firstLine="0" w:firstLineChars="0"/>
              <w:rPr>
                <w:rFonts w:hint="eastAsia" w:ascii="宋体" w:hAnsi="宋体" w:eastAsia="宋体" w:cs="宋体"/>
                <w:color w:val="auto"/>
                <w:sz w:val="24"/>
                <w:szCs w:val="24"/>
                <w:highlight w:val="none"/>
              </w:rPr>
            </w:pPr>
          </w:p>
        </w:tc>
        <w:tc>
          <w:tcPr>
            <w:tcW w:w="3413" w:type="dxa"/>
            <w:vAlign w:val="center"/>
          </w:tcPr>
          <w:p w14:paraId="56103E06">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满足用户文档应包括安装、维护、功能说明、操作说明方面的信息，并符合完整性、正确性、一致性、易理解性、易浏览性的要求。</w:t>
            </w:r>
          </w:p>
        </w:tc>
      </w:tr>
    </w:tbl>
    <w:p w14:paraId="09E1C8D9">
      <w:pPr>
        <w:pStyle w:val="6"/>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1.5交付成果及</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DOCVARIABLE  技术要求开始  \* MERGEFORMAT </w:instrTex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验收要求</w:t>
      </w:r>
    </w:p>
    <w:p w14:paraId="5602239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按期完成第三方软件测试服务，根据不同项目系统交付独立的第三方软件测试报告，包括以下内容：</w:t>
      </w:r>
    </w:p>
    <w:p w14:paraId="403729C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1、测试计划；</w:t>
      </w:r>
    </w:p>
    <w:p w14:paraId="4F661E1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2、测试用例（参照各项目的可研、初设等文件来明确功能点）；</w:t>
      </w:r>
    </w:p>
    <w:p w14:paraId="5459015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3、测试记录</w:t>
      </w:r>
    </w:p>
    <w:p w14:paraId="68BB12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4、测试问题清单及整改建议；</w:t>
      </w:r>
    </w:p>
    <w:p w14:paraId="7A2E3F7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5、回归测试报告；</w:t>
      </w:r>
    </w:p>
    <w:p w14:paraId="3F3315E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交付的第三方软件测试报告（包括原件扫描电子件）符合下列4点要求：</w:t>
      </w:r>
    </w:p>
    <w:p w14:paraId="508F319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1、标准化：项目验收最关键的指标，应确保第三方软件测试过程符合最新的国家标准规范；</w:t>
      </w:r>
    </w:p>
    <w:p w14:paraId="2F93CEE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2、系统稳定性：在测试过程中应确保软硬件环境的稳定性、运行正常；</w:t>
      </w:r>
    </w:p>
    <w:p w14:paraId="0AFE6CA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3、系统文档：验收文档是否齐全、规范、准确、详细；</w:t>
      </w:r>
    </w:p>
    <w:p w14:paraId="0FAF419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4、系统可操作性：交付成果清晰、通俗易懂。</w:t>
      </w:r>
    </w:p>
    <w:p w14:paraId="2CAE4BA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测试服务验收要求：测试单位应根据整体工作计划和安排完成软件测试的验收工作，测试验收报告和测试结果应组织专家评审，达到合格意见验收标准。</w:t>
      </w:r>
    </w:p>
    <w:p w14:paraId="634C2812">
      <w:pPr>
        <w:pStyle w:val="4"/>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（2）商务要求</w:t>
      </w:r>
    </w:p>
    <w:p w14:paraId="114F1D7A">
      <w:pPr>
        <w:pStyle w:val="6"/>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2.1采购标的所属行业</w:t>
      </w:r>
    </w:p>
    <w:p w14:paraId="3DA2FB9B">
      <w:pPr>
        <w:pStyle w:val="11"/>
        <w:spacing w:after="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本次采购标的所属行业为软件和信息技术服务业。</w:t>
      </w:r>
    </w:p>
    <w:p w14:paraId="45E5DEAB">
      <w:pPr>
        <w:pStyle w:val="6"/>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2.2服务期限</w:t>
      </w:r>
    </w:p>
    <w:p w14:paraId="5AC8C3AD">
      <w:pPr>
        <w:widowControl/>
        <w:snapToGrid w:val="0"/>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eastAsia="zh-CN"/>
        </w:rPr>
        <w:t>自合同签订之日起，</w:t>
      </w:r>
      <w:r>
        <w:rPr>
          <w:rFonts w:hint="eastAsia" w:ascii="宋体" w:hAnsi="宋体" w:eastAsia="宋体" w:cs="宋体"/>
          <w:color w:val="auto"/>
          <w:kern w:val="0"/>
          <w:sz w:val="24"/>
          <w:szCs w:val="24"/>
          <w:highlight w:val="none"/>
          <w:lang w:val="en-US" w:eastAsia="zh-CN"/>
        </w:rPr>
        <w:t>采购人</w:t>
      </w:r>
      <w:r>
        <w:rPr>
          <w:rFonts w:hint="eastAsia" w:ascii="宋体" w:hAnsi="宋体" w:eastAsia="宋体" w:cs="宋体"/>
          <w:color w:val="auto"/>
          <w:kern w:val="0"/>
          <w:sz w:val="24"/>
          <w:szCs w:val="24"/>
          <w:highlight w:val="none"/>
          <w:lang w:eastAsia="zh-CN"/>
        </w:rPr>
        <w:t>下达第三方软件测试通知书后开始实施，</w:t>
      </w:r>
      <w:r>
        <w:rPr>
          <w:rFonts w:hint="eastAsia" w:ascii="宋体" w:hAnsi="宋体" w:eastAsia="宋体" w:cs="宋体"/>
          <w:color w:val="auto"/>
          <w:kern w:val="0"/>
          <w:sz w:val="24"/>
          <w:szCs w:val="24"/>
          <w:highlight w:val="none"/>
          <w:lang w:val="en-US" w:eastAsia="zh-CN"/>
        </w:rPr>
        <w:t>投标人</w:t>
      </w:r>
      <w:r>
        <w:rPr>
          <w:rFonts w:hint="eastAsia" w:ascii="宋体" w:hAnsi="宋体" w:eastAsia="宋体" w:cs="宋体"/>
          <w:color w:val="auto"/>
          <w:kern w:val="0"/>
          <w:sz w:val="24"/>
          <w:szCs w:val="24"/>
          <w:highlight w:val="none"/>
          <w:lang w:val="en-US" w:eastAsia="zh-Hans"/>
        </w:rPr>
        <w:t>应当在</w:t>
      </w:r>
      <w:r>
        <w:rPr>
          <w:rFonts w:hint="eastAsia" w:ascii="宋体" w:hAnsi="宋体" w:eastAsia="宋体" w:cs="宋体"/>
          <w:color w:val="auto"/>
          <w:kern w:val="0"/>
          <w:sz w:val="24"/>
          <w:szCs w:val="24"/>
          <w:highlight w:val="none"/>
          <w:lang w:eastAsia="zh-CN"/>
        </w:rPr>
        <w:t>60天内完成第三方软件测试服务并交付服务成果</w:t>
      </w:r>
      <w:r>
        <w:rPr>
          <w:rFonts w:hint="eastAsia" w:ascii="宋体" w:hAnsi="宋体" w:eastAsia="宋体" w:cs="宋体"/>
          <w:color w:val="auto"/>
          <w:kern w:val="0"/>
          <w:sz w:val="24"/>
          <w:szCs w:val="24"/>
          <w:highlight w:val="none"/>
        </w:rPr>
        <w:t>。</w:t>
      </w:r>
    </w:p>
    <w:p w14:paraId="63FB7E8E">
      <w:pPr>
        <w:pStyle w:val="6"/>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2.3实施地点</w:t>
      </w:r>
    </w:p>
    <w:p w14:paraId="1924EF9E">
      <w:pPr>
        <w:widowControl/>
        <w:snapToGrid w:val="0"/>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采购人指定地点（海南省内）。</w:t>
      </w:r>
    </w:p>
    <w:p w14:paraId="0033117B">
      <w:pPr>
        <w:pStyle w:val="6"/>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2.4支付方式</w:t>
      </w:r>
    </w:p>
    <w:p w14:paraId="4B318BB0">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1.本合同签订后，待省财政资金下达后，采购人凭</w:t>
      </w:r>
      <w:r>
        <w:rPr>
          <w:rFonts w:hint="eastAsia" w:ascii="宋体" w:hAnsi="宋体" w:eastAsia="宋体" w:cs="宋体"/>
          <w:color w:val="auto"/>
          <w:kern w:val="0"/>
          <w:sz w:val="24"/>
          <w:szCs w:val="24"/>
          <w:highlight w:val="none"/>
          <w:lang w:eastAsia="zh-CN"/>
        </w:rPr>
        <w:t>测评单位</w:t>
      </w:r>
      <w:r>
        <w:rPr>
          <w:rFonts w:hint="eastAsia" w:ascii="宋体" w:hAnsi="宋体" w:eastAsia="宋体" w:cs="宋体"/>
          <w:color w:val="auto"/>
          <w:kern w:val="0"/>
          <w:sz w:val="24"/>
          <w:szCs w:val="24"/>
          <w:highlight w:val="none"/>
        </w:rPr>
        <w:t>开具的正式有效增值税普通发票在3个工作日内向</w:t>
      </w:r>
      <w:r>
        <w:rPr>
          <w:rFonts w:hint="eastAsia" w:ascii="宋体" w:hAnsi="宋体" w:eastAsia="宋体" w:cs="宋体"/>
          <w:color w:val="auto"/>
          <w:kern w:val="0"/>
          <w:sz w:val="24"/>
          <w:szCs w:val="24"/>
          <w:highlight w:val="none"/>
          <w:lang w:eastAsia="zh-CN"/>
        </w:rPr>
        <w:t>测评单位</w:t>
      </w:r>
      <w:r>
        <w:rPr>
          <w:rFonts w:hint="eastAsia" w:ascii="宋体" w:hAnsi="宋体" w:eastAsia="宋体" w:cs="宋体"/>
          <w:color w:val="auto"/>
          <w:kern w:val="0"/>
          <w:sz w:val="24"/>
          <w:szCs w:val="24"/>
          <w:highlight w:val="none"/>
        </w:rPr>
        <w:t>支付合同金额的30%预付款。</w:t>
      </w:r>
    </w:p>
    <w:p w14:paraId="523E875E">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2.项目初验合格,</w:t>
      </w:r>
      <w:r>
        <w:rPr>
          <w:rFonts w:hint="eastAsia" w:ascii="宋体" w:hAnsi="宋体" w:eastAsia="宋体" w:cs="仿宋"/>
          <w:color w:val="auto"/>
          <w:spacing w:val="6"/>
          <w:sz w:val="24"/>
          <w:szCs w:val="24"/>
          <w:highlight w:val="none"/>
          <w:lang w:val="en-US" w:eastAsia="zh-Hans"/>
        </w:rPr>
        <w:t>且</w:t>
      </w:r>
      <w:r>
        <w:rPr>
          <w:rFonts w:hint="eastAsia" w:ascii="宋体" w:hAnsi="宋体" w:eastAsia="宋体" w:cs="仿宋"/>
          <w:color w:val="auto"/>
          <w:spacing w:val="6"/>
          <w:sz w:val="24"/>
          <w:szCs w:val="24"/>
          <w:highlight w:val="none"/>
          <w:lang w:val="en-US" w:eastAsia="zh-CN"/>
        </w:rPr>
        <w:t>采购人</w:t>
      </w:r>
      <w:r>
        <w:rPr>
          <w:rFonts w:hint="eastAsia" w:ascii="宋体" w:hAnsi="宋体" w:eastAsia="宋体" w:cs="仿宋"/>
          <w:color w:val="auto"/>
          <w:spacing w:val="6"/>
          <w:sz w:val="24"/>
          <w:szCs w:val="24"/>
          <w:highlight w:val="none"/>
          <w:lang w:val="en-US" w:eastAsia="zh-Hans"/>
        </w:rPr>
        <w:t>确认</w:t>
      </w:r>
      <w:r>
        <w:rPr>
          <w:rFonts w:hint="eastAsia" w:ascii="宋体" w:hAnsi="宋体" w:eastAsia="宋体" w:cs="宋体"/>
          <w:color w:val="auto"/>
          <w:kern w:val="0"/>
          <w:sz w:val="24"/>
          <w:szCs w:val="24"/>
          <w:highlight w:val="none"/>
          <w:lang w:eastAsia="zh-CN"/>
        </w:rPr>
        <w:t>测评单位</w:t>
      </w:r>
      <w:r>
        <w:rPr>
          <w:rFonts w:hint="eastAsia" w:ascii="宋体" w:hAnsi="宋体" w:eastAsia="宋体" w:cs="仿宋"/>
          <w:color w:val="auto"/>
          <w:spacing w:val="6"/>
          <w:sz w:val="24"/>
          <w:szCs w:val="24"/>
          <w:highlight w:val="none"/>
          <w:lang w:val="en-US" w:eastAsia="zh-Hans"/>
        </w:rPr>
        <w:t>提供的</w:t>
      </w:r>
      <w:r>
        <w:rPr>
          <w:rFonts w:hint="eastAsia" w:ascii="宋体" w:hAnsi="宋体" w:eastAsia="宋体" w:cs="仿宋"/>
          <w:color w:val="auto"/>
          <w:spacing w:val="5"/>
          <w:sz w:val="24"/>
          <w:szCs w:val="24"/>
          <w:highlight w:val="none"/>
          <w:u w:val="single"/>
          <w:lang w:eastAsia="zh-CN"/>
        </w:rPr>
        <w:t>软件测评</w:t>
      </w:r>
      <w:r>
        <w:rPr>
          <w:rFonts w:hint="eastAsia" w:ascii="宋体" w:hAnsi="宋体" w:eastAsia="宋体" w:cs="仿宋"/>
          <w:color w:val="auto"/>
          <w:spacing w:val="5"/>
          <w:sz w:val="24"/>
          <w:szCs w:val="24"/>
          <w:highlight w:val="none"/>
          <w:u w:val="single"/>
          <w:lang w:val="en-US" w:eastAsia="zh-CN"/>
        </w:rPr>
        <w:t>服务</w:t>
      </w:r>
      <w:r>
        <w:rPr>
          <w:rFonts w:hint="eastAsia" w:ascii="宋体" w:hAnsi="宋体" w:eastAsia="宋体" w:cs="仿宋"/>
          <w:color w:val="auto"/>
          <w:spacing w:val="5"/>
          <w:sz w:val="24"/>
          <w:szCs w:val="24"/>
          <w:highlight w:val="none"/>
          <w:u w:val="single"/>
          <w:lang w:val="en-US" w:eastAsia="zh-Hans"/>
        </w:rPr>
        <w:t>及服务成果符合要求</w:t>
      </w:r>
      <w:r>
        <w:rPr>
          <w:rFonts w:hint="default" w:ascii="宋体" w:hAnsi="宋体" w:eastAsia="宋体" w:cs="仿宋"/>
          <w:color w:val="auto"/>
          <w:spacing w:val="5"/>
          <w:sz w:val="24"/>
          <w:szCs w:val="24"/>
          <w:highlight w:val="none"/>
          <w:u w:val="single"/>
          <w:lang w:eastAsia="zh-Hans"/>
        </w:rPr>
        <w:t>，</w:t>
      </w:r>
      <w:r>
        <w:rPr>
          <w:rFonts w:hint="eastAsia" w:ascii="宋体" w:hAnsi="宋体" w:eastAsia="宋体" w:cs="宋体"/>
          <w:color w:val="auto"/>
          <w:kern w:val="0"/>
          <w:sz w:val="24"/>
          <w:szCs w:val="24"/>
          <w:highlight w:val="none"/>
        </w:rPr>
        <w:t>待省财政资金下达后，采购人在收到</w:t>
      </w:r>
      <w:r>
        <w:rPr>
          <w:rFonts w:hint="eastAsia" w:ascii="宋体" w:hAnsi="宋体" w:eastAsia="宋体" w:cs="宋体"/>
          <w:color w:val="auto"/>
          <w:kern w:val="0"/>
          <w:sz w:val="24"/>
          <w:szCs w:val="24"/>
          <w:highlight w:val="none"/>
          <w:lang w:eastAsia="zh-CN"/>
        </w:rPr>
        <w:t>测评单位</w:t>
      </w:r>
      <w:r>
        <w:rPr>
          <w:rFonts w:hint="eastAsia" w:ascii="宋体" w:hAnsi="宋体" w:eastAsia="宋体" w:cs="宋体"/>
          <w:color w:val="auto"/>
          <w:kern w:val="0"/>
          <w:sz w:val="24"/>
          <w:szCs w:val="24"/>
          <w:highlight w:val="none"/>
        </w:rPr>
        <w:t>开具的增值税普通发票之日起3个工作日内,向</w:t>
      </w:r>
      <w:r>
        <w:rPr>
          <w:rFonts w:hint="eastAsia" w:ascii="宋体" w:hAnsi="宋体" w:eastAsia="宋体" w:cs="宋体"/>
          <w:color w:val="auto"/>
          <w:kern w:val="0"/>
          <w:sz w:val="24"/>
          <w:szCs w:val="24"/>
          <w:highlight w:val="none"/>
          <w:lang w:eastAsia="zh-CN"/>
        </w:rPr>
        <w:t>测评单位</w:t>
      </w:r>
      <w:r>
        <w:rPr>
          <w:rFonts w:hint="eastAsia" w:ascii="宋体" w:hAnsi="宋体" w:eastAsia="宋体" w:cs="宋体"/>
          <w:color w:val="auto"/>
          <w:kern w:val="0"/>
          <w:sz w:val="24"/>
          <w:szCs w:val="24"/>
          <w:highlight w:val="none"/>
        </w:rPr>
        <w:t>支付合同总金额的40% 。</w:t>
      </w:r>
    </w:p>
    <w:p w14:paraId="49BD987D">
      <w:pPr>
        <w:tabs>
          <w:tab w:val="left" w:pos="1280"/>
        </w:tabs>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3.项目通过整体竣工验收,</w:t>
      </w:r>
      <w:r>
        <w:rPr>
          <w:rFonts w:hint="eastAsia" w:ascii="宋体" w:hAnsi="宋体" w:eastAsia="宋体" w:cs="仿宋"/>
          <w:color w:val="auto"/>
          <w:spacing w:val="6"/>
          <w:sz w:val="24"/>
          <w:szCs w:val="24"/>
          <w:highlight w:val="none"/>
          <w:lang w:val="en-US" w:eastAsia="zh-Hans"/>
        </w:rPr>
        <w:t>且</w:t>
      </w:r>
      <w:r>
        <w:rPr>
          <w:rFonts w:hint="eastAsia" w:ascii="宋体" w:hAnsi="宋体" w:eastAsia="宋体" w:cs="仿宋"/>
          <w:color w:val="auto"/>
          <w:spacing w:val="6"/>
          <w:sz w:val="24"/>
          <w:szCs w:val="24"/>
          <w:highlight w:val="none"/>
          <w:lang w:val="en-US" w:eastAsia="zh-CN"/>
        </w:rPr>
        <w:t>采购人</w:t>
      </w:r>
      <w:r>
        <w:rPr>
          <w:rFonts w:hint="eastAsia" w:ascii="宋体" w:hAnsi="宋体" w:eastAsia="宋体" w:cs="仿宋"/>
          <w:color w:val="auto"/>
          <w:spacing w:val="6"/>
          <w:sz w:val="24"/>
          <w:szCs w:val="24"/>
          <w:highlight w:val="none"/>
          <w:lang w:val="en-US" w:eastAsia="zh-Hans"/>
        </w:rPr>
        <w:t>确认</w:t>
      </w:r>
      <w:r>
        <w:rPr>
          <w:rFonts w:hint="eastAsia" w:ascii="宋体" w:hAnsi="宋体" w:eastAsia="宋体" w:cs="宋体"/>
          <w:color w:val="auto"/>
          <w:kern w:val="0"/>
          <w:sz w:val="24"/>
          <w:szCs w:val="24"/>
          <w:highlight w:val="none"/>
          <w:lang w:eastAsia="zh-CN"/>
        </w:rPr>
        <w:t>测评单位</w:t>
      </w:r>
      <w:r>
        <w:rPr>
          <w:rFonts w:hint="eastAsia" w:ascii="宋体" w:hAnsi="宋体" w:eastAsia="宋体" w:cs="仿宋"/>
          <w:color w:val="auto"/>
          <w:spacing w:val="6"/>
          <w:sz w:val="24"/>
          <w:szCs w:val="24"/>
          <w:highlight w:val="none"/>
          <w:lang w:val="en-US" w:eastAsia="zh-Hans"/>
        </w:rPr>
        <w:t>提供的</w:t>
      </w:r>
      <w:r>
        <w:rPr>
          <w:rFonts w:hint="eastAsia" w:ascii="宋体" w:hAnsi="宋体" w:eastAsia="宋体" w:cs="仿宋"/>
          <w:color w:val="auto"/>
          <w:spacing w:val="5"/>
          <w:sz w:val="24"/>
          <w:szCs w:val="24"/>
          <w:highlight w:val="none"/>
          <w:u w:val="single"/>
          <w:lang w:eastAsia="zh-CN"/>
        </w:rPr>
        <w:t>软件测评</w:t>
      </w:r>
      <w:r>
        <w:rPr>
          <w:rFonts w:hint="eastAsia" w:ascii="宋体" w:hAnsi="宋体" w:eastAsia="宋体" w:cs="仿宋"/>
          <w:color w:val="auto"/>
          <w:spacing w:val="5"/>
          <w:sz w:val="24"/>
          <w:szCs w:val="24"/>
          <w:highlight w:val="none"/>
          <w:u w:val="single"/>
          <w:lang w:val="en-US" w:eastAsia="zh-CN"/>
        </w:rPr>
        <w:t>服务</w:t>
      </w:r>
      <w:r>
        <w:rPr>
          <w:rFonts w:hint="eastAsia" w:ascii="宋体" w:hAnsi="宋体" w:eastAsia="宋体" w:cs="仿宋"/>
          <w:color w:val="auto"/>
          <w:spacing w:val="5"/>
          <w:sz w:val="24"/>
          <w:szCs w:val="24"/>
          <w:highlight w:val="none"/>
          <w:u w:val="single"/>
          <w:lang w:val="en-US" w:eastAsia="zh-Hans"/>
        </w:rPr>
        <w:t>及服务成果符合要求</w:t>
      </w:r>
      <w:r>
        <w:rPr>
          <w:rFonts w:hint="default" w:ascii="宋体" w:hAnsi="宋体" w:eastAsia="宋体" w:cs="仿宋"/>
          <w:color w:val="auto"/>
          <w:spacing w:val="5"/>
          <w:sz w:val="24"/>
          <w:szCs w:val="24"/>
          <w:highlight w:val="none"/>
          <w:u w:val="single"/>
          <w:lang w:eastAsia="zh-Hans"/>
        </w:rPr>
        <w:t>，</w:t>
      </w:r>
      <w:r>
        <w:rPr>
          <w:rFonts w:hint="eastAsia" w:ascii="宋体" w:hAnsi="宋体" w:eastAsia="宋体" w:cs="宋体"/>
          <w:color w:val="auto"/>
          <w:kern w:val="0"/>
          <w:sz w:val="24"/>
          <w:szCs w:val="24"/>
          <w:highlight w:val="none"/>
        </w:rPr>
        <w:t>待省财政资金下达后，采购人在收到</w:t>
      </w:r>
      <w:r>
        <w:rPr>
          <w:rFonts w:hint="eastAsia" w:ascii="宋体" w:hAnsi="宋体" w:eastAsia="宋体" w:cs="宋体"/>
          <w:color w:val="auto"/>
          <w:kern w:val="0"/>
          <w:sz w:val="24"/>
          <w:szCs w:val="24"/>
          <w:highlight w:val="none"/>
          <w:lang w:eastAsia="zh-CN"/>
        </w:rPr>
        <w:t>测评单位</w:t>
      </w:r>
      <w:r>
        <w:rPr>
          <w:rFonts w:hint="eastAsia" w:ascii="宋体" w:hAnsi="宋体" w:eastAsia="宋体" w:cs="宋体"/>
          <w:color w:val="auto"/>
          <w:kern w:val="0"/>
          <w:sz w:val="24"/>
          <w:szCs w:val="24"/>
          <w:highlight w:val="none"/>
        </w:rPr>
        <w:t>开具的增值税普通发票之日起3个工作日内,向</w:t>
      </w:r>
      <w:r>
        <w:rPr>
          <w:rFonts w:hint="eastAsia" w:ascii="宋体" w:hAnsi="宋体" w:eastAsia="宋体" w:cs="宋体"/>
          <w:color w:val="auto"/>
          <w:kern w:val="0"/>
          <w:sz w:val="24"/>
          <w:szCs w:val="24"/>
          <w:highlight w:val="none"/>
          <w:lang w:eastAsia="zh-CN"/>
        </w:rPr>
        <w:t>测评单位</w:t>
      </w:r>
      <w:r>
        <w:rPr>
          <w:rFonts w:hint="eastAsia" w:ascii="宋体" w:hAnsi="宋体" w:eastAsia="宋体" w:cs="宋体"/>
          <w:color w:val="auto"/>
          <w:kern w:val="0"/>
          <w:sz w:val="24"/>
          <w:szCs w:val="24"/>
          <w:highlight w:val="none"/>
        </w:rPr>
        <w:t>支付合同总金额的30%。</w:t>
      </w:r>
    </w:p>
    <w:p w14:paraId="496122B6">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注：测评单位每次申请付款应提供付款申请书、符合采购人要求的等额发票及采购人报账所必须的相关材料。测评单位申请付款时，如测评单位提供的材料不完整、不真实，采购人有权暂缓付款而不视为违约。</w:t>
      </w:r>
    </w:p>
    <w:p w14:paraId="3B6D999D">
      <w:pPr>
        <w:spacing w:line="360" w:lineRule="auto"/>
        <w:ind w:firstLine="480" w:firstLineChars="200"/>
        <w:rPr>
          <w:rFonts w:hint="eastAsia" w:ascii="宋体" w:hAnsi="宋体" w:eastAsia="宋体" w:cs="宋体"/>
          <w:b w:val="0"/>
          <w:bCs w:val="0"/>
          <w:color w:val="auto"/>
          <w:kern w:val="0"/>
          <w:sz w:val="24"/>
          <w:szCs w:val="24"/>
          <w:highlight w:val="none"/>
        </w:rPr>
      </w:pPr>
    </w:p>
    <w:p w14:paraId="30F4CC13">
      <w:pPr>
        <w:pStyle w:val="6"/>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2.5其它相关要求</w:t>
      </w:r>
    </w:p>
    <w:p w14:paraId="29E09184">
      <w:pPr>
        <w:pStyle w:val="7"/>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2.5.1项目组人员要求</w:t>
      </w:r>
    </w:p>
    <w:p w14:paraId="481099D1">
      <w:pPr>
        <w:pStyle w:val="18"/>
        <w:snapToGrid w:val="0"/>
        <w:spacing w:line="360" w:lineRule="auto"/>
        <w:ind w:firstLine="480"/>
        <w:rPr>
          <w:rFonts w:hint="eastAsia" w:ascii="宋体" w:hAnsi="宋体" w:eastAsia="宋体" w:cs="宋体"/>
          <w:color w:val="auto"/>
          <w:kern w:val="28"/>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kern w:val="28"/>
          <w:sz w:val="24"/>
          <w:szCs w:val="24"/>
          <w:highlight w:val="none"/>
        </w:rPr>
        <w:t>测评单位须根据项目特点和实际情况，提出项目团队配置方案，包括团队成员、组织架构和分组分工等，满足项目实施建设的需要。</w:t>
      </w:r>
    </w:p>
    <w:p w14:paraId="11F6BCD7">
      <w:pPr>
        <w:adjustRightInd w:val="0"/>
        <w:snapToGrid w:val="0"/>
        <w:spacing w:line="360" w:lineRule="auto"/>
        <w:ind w:firstLine="480" w:firstLineChars="200"/>
        <w:rPr>
          <w:rFonts w:hint="eastAsia" w:ascii="宋体" w:hAnsi="宋体" w:eastAsia="宋体" w:cs="宋体"/>
          <w:color w:val="auto"/>
          <w:kern w:val="28"/>
          <w:sz w:val="24"/>
          <w:szCs w:val="24"/>
          <w:highlight w:val="none"/>
          <w:u w:val="none"/>
        </w:rPr>
      </w:pPr>
      <w:r>
        <w:rPr>
          <w:rFonts w:hint="eastAsia" w:ascii="宋体" w:hAnsi="宋体" w:eastAsia="宋体" w:cs="宋体"/>
          <w:color w:val="auto"/>
          <w:kern w:val="28"/>
          <w:sz w:val="24"/>
          <w:szCs w:val="24"/>
          <w:highlight w:val="none"/>
          <w:u w:val="none"/>
        </w:rPr>
        <w:t>2、项目团队成员应不少于1名项目经理、</w:t>
      </w:r>
      <w:r>
        <w:rPr>
          <w:rFonts w:hint="eastAsia" w:ascii="宋体" w:hAnsi="宋体" w:eastAsia="宋体" w:cs="宋体"/>
          <w:color w:val="auto"/>
          <w:kern w:val="28"/>
          <w:sz w:val="24"/>
          <w:szCs w:val="24"/>
          <w:highlight w:val="none"/>
          <w:u w:val="none"/>
          <w:lang w:val="en-US" w:eastAsia="zh-CN"/>
        </w:rPr>
        <w:t>4</w:t>
      </w:r>
      <w:r>
        <w:rPr>
          <w:rFonts w:hint="eastAsia" w:ascii="宋体" w:hAnsi="宋体" w:eastAsia="宋体" w:cs="宋体"/>
          <w:color w:val="auto"/>
          <w:kern w:val="28"/>
          <w:sz w:val="24"/>
          <w:szCs w:val="24"/>
          <w:highlight w:val="none"/>
          <w:u w:val="none"/>
        </w:rPr>
        <w:t>名项目团队人员。项目经理具有至少3年以上软件测评服务项目管理经验，项目团队成员具有至少1年以上软件测评服务项目管理经验，所有人员必须属于测试单位在册员工</w:t>
      </w:r>
      <w:r>
        <w:rPr>
          <w:rFonts w:hint="eastAsia" w:ascii="宋体" w:hAnsi="宋体" w:eastAsia="宋体" w:cs="宋体"/>
          <w:b w:val="0"/>
          <w:bCs w:val="0"/>
          <w:color w:val="auto"/>
          <w:kern w:val="28"/>
          <w:sz w:val="24"/>
          <w:szCs w:val="24"/>
          <w:highlight w:val="none"/>
          <w:u w:val="none"/>
        </w:rPr>
        <w:t>（提供社保缴纳证明为认定依据或出具承诺函）</w:t>
      </w:r>
      <w:r>
        <w:rPr>
          <w:rFonts w:hint="eastAsia" w:ascii="宋体" w:hAnsi="宋体" w:eastAsia="宋体" w:cs="宋体"/>
          <w:color w:val="auto"/>
          <w:kern w:val="28"/>
          <w:sz w:val="24"/>
          <w:szCs w:val="24"/>
          <w:highlight w:val="none"/>
          <w:u w:val="none"/>
        </w:rPr>
        <w:t>，并</w:t>
      </w:r>
      <w:r>
        <w:rPr>
          <w:rFonts w:hint="eastAsia" w:ascii="宋体" w:hAnsi="宋体" w:eastAsia="宋体" w:cs="宋体"/>
          <w:b/>
          <w:bCs/>
          <w:color w:val="auto"/>
          <w:kern w:val="28"/>
          <w:sz w:val="24"/>
          <w:szCs w:val="24"/>
          <w:highlight w:val="none"/>
          <w:u w:val="none"/>
        </w:rPr>
        <w:t>提供相应人员相关简历信息（包含所学专业、学历等证明材料），相关证明须加盖投标人公章</w:t>
      </w:r>
      <w:r>
        <w:rPr>
          <w:rFonts w:hint="eastAsia" w:ascii="宋体" w:hAnsi="宋体" w:eastAsia="宋体" w:cs="宋体"/>
          <w:color w:val="auto"/>
          <w:kern w:val="28"/>
          <w:sz w:val="24"/>
          <w:szCs w:val="24"/>
          <w:highlight w:val="none"/>
          <w:u w:val="none"/>
        </w:rPr>
        <w:t>。合同签订后根据采购人实际需要派驻相关资历人员驻场开展服务。</w:t>
      </w:r>
    </w:p>
    <w:p w14:paraId="286C9C74">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kern w:val="28"/>
          <w:sz w:val="24"/>
          <w:szCs w:val="24"/>
          <w:highlight w:val="none"/>
        </w:rPr>
        <w:t>合同签订后根据采购人实际需求派驻相关资历人员驻场开展服务直至项目验收，驻场地点由采购人指定。</w:t>
      </w:r>
      <w:r>
        <w:rPr>
          <w:rFonts w:hint="eastAsia" w:ascii="宋体" w:hAnsi="宋体" w:eastAsia="宋体" w:cs="宋体"/>
          <w:color w:val="auto"/>
          <w:sz w:val="24"/>
          <w:szCs w:val="24"/>
          <w:highlight w:val="none"/>
        </w:rPr>
        <w:t>如实际提供的项目团队与投标提供的团队名单材料不符，将视为虚假应标。若采购人认为项目经理或团队成员能力与工作所要求的能力不相称而提出更换时，测评单位必须予以更换，人员更换不得影响测评成果交付时间；测评单位单方面更换项目经理或团队成员必须经采购单位书面同意，否则按违约处理直至合同终止。</w:t>
      </w:r>
    </w:p>
    <w:p w14:paraId="6A5D0310">
      <w:pPr>
        <w:tabs>
          <w:tab w:val="left" w:pos="312"/>
        </w:tabs>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kern w:val="28"/>
          <w:sz w:val="24"/>
          <w:szCs w:val="24"/>
          <w:highlight w:val="none"/>
        </w:rPr>
        <w:t>项目团队实施中提供7×8小时咨询服务。项目验收后提供1年的跟踪咨询服务，自项目验收通过之日起计算。在实施单位提出服务请求时，项目团队应在30分钟内响应，在24个小时内提供解决方案。</w:t>
      </w:r>
    </w:p>
    <w:p w14:paraId="457C24E1">
      <w:pPr>
        <w:pStyle w:val="7"/>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2.5.2工作要求</w:t>
      </w:r>
    </w:p>
    <w:p w14:paraId="06A58489">
      <w:pPr>
        <w:pStyle w:val="8"/>
        <w:snapToGrid w:val="0"/>
        <w:spacing w:line="360" w:lineRule="auto"/>
        <w:ind w:firstLine="64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1、提供详细的项目实施方案和计划进度说明书；</w:t>
      </w:r>
    </w:p>
    <w:p w14:paraId="2BC57344">
      <w:pPr>
        <w:pStyle w:val="8"/>
        <w:snapToGrid w:val="0"/>
        <w:spacing w:line="360" w:lineRule="auto"/>
        <w:ind w:firstLine="64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2、项目实施完成后提供可靠的后期技术服务工作；</w:t>
      </w:r>
    </w:p>
    <w:p w14:paraId="45EB69BA">
      <w:pPr>
        <w:pStyle w:val="8"/>
        <w:snapToGrid w:val="0"/>
        <w:spacing w:line="360" w:lineRule="auto"/>
        <w:ind w:firstLine="64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3、严格按照双方确定的计划进度保质保量完成工作；</w:t>
      </w:r>
    </w:p>
    <w:p w14:paraId="0D9A23C4">
      <w:pPr>
        <w:pStyle w:val="8"/>
        <w:snapToGrid w:val="0"/>
        <w:spacing w:line="360" w:lineRule="auto"/>
        <w:ind w:firstLine="64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4、规范项目实施过程中的文档管理；</w:t>
      </w:r>
    </w:p>
    <w:p w14:paraId="457E5827">
      <w:pPr>
        <w:pStyle w:val="8"/>
        <w:snapToGrid w:val="0"/>
        <w:spacing w:line="360" w:lineRule="auto"/>
        <w:ind w:firstLine="64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5、提供必要的增值服务：配合省信息化主管部门开展本项目电子政务工程项目绩效评价考核、跟踪监督及项目档案事后监督等工作。</w:t>
      </w:r>
    </w:p>
    <w:p w14:paraId="2E8B0C26">
      <w:pPr>
        <w:pStyle w:val="8"/>
        <w:snapToGrid w:val="0"/>
        <w:spacing w:line="360" w:lineRule="auto"/>
        <w:ind w:firstLine="64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6、在本项目竣工验收阶段，对信息化主管部门及专家提出的涉及本项目应用系统整改意见的，评估单位应积极配合就整改后的应用系统进行再次评估，并出具最终评估报告，确保项目质量。</w:t>
      </w:r>
    </w:p>
    <w:p w14:paraId="28265247">
      <w:pPr>
        <w:pStyle w:val="7"/>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2.5.3安全保密要求</w:t>
      </w:r>
    </w:p>
    <w:p w14:paraId="2946CD78">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要求测评单位制定软件测评安全保密制度，确定项目保密责任人，同时要求测评单位：</w:t>
      </w:r>
    </w:p>
    <w:p w14:paraId="68A39BCC">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1、按照国家和海南省有关保密规定，与测评单位签订保密协议，参与测评或评估的工作人员签订保密承诺函；</w:t>
      </w:r>
    </w:p>
    <w:p w14:paraId="6A7B49D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2、严格履行保密职责，按照保密规定开展测评工作。</w:t>
      </w:r>
    </w:p>
    <w:p w14:paraId="6DC66639">
      <w:pPr>
        <w:pStyle w:val="7"/>
        <w:snapToGrid w:val="0"/>
        <w:spacing w:before="0" w:after="0"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2.5.4服务要求</w:t>
      </w:r>
    </w:p>
    <w:p w14:paraId="1902F70A">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评单位需根据测评结果，应针对性的提出整改建议方案。整改建议方案应具有可操作性，符合采购单位实际情况，且能够切实解决问题。对于现状测评过程中发现的问题，测评机构应先出具问题汇总报告，并出具成果文件。</w:t>
      </w:r>
    </w:p>
    <w:p w14:paraId="6A39372A">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整改建议方案应明确设计依据、整改内容、整改建议、基于系统现状指导进行系统整改。在整改实施过程中，测评机构应全力支持，负责技术把关、整改验收以及其他咨询工作。</w:t>
      </w:r>
    </w:p>
    <w:p w14:paraId="5C5EDF61">
      <w:pPr>
        <w:spacing w:line="360" w:lineRule="auto"/>
        <w:rPr>
          <w:rFonts w:hint="eastAsia" w:ascii="宋体" w:hAnsi="宋体" w:eastAsia="宋体" w:cs="宋体"/>
          <w:color w:val="auto"/>
          <w:sz w:val="24"/>
          <w:szCs w:val="24"/>
          <w:highlight w:val="none"/>
        </w:rPr>
      </w:pPr>
    </w:p>
    <w:p w14:paraId="3180EE4B">
      <w:pPr>
        <w:spacing w:line="360" w:lineRule="auto"/>
        <w:rPr>
          <w:rFonts w:hint="eastAsia" w:ascii="宋体" w:hAnsi="宋体" w:eastAsia="宋体" w:cs="宋体"/>
          <w:color w:val="auto"/>
          <w:sz w:val="24"/>
          <w:szCs w:val="24"/>
          <w:highlight w:val="none"/>
        </w:rPr>
      </w:pPr>
    </w:p>
    <w:sectPr>
      <w:footerReference r:id="rId5" w:type="default"/>
      <w:pgSz w:w="11906" w:h="16839"/>
      <w:pgMar w:top="1201" w:right="1409" w:bottom="485" w:left="1425" w:header="0" w:footer="175"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AFBFBE">
    <w:pPr>
      <w:pStyle w:val="11"/>
      <w:spacing w:line="231" w:lineRule="auto"/>
      <w:ind w:left="4353"/>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88DBF3">
                          <w:pPr>
                            <w:pStyle w:val="12"/>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3D88DBF3">
                    <w:pPr>
                      <w:pStyle w:val="12"/>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32CC9F"/>
    <w:multiLevelType w:val="singleLevel"/>
    <w:tmpl w:val="9A32CC9F"/>
    <w:lvl w:ilvl="0" w:tentative="0">
      <w:start w:val="1"/>
      <w:numFmt w:val="decimal"/>
      <w:suff w:val="nothing"/>
      <w:lvlText w:val="（%1）"/>
      <w:lvlJc w:val="left"/>
    </w:lvl>
  </w:abstractNum>
  <w:abstractNum w:abstractNumId="1">
    <w:nsid w:val="D5C00C67"/>
    <w:multiLevelType w:val="singleLevel"/>
    <w:tmpl w:val="D5C00C67"/>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7F69D2"/>
    <w:rsid w:val="078D3A1F"/>
    <w:rsid w:val="08522D71"/>
    <w:rsid w:val="0B17659A"/>
    <w:rsid w:val="250F3174"/>
    <w:rsid w:val="28A6473B"/>
    <w:rsid w:val="28C96CBE"/>
    <w:rsid w:val="2C1F4CDE"/>
    <w:rsid w:val="2C212804"/>
    <w:rsid w:val="2D67693D"/>
    <w:rsid w:val="2E644C2A"/>
    <w:rsid w:val="2E6757ED"/>
    <w:rsid w:val="30FE24D2"/>
    <w:rsid w:val="31E64E80"/>
    <w:rsid w:val="36955045"/>
    <w:rsid w:val="36BA5D97"/>
    <w:rsid w:val="37272AA5"/>
    <w:rsid w:val="39273E02"/>
    <w:rsid w:val="3BE24B88"/>
    <w:rsid w:val="3BF53097"/>
    <w:rsid w:val="3F991855"/>
    <w:rsid w:val="42E24CD9"/>
    <w:rsid w:val="4703221F"/>
    <w:rsid w:val="497F50CB"/>
    <w:rsid w:val="4B647BC0"/>
    <w:rsid w:val="4CFF51D5"/>
    <w:rsid w:val="4D6245D3"/>
    <w:rsid w:val="550D14B8"/>
    <w:rsid w:val="58EF39E7"/>
    <w:rsid w:val="5F13397F"/>
    <w:rsid w:val="6142054C"/>
    <w:rsid w:val="644A5C5D"/>
    <w:rsid w:val="648C2963"/>
    <w:rsid w:val="6B021335"/>
    <w:rsid w:val="6FC918C5"/>
    <w:rsid w:val="7A4A160C"/>
    <w:rsid w:val="7C266648"/>
    <w:rsid w:val="7D3D2A65"/>
    <w:rsid w:val="7DFF18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paragraph" w:styleId="5">
    <w:name w:val="heading 4"/>
    <w:basedOn w:val="1"/>
    <w:next w:val="1"/>
    <w:qFormat/>
    <w:uiPriority w:val="0"/>
    <w:pPr>
      <w:keepNext/>
      <w:keepLines/>
      <w:ind w:left="200" w:leftChars="200"/>
      <w:outlineLvl w:val="3"/>
    </w:pPr>
    <w:rPr>
      <w:rFonts w:ascii="Arial" w:hAnsi="Arial"/>
      <w:bCs/>
      <w:szCs w:val="28"/>
    </w:rPr>
  </w:style>
  <w:style w:type="paragraph" w:styleId="6">
    <w:name w:val="heading 5"/>
    <w:basedOn w:val="1"/>
    <w:next w:val="1"/>
    <w:qFormat/>
    <w:uiPriority w:val="0"/>
    <w:pPr>
      <w:keepNext/>
      <w:keepLines/>
      <w:spacing w:before="280" w:after="290" w:line="376" w:lineRule="auto"/>
      <w:outlineLvl w:val="4"/>
    </w:pPr>
    <w:rPr>
      <w:b/>
      <w:bCs/>
      <w:sz w:val="28"/>
      <w:szCs w:val="28"/>
    </w:rPr>
  </w:style>
  <w:style w:type="paragraph" w:styleId="7">
    <w:name w:val="heading 6"/>
    <w:basedOn w:val="1"/>
    <w:next w:val="1"/>
    <w:qFormat/>
    <w:uiPriority w:val="0"/>
    <w:pPr>
      <w:keepNext/>
      <w:keepLines/>
      <w:spacing w:before="240" w:after="64" w:line="320" w:lineRule="auto"/>
      <w:outlineLvl w:val="5"/>
    </w:pPr>
    <w:rPr>
      <w:rFonts w:ascii="Cambria" w:hAnsi="Cambria"/>
      <w:b/>
      <w:bCs/>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8">
    <w:name w:val="Normal Indent"/>
    <w:basedOn w:val="1"/>
    <w:next w:val="9"/>
    <w:qFormat/>
    <w:uiPriority w:val="99"/>
    <w:pPr>
      <w:spacing w:before="60"/>
      <w:ind w:firstLine="689"/>
      <w:jc w:val="center"/>
    </w:pPr>
    <w:rPr>
      <w:sz w:val="21"/>
    </w:rPr>
  </w:style>
  <w:style w:type="paragraph" w:styleId="9">
    <w:name w:val="caption"/>
    <w:basedOn w:val="1"/>
    <w:next w:val="1"/>
    <w:qFormat/>
    <w:uiPriority w:val="0"/>
    <w:rPr>
      <w:rFonts w:ascii="Arial" w:hAnsi="Arial" w:eastAsia="黑体"/>
      <w:sz w:val="20"/>
    </w:rPr>
  </w:style>
  <w:style w:type="paragraph" w:styleId="10">
    <w:name w:val="annotation text"/>
    <w:basedOn w:val="1"/>
    <w:qFormat/>
    <w:uiPriority w:val="0"/>
    <w:pPr>
      <w:jc w:val="left"/>
    </w:pPr>
  </w:style>
  <w:style w:type="paragraph" w:styleId="11">
    <w:name w:val="Body Text"/>
    <w:basedOn w:val="1"/>
    <w:semiHidden/>
    <w:qFormat/>
    <w:uiPriority w:val="0"/>
    <w:rPr>
      <w:rFonts w:ascii="宋体" w:hAnsi="宋体" w:eastAsia="宋体" w:cs="宋体"/>
      <w:sz w:val="24"/>
      <w:szCs w:val="24"/>
      <w:lang w:val="en-US" w:eastAsia="en-US" w:bidi="ar-SA"/>
    </w:rPr>
  </w:style>
  <w:style w:type="paragraph" w:styleId="12">
    <w:name w:val="footer"/>
    <w:basedOn w:val="1"/>
    <w:qFormat/>
    <w:uiPriority w:val="0"/>
    <w:pPr>
      <w:tabs>
        <w:tab w:val="center" w:pos="4153"/>
        <w:tab w:val="right" w:pos="8306"/>
      </w:tabs>
      <w:snapToGrid w:val="0"/>
      <w:jc w:val="left"/>
    </w:pPr>
    <w:rPr>
      <w:sz w:val="18"/>
    </w:rPr>
  </w:style>
  <w:style w:type="table" w:customStyle="1" w:styleId="15">
    <w:name w:val="Table Normal"/>
    <w:semiHidden/>
    <w:unhideWhenUsed/>
    <w:qFormat/>
    <w:uiPriority w:val="0"/>
    <w:tblPr>
      <w:tblCellMar>
        <w:top w:w="0" w:type="dxa"/>
        <w:left w:w="0" w:type="dxa"/>
        <w:bottom w:w="0" w:type="dxa"/>
        <w:right w:w="0" w:type="dxa"/>
      </w:tblCellMar>
    </w:tblPr>
  </w:style>
  <w:style w:type="paragraph" w:customStyle="1" w:styleId="16">
    <w:name w:val="Table Text"/>
    <w:basedOn w:val="1"/>
    <w:semiHidden/>
    <w:qFormat/>
    <w:uiPriority w:val="0"/>
    <w:rPr>
      <w:rFonts w:ascii="宋体" w:hAnsi="宋体" w:eastAsia="宋体" w:cs="宋体"/>
      <w:sz w:val="24"/>
      <w:szCs w:val="24"/>
      <w:lang w:val="en-US" w:eastAsia="en-US" w:bidi="ar-SA"/>
    </w:rPr>
  </w:style>
  <w:style w:type="paragraph" w:customStyle="1" w:styleId="17">
    <w:name w:val="d正文"/>
    <w:basedOn w:val="1"/>
    <w:qFormat/>
    <w:uiPriority w:val="0"/>
    <w:pPr>
      <w:adjustRightInd w:val="0"/>
      <w:snapToGrid w:val="0"/>
      <w:spacing w:after="120" w:line="360" w:lineRule="auto"/>
      <w:ind w:firstLine="560" w:firstLineChars="200"/>
    </w:pPr>
    <w:rPr>
      <w:rFonts w:hAnsi="仿宋_GB2312"/>
      <w:bCs/>
      <w:sz w:val="28"/>
      <w:lang w:val="zh-CN"/>
    </w:rPr>
  </w:style>
  <w:style w:type="paragraph" w:styleId="18">
    <w:name w:val="List Paragraph"/>
    <w:basedOn w:val="1"/>
    <w:qFormat/>
    <w:uiPriority w:val="34"/>
    <w:pPr>
      <w:ind w:firstLine="42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3824</Words>
  <Characters>3909</Characters>
  <Lines>0</Lines>
  <Paragraphs>0</Paragraphs>
  <TotalTime>0</TotalTime>
  <ScaleCrop>false</ScaleCrop>
  <LinksUpToDate>false</LinksUpToDate>
  <CharactersWithSpaces>3915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2025-07-16T09:32:00Z</dcterms:created>
  <dc:creator>DELL</dc:creator>
  <cp:lastModifiedBy>花匠</cp:lastModifiedBy>
  <dcterms:modified xsi:type="dcterms:W3CDTF">2025-08-28T07:49:22Z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eyJoZGlkIjoiZWE4ZTg1YzQzMDlkY2YxOTY1NjcxMzFkOTBjZTJkMTYiLCJ1c2VySWQiOiI5MzE2OTAwMjMifQ==</vt:lpwstr>
  </property>
  <property fmtid="{D5CDD505-2E9C-101B-9397-08002B2CF9AE}" pid="4" name="ICV">
    <vt:lpwstr>44E7BD3327F44657AF4897DA979EDA29_12</vt:lpwstr>
  </property>
</Properties>
</file>