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9B84A">
      <w:pPr>
        <w:pStyle w:val="12"/>
        <w:spacing w:before="113" w:line="360" w:lineRule="auto"/>
        <w:ind w:left="2597"/>
        <w:outlineLvl w:val="1"/>
        <w:rPr>
          <w:rFonts w:hint="eastAsia" w:ascii="宋体" w:hAnsi="宋体" w:eastAsia="宋体" w:cs="宋体"/>
          <w:color w:val="auto"/>
          <w:sz w:val="48"/>
          <w:szCs w:val="48"/>
          <w:highlight w:val="none"/>
        </w:rPr>
      </w:pPr>
      <w:r>
        <w:rPr>
          <w:rFonts w:hint="eastAsia" w:ascii="宋体" w:hAnsi="宋体" w:eastAsia="宋体" w:cs="宋体"/>
          <w:b/>
          <w:bCs/>
          <w:color w:val="auto"/>
          <w:spacing w:val="4"/>
          <w:sz w:val="48"/>
          <w:szCs w:val="48"/>
          <w:highlight w:val="none"/>
        </w:rPr>
        <w:t>包</w:t>
      </w:r>
      <w:r>
        <w:rPr>
          <w:rFonts w:hint="eastAsia" w:cs="宋体"/>
          <w:color w:val="auto"/>
          <w:spacing w:val="-57"/>
          <w:sz w:val="48"/>
          <w:szCs w:val="48"/>
          <w:highlight w:val="none"/>
          <w:lang w:val="en-US" w:eastAsia="zh-CN"/>
        </w:rPr>
        <w:t>10</w:t>
      </w:r>
      <w:r>
        <w:rPr>
          <w:rFonts w:hint="eastAsia" w:ascii="宋体" w:hAnsi="宋体" w:eastAsia="宋体" w:cs="宋体"/>
          <w:b/>
          <w:bCs/>
          <w:color w:val="auto"/>
          <w:spacing w:val="4"/>
          <w:sz w:val="48"/>
          <w:szCs w:val="48"/>
          <w:highlight w:val="none"/>
        </w:rPr>
        <w:t>采购</w:t>
      </w:r>
      <w:bookmarkStart w:id="10" w:name="_GoBack"/>
      <w:bookmarkEnd w:id="10"/>
      <w:r>
        <w:rPr>
          <w:rFonts w:hint="eastAsia" w:ascii="宋体" w:hAnsi="宋体" w:eastAsia="宋体" w:cs="宋体"/>
          <w:b/>
          <w:bCs/>
          <w:color w:val="auto"/>
          <w:spacing w:val="4"/>
          <w:sz w:val="48"/>
          <w:szCs w:val="48"/>
          <w:highlight w:val="none"/>
        </w:rPr>
        <w:t>需求</w:t>
      </w:r>
    </w:p>
    <w:p w14:paraId="3AEC7F0F">
      <w:pPr>
        <w:pStyle w:val="3"/>
        <w:bidi w:val="0"/>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（一）项目概况</w:t>
      </w:r>
    </w:p>
    <w:p w14:paraId="3F38122B">
      <w:pPr>
        <w:pStyle w:val="20"/>
        <w:numPr>
          <w:ilvl w:val="-1"/>
          <w:numId w:val="0"/>
        </w:numPr>
        <w:spacing w:line="360" w:lineRule="auto"/>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对</w:t>
      </w:r>
      <w:r>
        <w:rPr>
          <w:rFonts w:hint="eastAsia" w:ascii="宋体" w:hAnsi="宋体" w:eastAsia="宋体" w:cs="宋体"/>
          <w:b w:val="0"/>
          <w:bCs w:val="0"/>
          <w:color w:val="auto"/>
          <w:sz w:val="24"/>
          <w:szCs w:val="24"/>
          <w:highlight w:val="none"/>
          <w:lang w:eastAsia="zh-CN"/>
        </w:rPr>
        <w:t>“海南智慧健康岛建设工程项目”</w:t>
      </w:r>
      <w:r>
        <w:rPr>
          <w:rFonts w:hint="eastAsia" w:ascii="宋体" w:hAnsi="宋体" w:eastAsia="宋体" w:cs="宋体"/>
          <w:b w:val="0"/>
          <w:bCs w:val="0"/>
          <w:color w:val="auto"/>
          <w:sz w:val="24"/>
          <w:szCs w:val="24"/>
          <w:highlight w:val="none"/>
          <w:lang w:val="en-US" w:eastAsia="zh-CN"/>
        </w:rPr>
        <w:t>包1至包6的相关软件系统</w:t>
      </w:r>
      <w:r>
        <w:rPr>
          <w:rFonts w:hint="eastAsia" w:ascii="宋体" w:hAnsi="宋体" w:eastAsia="宋体" w:cs="宋体"/>
          <w:b w:val="0"/>
          <w:bCs w:val="0"/>
          <w:color w:val="auto"/>
          <w:sz w:val="24"/>
          <w:szCs w:val="24"/>
          <w:highlight w:val="none"/>
        </w:rPr>
        <w:t>进行</w:t>
      </w:r>
      <w:r>
        <w:rPr>
          <w:rFonts w:hint="eastAsia" w:ascii="宋体" w:hAnsi="宋体" w:eastAsia="宋体" w:cs="宋体"/>
          <w:b w:val="0"/>
          <w:bCs w:val="0"/>
          <w:color w:val="auto"/>
          <w:sz w:val="24"/>
          <w:szCs w:val="24"/>
          <w:highlight w:val="none"/>
          <w:lang w:val="en-US" w:eastAsia="zh-CN"/>
        </w:rPr>
        <w:t>商用密码应用安全性评估</w:t>
      </w:r>
      <w:r>
        <w:rPr>
          <w:rFonts w:hint="eastAsia" w:ascii="宋体" w:hAnsi="宋体" w:eastAsia="宋体" w:cs="宋体"/>
          <w:b w:val="0"/>
          <w:bCs w:val="0"/>
          <w:color w:val="auto"/>
          <w:sz w:val="24"/>
          <w:szCs w:val="24"/>
          <w:highlight w:val="none"/>
        </w:rPr>
        <w:t>服务，</w:t>
      </w:r>
      <w:r>
        <w:rPr>
          <w:rFonts w:hint="eastAsia" w:ascii="宋体" w:hAnsi="宋体" w:eastAsia="宋体" w:cs="宋体"/>
          <w:b w:val="0"/>
          <w:bCs w:val="0"/>
          <w:color w:val="auto"/>
          <w:sz w:val="24"/>
          <w:szCs w:val="24"/>
          <w:highlight w:val="none"/>
          <w:lang w:val="en-US" w:eastAsia="zh-CN"/>
        </w:rPr>
        <w:t>确</w:t>
      </w:r>
      <w:r>
        <w:rPr>
          <w:rFonts w:hint="eastAsia" w:ascii="宋体" w:hAnsi="宋体" w:eastAsia="宋体" w:cs="宋体"/>
          <w:b w:val="0"/>
          <w:bCs w:val="0"/>
          <w:color w:val="auto"/>
          <w:sz w:val="24"/>
          <w:szCs w:val="24"/>
          <w:highlight w:val="none"/>
        </w:rPr>
        <w:t>保信息系统中商用密码的应用符合规范、安全有效，保障数据和业务安全。</w:t>
      </w:r>
    </w:p>
    <w:p w14:paraId="22442579">
      <w:pPr>
        <w:pStyle w:val="3"/>
        <w:bidi w:val="0"/>
        <w:spacing w:line="360" w:lineRule="auto"/>
        <w:rPr>
          <w:rFonts w:hint="eastAsia" w:ascii="宋体" w:hAnsi="宋体" w:eastAsia="宋体" w:cs="宋体"/>
          <w:b/>
          <w:bCs/>
          <w:color w:val="auto"/>
          <w:spacing w:val="-5"/>
          <w:sz w:val="32"/>
          <w:szCs w:val="32"/>
          <w:highlight w:val="none"/>
        </w:rPr>
      </w:pPr>
      <w:r>
        <w:rPr>
          <w:rFonts w:hint="eastAsia" w:ascii="宋体" w:hAnsi="宋体" w:eastAsia="宋体" w:cs="宋体"/>
          <w:b/>
          <w:bCs/>
          <w:color w:val="auto"/>
          <w:spacing w:val="-5"/>
          <w:sz w:val="32"/>
          <w:szCs w:val="32"/>
          <w:highlight w:val="none"/>
          <w:lang w:eastAsia="zh-CN"/>
        </w:rPr>
        <w:t>（</w:t>
      </w:r>
      <w:r>
        <w:rPr>
          <w:rFonts w:hint="eastAsia" w:ascii="宋体" w:hAnsi="宋体" w:eastAsia="宋体" w:cs="宋体"/>
          <w:b/>
          <w:bCs/>
          <w:color w:val="auto"/>
          <w:spacing w:val="-5"/>
          <w:sz w:val="32"/>
          <w:szCs w:val="32"/>
          <w:highlight w:val="none"/>
          <w:lang w:val="en-US" w:eastAsia="zh-CN"/>
        </w:rPr>
        <w:t>二</w:t>
      </w:r>
      <w:r>
        <w:rPr>
          <w:rFonts w:hint="eastAsia" w:ascii="宋体" w:hAnsi="宋体" w:eastAsia="宋体" w:cs="宋体"/>
          <w:b/>
          <w:bCs/>
          <w:color w:val="auto"/>
          <w:spacing w:val="-5"/>
          <w:sz w:val="32"/>
          <w:szCs w:val="32"/>
          <w:highlight w:val="none"/>
          <w:lang w:eastAsia="zh-CN"/>
        </w:rPr>
        <w:t>）</w:t>
      </w:r>
      <w:r>
        <w:rPr>
          <w:rFonts w:hint="eastAsia" w:ascii="宋体" w:hAnsi="宋体" w:eastAsia="宋体" w:cs="宋体"/>
          <w:b/>
          <w:bCs/>
          <w:color w:val="auto"/>
          <w:spacing w:val="-5"/>
          <w:sz w:val="32"/>
          <w:szCs w:val="32"/>
          <w:highlight w:val="none"/>
        </w:rPr>
        <w:t>技术商务要求</w:t>
      </w:r>
    </w:p>
    <w:p w14:paraId="603A9789">
      <w:pPr>
        <w:spacing w:line="360" w:lineRule="auto"/>
        <w:ind w:firstLine="480" w:firstLineChars="200"/>
        <w:rPr>
          <w:rFonts w:hint="eastAsia" w:ascii="宋体" w:hAnsi="宋体" w:eastAsia="宋体" w:cs="宋体"/>
          <w:color w:val="auto"/>
          <w:kern w:val="0"/>
          <w:sz w:val="24"/>
          <w:szCs w:val="24"/>
          <w:highlight w:val="none"/>
        </w:rPr>
      </w:pPr>
      <w:bookmarkStart w:id="0" w:name="_Toc117076078"/>
      <w:bookmarkEnd w:id="0"/>
      <w:bookmarkStart w:id="1" w:name="_Toc117076083"/>
      <w:bookmarkEnd w:id="1"/>
      <w:bookmarkStart w:id="2" w:name="_Toc117076084"/>
      <w:bookmarkEnd w:id="2"/>
      <w:bookmarkStart w:id="3" w:name="_Toc117076088"/>
      <w:bookmarkEnd w:id="3"/>
      <w:bookmarkStart w:id="4" w:name="_Toc117076080"/>
      <w:bookmarkEnd w:id="4"/>
      <w:bookmarkStart w:id="5" w:name="_Toc117076086"/>
      <w:bookmarkEnd w:id="5"/>
      <w:bookmarkStart w:id="6" w:name="_Toc117076085"/>
      <w:bookmarkEnd w:id="6"/>
      <w:bookmarkStart w:id="7" w:name="_Toc117076087"/>
      <w:bookmarkEnd w:id="7"/>
      <w:bookmarkStart w:id="8" w:name="_Toc117076079"/>
      <w:bookmarkEnd w:id="8"/>
      <w:bookmarkStart w:id="9" w:name="_Toc117076081"/>
      <w:bookmarkEnd w:id="9"/>
      <w:r>
        <w:rPr>
          <w:rFonts w:hint="eastAsia" w:ascii="宋体" w:hAnsi="宋体" w:eastAsia="宋体" w:cs="宋体"/>
          <w:color w:val="auto"/>
          <w:kern w:val="0"/>
          <w:sz w:val="24"/>
          <w:szCs w:val="24"/>
          <w:highlight w:val="none"/>
        </w:rPr>
        <w:t>根据</w:t>
      </w:r>
      <w:r>
        <w:rPr>
          <w:rFonts w:hint="eastAsia" w:ascii="宋体" w:hAnsi="宋体" w:eastAsia="宋体" w:cs="宋体"/>
          <w:color w:val="auto"/>
          <w:sz w:val="24"/>
          <w:szCs w:val="24"/>
          <w:highlight w:val="none"/>
        </w:rPr>
        <w:t>《GB/T 39786-2021信息系统密码应用基本要求》《商用密码应用安全性评估管理办法</w:t>
      </w:r>
      <w:r>
        <w:rPr>
          <w:rFonts w:hint="eastAsia" w:ascii="宋体" w:hAnsi="宋体" w:eastAsia="宋体" w:cs="宋体"/>
          <w:color w:val="auto"/>
          <w:sz w:val="24"/>
          <w:szCs w:val="24"/>
          <w:highlight w:val="none"/>
          <w:lang w:eastAsia="zh"/>
        </w:rPr>
        <w:t>》</w:t>
      </w:r>
      <w:r>
        <w:rPr>
          <w:rFonts w:hint="eastAsia" w:ascii="宋体" w:hAnsi="宋体" w:eastAsia="宋体" w:cs="宋体"/>
          <w:color w:val="auto"/>
          <w:kern w:val="0"/>
          <w:sz w:val="24"/>
          <w:szCs w:val="24"/>
          <w:highlight w:val="none"/>
        </w:rPr>
        <w:t>等，对本项目进行密评工作，通过密评工作深入查找密码应用的薄弱环节和安全隐患，分析面临的风险，为提升信息系统安全水平奠定基础，推动国产密码应用工作的进一步落实。同时，也指导评估对象的信息安全保障体系建设，增强密码安全管理意识，促进安全管理水平的提高。</w:t>
      </w:r>
    </w:p>
    <w:p w14:paraId="59B49518">
      <w:pPr>
        <w:pStyle w:val="4"/>
        <w:bidi w:val="0"/>
        <w:rPr>
          <w:rFonts w:hint="eastAsia"/>
          <w:color w:val="auto"/>
          <w:highlight w:val="none"/>
        </w:rPr>
      </w:pPr>
      <w:r>
        <w:rPr>
          <w:rFonts w:hint="eastAsia"/>
          <w:color w:val="auto"/>
          <w:highlight w:val="none"/>
        </w:rPr>
        <w:t>（1）技术要求</w:t>
      </w:r>
    </w:p>
    <w:p w14:paraId="62C951EF">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1.1服务清单</w:t>
      </w:r>
    </w:p>
    <w:tbl>
      <w:tblPr>
        <w:tblStyle w:val="15"/>
        <w:tblW w:w="4949" w:type="pct"/>
        <w:tblInd w:w="0" w:type="dxa"/>
        <w:tblLayout w:type="fixed"/>
        <w:tblCellMar>
          <w:top w:w="0" w:type="dxa"/>
          <w:left w:w="108" w:type="dxa"/>
          <w:bottom w:w="0" w:type="dxa"/>
          <w:right w:w="108" w:type="dxa"/>
        </w:tblCellMar>
      </w:tblPr>
      <w:tblGrid>
        <w:gridCol w:w="1045"/>
        <w:gridCol w:w="3859"/>
        <w:gridCol w:w="1425"/>
        <w:gridCol w:w="2865"/>
      </w:tblGrid>
      <w:tr w14:paraId="5F835721">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7428D">
            <w:pPr>
              <w:spacing w:line="360" w:lineRule="auto"/>
              <w:ind w:firstLine="0" w:firstLineChars="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956D2">
            <w:pPr>
              <w:spacing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系统名称</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1535B">
            <w:pPr>
              <w:spacing w:line="360" w:lineRule="auto"/>
              <w:ind w:firstLine="0" w:firstLineChars="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系统等级</w:t>
            </w:r>
          </w:p>
        </w:tc>
        <w:tc>
          <w:tcPr>
            <w:tcW w:w="15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98DFC">
            <w:pPr>
              <w:widowControl/>
              <w:spacing w:line="360" w:lineRule="auto"/>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lang w:bidi="ar"/>
              </w:rPr>
              <w:t>服务内容</w:t>
            </w:r>
          </w:p>
        </w:tc>
      </w:tr>
      <w:tr w14:paraId="15F16FD4">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BEA9D">
            <w:pPr>
              <w:numPr>
                <w:ilvl w:val="0"/>
                <w:numId w:val="1"/>
              </w:numPr>
              <w:spacing w:line="360" w:lineRule="auto"/>
              <w:ind w:left="425" w:leftChars="0" w:hanging="425" w:firstLineChars="0"/>
              <w:jc w:val="center"/>
              <w:rPr>
                <w:rFonts w:hint="eastAsia" w:ascii="宋体" w:hAnsi="宋体" w:eastAsia="宋体" w:cs="宋体"/>
                <w:color w:val="auto"/>
                <w:sz w:val="24"/>
                <w:szCs w:val="24"/>
                <w:highlight w:val="none"/>
              </w:rPr>
            </w:pP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79F178A0">
            <w:pPr>
              <w:keepNext w:val="0"/>
              <w:keepLines w:val="0"/>
              <w:widowControl/>
              <w:suppressLineNumbers w:val="0"/>
              <w:spacing w:before="0" w:beforeAutospacing="0" w:after="0" w:afterAutospacing="0" w:line="360" w:lineRule="auto"/>
              <w:ind w:left="0" w:leftChars="0" w:right="0" w:rightChars="0"/>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数据健康大脑</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6D7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restart"/>
            <w:tcBorders>
              <w:top w:val="single" w:color="000000" w:sz="4" w:space="0"/>
              <w:left w:val="single" w:color="000000" w:sz="4" w:space="0"/>
              <w:right w:val="single" w:color="000000" w:sz="4" w:space="0"/>
            </w:tcBorders>
            <w:shd w:val="clear" w:color="auto" w:fill="auto"/>
            <w:noWrap/>
            <w:vAlign w:val="center"/>
          </w:tcPr>
          <w:p w14:paraId="7C3365B4">
            <w:pPr>
              <w:widowControl w:val="0"/>
              <w:snapToGrid w:val="0"/>
              <w:spacing w:line="360" w:lineRule="auto"/>
              <w:ind w:firstLine="0" w:firstLineChars="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1.商用密码应用安全性评估</w:t>
            </w:r>
          </w:p>
          <w:p w14:paraId="381213D0">
            <w:pPr>
              <w:widowControl/>
              <w:numPr>
                <w:ilvl w:val="-1"/>
                <w:numId w:val="0"/>
              </w:numPr>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en-US"/>
              </w:rPr>
              <w:t>2.协助备案工作</w:t>
            </w:r>
          </w:p>
        </w:tc>
      </w:tr>
      <w:tr w14:paraId="778C56CA">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66A2B">
            <w:pPr>
              <w:numPr>
                <w:ilvl w:val="0"/>
                <w:numId w:val="1"/>
              </w:numPr>
              <w:spacing w:line="360" w:lineRule="auto"/>
              <w:ind w:left="425" w:leftChars="0" w:hanging="425" w:firstLineChars="0"/>
              <w:jc w:val="center"/>
              <w:rPr>
                <w:rFonts w:hint="eastAsia" w:ascii="宋体" w:hAnsi="宋体" w:eastAsia="宋体" w:cs="宋体"/>
                <w:color w:val="auto"/>
                <w:sz w:val="24"/>
                <w:szCs w:val="24"/>
                <w:highlight w:val="none"/>
              </w:rPr>
            </w:pP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0057C2CC">
            <w:pPr>
              <w:widowControl/>
              <w:numPr>
                <w:ilvl w:val="0"/>
                <w:numId w:val="0"/>
              </w:num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健康服务全岛通</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4F4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continue"/>
            <w:tcBorders>
              <w:left w:val="single" w:color="000000" w:sz="4" w:space="0"/>
              <w:right w:val="single" w:color="000000" w:sz="4" w:space="0"/>
            </w:tcBorders>
            <w:shd w:val="clear" w:color="auto" w:fill="auto"/>
            <w:noWrap/>
            <w:vAlign w:val="center"/>
          </w:tcPr>
          <w:p w14:paraId="60889B9D">
            <w:pPr>
              <w:widowControl/>
              <w:numPr>
                <w:ilvl w:val="-1"/>
                <w:numId w:val="0"/>
              </w:numPr>
              <w:spacing w:line="360" w:lineRule="auto"/>
              <w:ind w:left="0" w:leftChars="0" w:firstLine="480" w:firstLineChars="200"/>
              <w:jc w:val="left"/>
              <w:textAlignment w:val="auto"/>
              <w:rPr>
                <w:rFonts w:hint="eastAsia" w:ascii="宋体" w:hAnsi="宋体" w:eastAsia="宋体" w:cs="宋体"/>
                <w:color w:val="auto"/>
                <w:sz w:val="24"/>
                <w:szCs w:val="24"/>
                <w:highlight w:val="none"/>
                <w:lang w:bidi="ar"/>
              </w:rPr>
            </w:pPr>
          </w:p>
        </w:tc>
      </w:tr>
      <w:tr w14:paraId="38587638">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80CAC">
            <w:pPr>
              <w:numPr>
                <w:ilvl w:val="0"/>
                <w:numId w:val="1"/>
              </w:numPr>
              <w:spacing w:line="360" w:lineRule="auto"/>
              <w:ind w:left="425" w:leftChars="0" w:hanging="425" w:firstLineChars="0"/>
              <w:jc w:val="center"/>
              <w:rPr>
                <w:rFonts w:hint="eastAsia" w:ascii="宋体" w:hAnsi="宋体" w:eastAsia="宋体" w:cs="宋体"/>
                <w:color w:val="auto"/>
                <w:sz w:val="24"/>
                <w:szCs w:val="24"/>
                <w:highlight w:val="none"/>
              </w:rPr>
            </w:pP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54C6D25D">
            <w:pPr>
              <w:keepNext w:val="0"/>
              <w:keepLines w:val="0"/>
              <w:widowControl/>
              <w:suppressLineNumbers w:val="0"/>
              <w:spacing w:before="0" w:beforeAutospacing="0" w:after="0" w:afterAutospacing="0" w:line="360" w:lineRule="auto"/>
              <w:ind w:left="0" w:leftChars="0" w:right="0" w:rightChars="0"/>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三医联动智慧行</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D8A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continue"/>
            <w:tcBorders>
              <w:left w:val="single" w:color="000000" w:sz="4" w:space="0"/>
              <w:right w:val="single" w:color="000000" w:sz="4" w:space="0"/>
            </w:tcBorders>
            <w:shd w:val="clear" w:color="auto" w:fill="auto"/>
            <w:noWrap/>
            <w:vAlign w:val="center"/>
          </w:tcPr>
          <w:p w14:paraId="2AA30FD9">
            <w:pPr>
              <w:widowControl/>
              <w:numPr>
                <w:ilvl w:val="-1"/>
                <w:numId w:val="0"/>
              </w:numPr>
              <w:spacing w:line="360" w:lineRule="auto"/>
              <w:ind w:left="0" w:leftChars="0" w:firstLine="480" w:firstLineChars="200"/>
              <w:jc w:val="left"/>
              <w:textAlignment w:val="auto"/>
              <w:rPr>
                <w:rFonts w:hint="eastAsia" w:ascii="宋体" w:hAnsi="宋体" w:eastAsia="宋体" w:cs="宋体"/>
                <w:color w:val="auto"/>
                <w:sz w:val="24"/>
                <w:szCs w:val="24"/>
                <w:highlight w:val="none"/>
                <w:lang w:bidi="ar"/>
              </w:rPr>
            </w:pPr>
          </w:p>
        </w:tc>
      </w:tr>
      <w:tr w14:paraId="4268B03C">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07CFF">
            <w:pPr>
              <w:numPr>
                <w:ilvl w:val="0"/>
                <w:numId w:val="1"/>
              </w:numPr>
              <w:spacing w:line="360" w:lineRule="auto"/>
              <w:ind w:left="425" w:leftChars="0" w:hanging="425" w:firstLineChars="0"/>
              <w:jc w:val="center"/>
              <w:rPr>
                <w:rFonts w:hint="eastAsia" w:ascii="宋体" w:hAnsi="宋体" w:eastAsia="宋体" w:cs="宋体"/>
                <w:color w:val="auto"/>
                <w:sz w:val="24"/>
                <w:szCs w:val="24"/>
                <w:highlight w:val="none"/>
              </w:rPr>
            </w:pP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67D0B60E">
            <w:pPr>
              <w:keepNext w:val="0"/>
              <w:keepLines w:val="0"/>
              <w:widowControl/>
              <w:suppressLineNumbers w:val="0"/>
              <w:spacing w:before="0" w:beforeAutospacing="0" w:after="0" w:afterAutospacing="0" w:line="360" w:lineRule="auto"/>
              <w:ind w:left="0" w:leftChars="0" w:right="0" w:rightChars="0"/>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公共卫生医防融</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124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continue"/>
            <w:tcBorders>
              <w:left w:val="single" w:color="000000" w:sz="4" w:space="0"/>
              <w:right w:val="single" w:color="000000" w:sz="4" w:space="0"/>
            </w:tcBorders>
            <w:shd w:val="clear" w:color="auto" w:fill="auto"/>
            <w:noWrap/>
            <w:vAlign w:val="center"/>
          </w:tcPr>
          <w:p w14:paraId="74D988D2">
            <w:pPr>
              <w:widowControl/>
              <w:numPr>
                <w:ilvl w:val="-1"/>
                <w:numId w:val="0"/>
              </w:numPr>
              <w:spacing w:line="360" w:lineRule="auto"/>
              <w:ind w:left="0" w:leftChars="0" w:firstLine="480" w:firstLineChars="200"/>
              <w:jc w:val="left"/>
              <w:textAlignment w:val="auto"/>
              <w:rPr>
                <w:rFonts w:hint="eastAsia" w:ascii="宋体" w:hAnsi="宋体" w:eastAsia="宋体" w:cs="宋体"/>
                <w:color w:val="auto"/>
                <w:sz w:val="24"/>
                <w:szCs w:val="24"/>
                <w:highlight w:val="none"/>
                <w:lang w:bidi="ar"/>
              </w:rPr>
            </w:pPr>
          </w:p>
        </w:tc>
      </w:tr>
      <w:tr w14:paraId="122842AC">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2FCDF">
            <w:pPr>
              <w:numPr>
                <w:ilvl w:val="0"/>
                <w:numId w:val="1"/>
              </w:numPr>
              <w:spacing w:line="360" w:lineRule="auto"/>
              <w:ind w:left="425" w:leftChars="0" w:hanging="425" w:firstLineChars="0"/>
              <w:jc w:val="center"/>
              <w:rPr>
                <w:rFonts w:hint="eastAsia" w:ascii="宋体" w:hAnsi="宋体" w:eastAsia="宋体" w:cs="宋体"/>
                <w:color w:val="auto"/>
                <w:sz w:val="24"/>
                <w:szCs w:val="24"/>
                <w:highlight w:val="none"/>
              </w:rPr>
            </w:pP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15BB102C">
            <w:pPr>
              <w:keepNext w:val="0"/>
              <w:keepLines w:val="0"/>
              <w:widowControl/>
              <w:suppressLineNumbers w:val="0"/>
              <w:spacing w:before="0" w:beforeAutospacing="0" w:after="0" w:afterAutospacing="0" w:line="360" w:lineRule="auto"/>
              <w:ind w:left="0" w:leftChars="0" w:right="0" w:rightChars="0"/>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行业治理防风险</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A36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continue"/>
            <w:tcBorders>
              <w:left w:val="single" w:color="000000" w:sz="4" w:space="0"/>
              <w:right w:val="single" w:color="000000" w:sz="4" w:space="0"/>
            </w:tcBorders>
            <w:shd w:val="clear" w:color="auto" w:fill="auto"/>
            <w:noWrap/>
            <w:vAlign w:val="center"/>
          </w:tcPr>
          <w:p w14:paraId="32E7C984">
            <w:pPr>
              <w:widowControl/>
              <w:numPr>
                <w:ilvl w:val="-1"/>
                <w:numId w:val="0"/>
              </w:numPr>
              <w:spacing w:line="360" w:lineRule="auto"/>
              <w:ind w:left="0" w:leftChars="0" w:firstLine="480" w:firstLineChars="200"/>
              <w:jc w:val="left"/>
              <w:textAlignment w:val="auto"/>
              <w:rPr>
                <w:rFonts w:hint="eastAsia" w:ascii="宋体" w:hAnsi="宋体" w:eastAsia="宋体" w:cs="宋体"/>
                <w:color w:val="auto"/>
                <w:sz w:val="24"/>
                <w:szCs w:val="24"/>
                <w:highlight w:val="none"/>
                <w:lang w:bidi="ar"/>
              </w:rPr>
            </w:pPr>
          </w:p>
        </w:tc>
      </w:tr>
      <w:tr w14:paraId="00368D05">
        <w:tblPrEx>
          <w:tblCellMar>
            <w:top w:w="0" w:type="dxa"/>
            <w:left w:w="108" w:type="dxa"/>
            <w:bottom w:w="0" w:type="dxa"/>
            <w:right w:w="108" w:type="dxa"/>
          </w:tblCellMar>
        </w:tblPrEx>
        <w:trPr>
          <w:trHeight w:val="283" w:hRule="atLeast"/>
        </w:trPr>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DCEAD">
            <w:pPr>
              <w:numPr>
                <w:ilvl w:val="0"/>
                <w:numId w:val="1"/>
              </w:numPr>
              <w:spacing w:line="360" w:lineRule="auto"/>
              <w:ind w:left="425" w:leftChars="0" w:hanging="425" w:firstLineChars="0"/>
              <w:jc w:val="center"/>
              <w:rPr>
                <w:rFonts w:hint="eastAsia" w:ascii="宋体" w:hAnsi="宋体" w:eastAsia="宋体" w:cs="宋体"/>
                <w:color w:val="auto"/>
                <w:sz w:val="24"/>
                <w:szCs w:val="24"/>
                <w:highlight w:val="none"/>
              </w:rPr>
            </w:pPr>
          </w:p>
        </w:tc>
        <w:tc>
          <w:tcPr>
            <w:tcW w:w="2098"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5C9C6C0D">
            <w:pPr>
              <w:keepNext w:val="0"/>
              <w:keepLines w:val="0"/>
              <w:widowControl/>
              <w:suppressLineNumbers w:val="0"/>
              <w:spacing w:before="0" w:beforeAutospacing="0" w:after="0" w:afterAutospacing="0" w:line="360" w:lineRule="auto"/>
              <w:ind w:left="0" w:leftChars="0" w:right="0" w:rightChars="0"/>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数字健康创新引擎</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088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558" w:type="pct"/>
            <w:vMerge w:val="continue"/>
            <w:tcBorders>
              <w:left w:val="single" w:color="000000" w:sz="4" w:space="0"/>
              <w:bottom w:val="single" w:color="000000" w:sz="4" w:space="0"/>
              <w:right w:val="single" w:color="000000" w:sz="4" w:space="0"/>
            </w:tcBorders>
            <w:shd w:val="clear" w:color="auto" w:fill="auto"/>
            <w:noWrap/>
            <w:vAlign w:val="center"/>
          </w:tcPr>
          <w:p w14:paraId="69B82C22">
            <w:pPr>
              <w:widowControl/>
              <w:numPr>
                <w:ilvl w:val="-1"/>
                <w:numId w:val="0"/>
              </w:numPr>
              <w:spacing w:line="360" w:lineRule="auto"/>
              <w:ind w:left="0" w:leftChars="0" w:firstLine="480" w:firstLineChars="200"/>
              <w:jc w:val="left"/>
              <w:textAlignment w:val="auto"/>
              <w:rPr>
                <w:rFonts w:hint="eastAsia" w:ascii="宋体" w:hAnsi="宋体" w:eastAsia="宋体" w:cs="宋体"/>
                <w:color w:val="auto"/>
                <w:sz w:val="24"/>
                <w:szCs w:val="24"/>
                <w:highlight w:val="none"/>
                <w:lang w:bidi="ar"/>
              </w:rPr>
            </w:pPr>
          </w:p>
        </w:tc>
      </w:tr>
    </w:tbl>
    <w:p w14:paraId="6E445568">
      <w:pPr>
        <w:rPr>
          <w:rFonts w:hint="eastAsia" w:ascii="宋体" w:hAnsi="宋体" w:eastAsia="宋体" w:cs="宋体"/>
          <w:color w:val="auto"/>
          <w:sz w:val="24"/>
          <w:szCs w:val="24"/>
          <w:highlight w:val="none"/>
        </w:rPr>
      </w:pPr>
    </w:p>
    <w:p w14:paraId="2DEB7A2A">
      <w:pPr>
        <w:rPr>
          <w:rFonts w:hint="eastAsia" w:ascii="宋体" w:hAnsi="宋体" w:eastAsia="宋体" w:cs="宋体"/>
          <w:color w:val="auto"/>
          <w:sz w:val="24"/>
          <w:szCs w:val="24"/>
          <w:highlight w:val="none"/>
        </w:rPr>
      </w:pPr>
    </w:p>
    <w:p w14:paraId="1C20ABEC">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1.2服务内容</w:t>
      </w:r>
    </w:p>
    <w:p w14:paraId="52789E64">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0"/>
          <w:sz w:val="24"/>
          <w:szCs w:val="24"/>
          <w:highlight w:val="none"/>
        </w:rPr>
        <w:t>密码应用安全性评估过程包括但不限于以下测评活动：测评准备活动、方案编制活动、现场测评活动、分析与报告编制活动。</w:t>
      </w:r>
    </w:p>
    <w:p w14:paraId="6EDC4302">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按照商用密码应用安全性分类分级评估的要求，依据《信息安全技术信息系统密码应用基本要求》（GB/T 39786-2021）要求及信息系统等级保护定级情况，进行评估，</w:t>
      </w:r>
      <w:r>
        <w:rPr>
          <w:rFonts w:hint="eastAsia" w:ascii="宋体" w:hAnsi="宋体" w:eastAsia="宋体" w:cs="宋体"/>
          <w:color w:val="auto"/>
          <w:kern w:val="0"/>
          <w:sz w:val="24"/>
          <w:szCs w:val="24"/>
          <w:highlight w:val="none"/>
        </w:rPr>
        <w:t>评估过程活动包括但不限于测评准备活动、方案编制活动、现场测评活动、分析与报告编制活动，评估内容</w:t>
      </w:r>
      <w:r>
        <w:rPr>
          <w:rFonts w:hint="eastAsia" w:ascii="宋体" w:hAnsi="宋体" w:eastAsia="宋体" w:cs="宋体"/>
          <w:color w:val="auto"/>
          <w:kern w:val="28"/>
          <w:sz w:val="24"/>
          <w:szCs w:val="24"/>
          <w:highlight w:val="none"/>
        </w:rPr>
        <w:t>包括但不限于以下内容：</w:t>
      </w:r>
    </w:p>
    <w:tbl>
      <w:tblPr>
        <w:tblStyle w:val="15"/>
        <w:tblW w:w="8341"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970"/>
        <w:gridCol w:w="850"/>
        <w:gridCol w:w="1701"/>
        <w:gridCol w:w="4820"/>
      </w:tblGrid>
      <w:tr w14:paraId="255ABDAF">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521" w:type="dxa"/>
            <w:gridSpan w:val="3"/>
            <w:tcBorders>
              <w:top w:val="single" w:color="auto" w:sz="18" w:space="0"/>
              <w:left w:val="single" w:color="auto" w:sz="18" w:space="0"/>
              <w:bottom w:val="single" w:color="auto" w:sz="4" w:space="0"/>
              <w:right w:val="single" w:color="auto" w:sz="4" w:space="0"/>
            </w:tcBorders>
            <w:shd w:val="clear" w:color="auto" w:fill="D8D8D8"/>
            <w:vAlign w:val="center"/>
          </w:tcPr>
          <w:p w14:paraId="101EBEAA">
            <w:pPr>
              <w:spacing w:line="360" w:lineRule="auto"/>
              <w:ind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测评单元</w:t>
            </w:r>
          </w:p>
        </w:tc>
        <w:tc>
          <w:tcPr>
            <w:tcW w:w="4820" w:type="dxa"/>
            <w:tcBorders>
              <w:top w:val="single" w:color="auto" w:sz="18" w:space="0"/>
              <w:left w:val="single" w:color="auto" w:sz="4" w:space="0"/>
              <w:bottom w:val="single" w:color="auto" w:sz="4" w:space="0"/>
              <w:right w:val="single" w:color="auto" w:sz="18" w:space="0"/>
            </w:tcBorders>
            <w:shd w:val="clear" w:color="auto" w:fill="D8D8D8"/>
            <w:vAlign w:val="center"/>
          </w:tcPr>
          <w:p w14:paraId="70F656C5">
            <w:pPr>
              <w:spacing w:line="360" w:lineRule="auto"/>
              <w:ind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测评指标</w:t>
            </w:r>
          </w:p>
        </w:tc>
      </w:tr>
      <w:tr w14:paraId="4CAE065C">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restart"/>
            <w:tcBorders>
              <w:top w:val="single" w:color="auto" w:sz="4" w:space="0"/>
              <w:left w:val="single" w:color="auto" w:sz="18" w:space="0"/>
              <w:bottom w:val="single" w:color="auto" w:sz="4" w:space="0"/>
              <w:right w:val="single" w:color="auto" w:sz="4" w:space="0"/>
            </w:tcBorders>
            <w:vAlign w:val="center"/>
          </w:tcPr>
          <w:p w14:paraId="38813CDB">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w:t>
            </w:r>
          </w:p>
          <w:p w14:paraId="0884383A">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664B2D9C">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物理和环境安全</w:t>
            </w:r>
          </w:p>
        </w:tc>
        <w:tc>
          <w:tcPr>
            <w:tcW w:w="1701" w:type="dxa"/>
            <w:tcBorders>
              <w:top w:val="single" w:color="auto" w:sz="4" w:space="0"/>
              <w:left w:val="single" w:color="auto" w:sz="4" w:space="0"/>
              <w:bottom w:val="single" w:color="auto" w:sz="4" w:space="0"/>
              <w:right w:val="single" w:color="auto" w:sz="4" w:space="0"/>
            </w:tcBorders>
            <w:vAlign w:val="center"/>
          </w:tcPr>
          <w:p w14:paraId="5EE9A73A">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身份鉴别</w:t>
            </w:r>
          </w:p>
        </w:tc>
        <w:tc>
          <w:tcPr>
            <w:tcW w:w="4820" w:type="dxa"/>
            <w:tcBorders>
              <w:top w:val="single" w:color="auto" w:sz="4" w:space="0"/>
              <w:left w:val="single" w:color="auto" w:sz="4" w:space="0"/>
              <w:bottom w:val="single" w:color="auto" w:sz="4" w:space="0"/>
              <w:right w:val="single" w:color="auto" w:sz="18" w:space="0"/>
            </w:tcBorders>
            <w:vAlign w:val="center"/>
          </w:tcPr>
          <w:p w14:paraId="1B9C94C3">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a）宜采用密码技术进行物理访问身份鉴别，保证重要区域进入人员身份的真实性；</w:t>
            </w:r>
          </w:p>
        </w:tc>
      </w:tr>
      <w:tr w14:paraId="1765124C">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664E7AEF">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221B08B9">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94F7EAA">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电子门禁记录数据存储完整性</w:t>
            </w:r>
          </w:p>
        </w:tc>
        <w:tc>
          <w:tcPr>
            <w:tcW w:w="4820" w:type="dxa"/>
            <w:tcBorders>
              <w:top w:val="single" w:color="auto" w:sz="4" w:space="0"/>
              <w:left w:val="single" w:color="auto" w:sz="4" w:space="0"/>
              <w:bottom w:val="single" w:color="auto" w:sz="4" w:space="0"/>
              <w:right w:val="single" w:color="auto" w:sz="18" w:space="0"/>
            </w:tcBorders>
            <w:vAlign w:val="center"/>
          </w:tcPr>
          <w:p w14:paraId="768664E0">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b）宜采用密码技术保证电子门禁系统进出记录数据的存储完整性；</w:t>
            </w:r>
          </w:p>
        </w:tc>
      </w:tr>
      <w:tr w14:paraId="51D5ECFE">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04D91C0D">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0A54BE68">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B5E05A2">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视频监控记录数据存储完整性</w:t>
            </w:r>
          </w:p>
        </w:tc>
        <w:tc>
          <w:tcPr>
            <w:tcW w:w="4820" w:type="dxa"/>
            <w:tcBorders>
              <w:top w:val="single" w:color="auto" w:sz="4" w:space="0"/>
              <w:left w:val="single" w:color="auto" w:sz="4" w:space="0"/>
              <w:bottom w:val="single" w:color="auto" w:sz="4" w:space="0"/>
              <w:right w:val="single" w:color="auto" w:sz="18" w:space="0"/>
            </w:tcBorders>
            <w:vAlign w:val="center"/>
          </w:tcPr>
          <w:p w14:paraId="626E5D37">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c）宜采用密码技术保证视频监控音像记录数据的存储完整性。</w:t>
            </w:r>
          </w:p>
        </w:tc>
      </w:tr>
      <w:tr w14:paraId="33967509">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668DCF53">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193437E4">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网络和通信安全</w:t>
            </w:r>
          </w:p>
        </w:tc>
        <w:tc>
          <w:tcPr>
            <w:tcW w:w="1701" w:type="dxa"/>
            <w:tcBorders>
              <w:top w:val="single" w:color="auto" w:sz="4" w:space="0"/>
              <w:left w:val="single" w:color="auto" w:sz="4" w:space="0"/>
              <w:bottom w:val="single" w:color="auto" w:sz="4" w:space="0"/>
              <w:right w:val="single" w:color="auto" w:sz="4" w:space="0"/>
            </w:tcBorders>
            <w:vAlign w:val="center"/>
          </w:tcPr>
          <w:p w14:paraId="6F99595A">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身份鉴别</w:t>
            </w:r>
          </w:p>
        </w:tc>
        <w:tc>
          <w:tcPr>
            <w:tcW w:w="4820" w:type="dxa"/>
            <w:tcBorders>
              <w:top w:val="single" w:color="auto" w:sz="4" w:space="0"/>
              <w:left w:val="single" w:color="auto" w:sz="4" w:space="0"/>
              <w:bottom w:val="single" w:color="auto" w:sz="4" w:space="0"/>
              <w:right w:val="single" w:color="auto" w:sz="18" w:space="0"/>
            </w:tcBorders>
            <w:vAlign w:val="center"/>
          </w:tcPr>
          <w:p w14:paraId="77812E83">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a）应采用密码技术对通信实体进行身份鉴别，保证通信实体身份的真实性；</w:t>
            </w:r>
          </w:p>
        </w:tc>
      </w:tr>
      <w:tr w14:paraId="79FE0FEF">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010867FF">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AC3DE0B">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57D4C460">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通信数据完整性</w:t>
            </w:r>
          </w:p>
        </w:tc>
        <w:tc>
          <w:tcPr>
            <w:tcW w:w="4820" w:type="dxa"/>
            <w:tcBorders>
              <w:top w:val="single" w:color="auto" w:sz="4" w:space="0"/>
              <w:left w:val="single" w:color="auto" w:sz="4" w:space="0"/>
              <w:bottom w:val="single" w:color="auto" w:sz="4" w:space="0"/>
              <w:right w:val="single" w:color="auto" w:sz="18" w:space="0"/>
            </w:tcBorders>
            <w:vAlign w:val="center"/>
          </w:tcPr>
          <w:p w14:paraId="35FC7D15">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 宜采用密码技术保证通信过程中数据的完整性；</w:t>
            </w:r>
          </w:p>
        </w:tc>
      </w:tr>
      <w:tr w14:paraId="372D6792">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1E2FDA1B">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8DBB7F7">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DDF0D61">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通信过程中重要数据的机密性</w:t>
            </w:r>
          </w:p>
        </w:tc>
        <w:tc>
          <w:tcPr>
            <w:tcW w:w="4820" w:type="dxa"/>
            <w:tcBorders>
              <w:top w:val="single" w:color="auto" w:sz="4" w:space="0"/>
              <w:left w:val="single" w:color="auto" w:sz="4" w:space="0"/>
              <w:bottom w:val="single" w:color="auto" w:sz="4" w:space="0"/>
              <w:right w:val="single" w:color="auto" w:sz="18" w:space="0"/>
            </w:tcBorders>
            <w:vAlign w:val="center"/>
          </w:tcPr>
          <w:p w14:paraId="05CD0D87">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 应采用密码技术保证通信过程中重要数据的机密性；</w:t>
            </w:r>
          </w:p>
        </w:tc>
      </w:tr>
      <w:tr w14:paraId="074DD5F0">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7B98F8F8">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29ABEF4E">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F314F38">
            <w:pPr>
              <w:pStyle w:val="2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t xml:space="preserve">网络边界访问控制信息的完整性 </w:t>
            </w:r>
          </w:p>
        </w:tc>
        <w:tc>
          <w:tcPr>
            <w:tcW w:w="4820" w:type="dxa"/>
            <w:tcBorders>
              <w:top w:val="single" w:color="auto" w:sz="4" w:space="0"/>
              <w:left w:val="single" w:color="auto" w:sz="4" w:space="0"/>
              <w:bottom w:val="single" w:color="auto" w:sz="4" w:space="0"/>
              <w:right w:val="single" w:color="auto" w:sz="18" w:space="0"/>
            </w:tcBorders>
            <w:vAlign w:val="center"/>
          </w:tcPr>
          <w:p w14:paraId="3B01B4E5">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 宜采用密码技术保证网络边界访问控制信息的完整性；</w:t>
            </w:r>
          </w:p>
        </w:tc>
      </w:tr>
      <w:tr w14:paraId="35437E57">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2BD693D3">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358554A6">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EEBCF4D">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安全接入认证</w:t>
            </w:r>
          </w:p>
        </w:tc>
        <w:tc>
          <w:tcPr>
            <w:tcW w:w="4820" w:type="dxa"/>
            <w:tcBorders>
              <w:top w:val="single" w:color="auto" w:sz="4" w:space="0"/>
              <w:left w:val="single" w:color="auto" w:sz="4" w:space="0"/>
              <w:bottom w:val="single" w:color="auto" w:sz="4" w:space="0"/>
              <w:right w:val="single" w:color="auto" w:sz="18" w:space="0"/>
            </w:tcBorders>
            <w:vAlign w:val="center"/>
          </w:tcPr>
          <w:p w14:paraId="6518F0FF">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 可采用密码技术对从外部连接到内部网络的设备进行接入认证，确保接入的设备身份真实性。</w:t>
            </w:r>
          </w:p>
        </w:tc>
      </w:tr>
      <w:tr w14:paraId="33E347A1">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521A229A">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58F7AAFA">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设备和计算安全</w:t>
            </w:r>
          </w:p>
        </w:tc>
        <w:tc>
          <w:tcPr>
            <w:tcW w:w="1701" w:type="dxa"/>
            <w:tcBorders>
              <w:top w:val="single" w:color="auto" w:sz="4" w:space="0"/>
              <w:left w:val="single" w:color="auto" w:sz="4" w:space="0"/>
              <w:bottom w:val="single" w:color="auto" w:sz="4" w:space="0"/>
              <w:right w:val="single" w:color="auto" w:sz="4" w:space="0"/>
            </w:tcBorders>
            <w:vAlign w:val="center"/>
          </w:tcPr>
          <w:p w14:paraId="31AEC0E5">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身份鉴别</w:t>
            </w:r>
          </w:p>
        </w:tc>
        <w:tc>
          <w:tcPr>
            <w:tcW w:w="4820" w:type="dxa"/>
            <w:tcBorders>
              <w:top w:val="single" w:color="auto" w:sz="4" w:space="0"/>
              <w:left w:val="single" w:color="auto" w:sz="4" w:space="0"/>
              <w:bottom w:val="single" w:color="auto" w:sz="4" w:space="0"/>
              <w:right w:val="single" w:color="auto" w:sz="18" w:space="0"/>
            </w:tcBorders>
            <w:vAlign w:val="center"/>
          </w:tcPr>
          <w:p w14:paraId="47F810D1">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 应采用密码技术对登录设备的用户进行身份鉴别，保证用户身份的真实性；</w:t>
            </w:r>
          </w:p>
        </w:tc>
      </w:tr>
      <w:tr w14:paraId="1AB46676">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41D73557">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D2A5B78">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18E95AC">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远程管理通道安全</w:t>
            </w:r>
          </w:p>
        </w:tc>
        <w:tc>
          <w:tcPr>
            <w:tcW w:w="4820" w:type="dxa"/>
            <w:tcBorders>
              <w:top w:val="single" w:color="auto" w:sz="4" w:space="0"/>
              <w:left w:val="single" w:color="auto" w:sz="4" w:space="0"/>
              <w:bottom w:val="single" w:color="auto" w:sz="4" w:space="0"/>
              <w:right w:val="single" w:color="auto" w:sz="18" w:space="0"/>
            </w:tcBorders>
            <w:vAlign w:val="center"/>
          </w:tcPr>
          <w:p w14:paraId="609756DF">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 远程管理设备时，应采用密码技术建立安全的信息传输通道；</w:t>
            </w:r>
          </w:p>
        </w:tc>
      </w:tr>
      <w:tr w14:paraId="5960FB29">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41CE50D2">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26482E3">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30A75F3B">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系统资源访问控制信息完整性</w:t>
            </w:r>
          </w:p>
        </w:tc>
        <w:tc>
          <w:tcPr>
            <w:tcW w:w="4820" w:type="dxa"/>
            <w:tcBorders>
              <w:top w:val="single" w:color="auto" w:sz="4" w:space="0"/>
              <w:left w:val="single" w:color="auto" w:sz="4" w:space="0"/>
              <w:bottom w:val="single" w:color="auto" w:sz="4" w:space="0"/>
              <w:right w:val="single" w:color="auto" w:sz="18" w:space="0"/>
            </w:tcBorders>
            <w:vAlign w:val="center"/>
          </w:tcPr>
          <w:p w14:paraId="1D7C32F3">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 宜采用密码技术保证系统资源访问控制信息的完整性；</w:t>
            </w:r>
          </w:p>
        </w:tc>
      </w:tr>
      <w:tr w14:paraId="652C0547">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628328C1">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50B52CCE">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A944FD0">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重要信息资源安全标记完整性</w:t>
            </w:r>
          </w:p>
        </w:tc>
        <w:tc>
          <w:tcPr>
            <w:tcW w:w="4820" w:type="dxa"/>
            <w:tcBorders>
              <w:top w:val="single" w:color="auto" w:sz="4" w:space="0"/>
              <w:left w:val="single" w:color="auto" w:sz="4" w:space="0"/>
              <w:bottom w:val="single" w:color="auto" w:sz="4" w:space="0"/>
              <w:right w:val="single" w:color="auto" w:sz="18" w:space="0"/>
            </w:tcBorders>
            <w:vAlign w:val="center"/>
          </w:tcPr>
          <w:p w14:paraId="59082B68">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 宜采用密码技术保证设备中的重要信息资源安全标记的完整性；</w:t>
            </w:r>
          </w:p>
        </w:tc>
      </w:tr>
      <w:tr w14:paraId="352BA1BD">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6BCDC6BA">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1F61A3FB">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DA061DE">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日志记录完整性</w:t>
            </w:r>
          </w:p>
        </w:tc>
        <w:tc>
          <w:tcPr>
            <w:tcW w:w="4820" w:type="dxa"/>
            <w:tcBorders>
              <w:top w:val="single" w:color="auto" w:sz="4" w:space="0"/>
              <w:left w:val="single" w:color="auto" w:sz="4" w:space="0"/>
              <w:bottom w:val="single" w:color="auto" w:sz="4" w:space="0"/>
              <w:right w:val="single" w:color="auto" w:sz="18" w:space="0"/>
            </w:tcBorders>
            <w:vAlign w:val="center"/>
          </w:tcPr>
          <w:p w14:paraId="30CAB1F9">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 宜采用密码技术保证日志记录的完整性；</w:t>
            </w:r>
          </w:p>
        </w:tc>
      </w:tr>
      <w:tr w14:paraId="3192BCB4">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2F1FD576">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0A078CDF">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2CD1CF90">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重要可执行程序完整性、重要可执行程序来源真实性</w:t>
            </w:r>
          </w:p>
        </w:tc>
        <w:tc>
          <w:tcPr>
            <w:tcW w:w="4820" w:type="dxa"/>
            <w:tcBorders>
              <w:top w:val="single" w:color="auto" w:sz="4" w:space="0"/>
              <w:left w:val="single" w:color="auto" w:sz="4" w:space="0"/>
              <w:bottom w:val="single" w:color="auto" w:sz="4" w:space="0"/>
              <w:right w:val="single" w:color="auto" w:sz="18" w:space="0"/>
            </w:tcBorders>
            <w:vAlign w:val="center"/>
          </w:tcPr>
          <w:p w14:paraId="1C8124F5">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 宜采用密码技术对重要可执行程序进行完整性保护，并对其来源进行真实性验证。</w:t>
            </w:r>
          </w:p>
        </w:tc>
      </w:tr>
      <w:tr w14:paraId="0BE0CF1D">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2E1B5FA7">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06F26236">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应用和数据安全</w:t>
            </w:r>
          </w:p>
        </w:tc>
        <w:tc>
          <w:tcPr>
            <w:tcW w:w="1701" w:type="dxa"/>
            <w:tcBorders>
              <w:top w:val="single" w:color="auto" w:sz="4" w:space="0"/>
              <w:left w:val="single" w:color="auto" w:sz="4" w:space="0"/>
              <w:bottom w:val="single" w:color="auto" w:sz="4" w:space="0"/>
              <w:right w:val="single" w:color="auto" w:sz="4" w:space="0"/>
            </w:tcBorders>
            <w:vAlign w:val="center"/>
          </w:tcPr>
          <w:p w14:paraId="363D5E03">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身份鉴别</w:t>
            </w:r>
          </w:p>
        </w:tc>
        <w:tc>
          <w:tcPr>
            <w:tcW w:w="4820" w:type="dxa"/>
            <w:tcBorders>
              <w:top w:val="single" w:color="auto" w:sz="4" w:space="0"/>
              <w:left w:val="single" w:color="auto" w:sz="4" w:space="0"/>
              <w:bottom w:val="single" w:color="auto" w:sz="4" w:space="0"/>
              <w:right w:val="single" w:color="auto" w:sz="18" w:space="0"/>
            </w:tcBorders>
            <w:vAlign w:val="center"/>
          </w:tcPr>
          <w:p w14:paraId="0D658DD5">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 应采用密码技术对登录用户进行身份鉴别，保证应用系统用户身份的真实性；</w:t>
            </w:r>
          </w:p>
        </w:tc>
      </w:tr>
      <w:tr w14:paraId="67DDA26C">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0C5A7591">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0047858C">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BC5CE45">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访问控制信息完整性</w:t>
            </w:r>
          </w:p>
        </w:tc>
        <w:tc>
          <w:tcPr>
            <w:tcW w:w="4820" w:type="dxa"/>
            <w:tcBorders>
              <w:top w:val="single" w:color="auto" w:sz="4" w:space="0"/>
              <w:left w:val="single" w:color="auto" w:sz="4" w:space="0"/>
              <w:bottom w:val="single" w:color="auto" w:sz="4" w:space="0"/>
              <w:right w:val="single" w:color="auto" w:sz="18" w:space="0"/>
            </w:tcBorders>
            <w:vAlign w:val="center"/>
          </w:tcPr>
          <w:p w14:paraId="5F80C5B9">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 宜采用密码技术保证信息系统应用的访问控制信息的完整性；</w:t>
            </w:r>
          </w:p>
        </w:tc>
      </w:tr>
      <w:tr w14:paraId="6F5A5C04">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2E879EB0">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6D0E541">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F2A6F5F">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重要信息资源安全标记完整性</w:t>
            </w:r>
          </w:p>
        </w:tc>
        <w:tc>
          <w:tcPr>
            <w:tcW w:w="4820" w:type="dxa"/>
            <w:tcBorders>
              <w:top w:val="single" w:color="auto" w:sz="4" w:space="0"/>
              <w:left w:val="single" w:color="auto" w:sz="4" w:space="0"/>
              <w:bottom w:val="single" w:color="auto" w:sz="4" w:space="0"/>
              <w:right w:val="single" w:color="auto" w:sz="18" w:space="0"/>
            </w:tcBorders>
            <w:vAlign w:val="center"/>
          </w:tcPr>
          <w:p w14:paraId="36203C79">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 宜采用密码技术保证信息系统应用的重要信息资源安全标记的完整性；</w:t>
            </w:r>
          </w:p>
        </w:tc>
      </w:tr>
      <w:tr w14:paraId="7D28F3E1">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06D1155F">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51DF0CD8">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320F1BE4">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重要数据传输机密性</w:t>
            </w:r>
          </w:p>
        </w:tc>
        <w:tc>
          <w:tcPr>
            <w:tcW w:w="4820" w:type="dxa"/>
            <w:tcBorders>
              <w:top w:val="single" w:color="auto" w:sz="4" w:space="0"/>
              <w:left w:val="single" w:color="auto" w:sz="4" w:space="0"/>
              <w:bottom w:val="single" w:color="auto" w:sz="4" w:space="0"/>
              <w:right w:val="single" w:color="auto" w:sz="18" w:space="0"/>
            </w:tcBorders>
            <w:vAlign w:val="center"/>
          </w:tcPr>
          <w:p w14:paraId="7D1E991A">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 应采用密码技术保证信息系统应用的重要数据在传输过程中的机密性；</w:t>
            </w:r>
          </w:p>
        </w:tc>
      </w:tr>
      <w:tr w14:paraId="78CA67A2">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56166217">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D4C9324">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25EAB09">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重要数据存储机密性</w:t>
            </w:r>
          </w:p>
        </w:tc>
        <w:tc>
          <w:tcPr>
            <w:tcW w:w="4820" w:type="dxa"/>
            <w:tcBorders>
              <w:top w:val="single" w:color="auto" w:sz="4" w:space="0"/>
              <w:left w:val="single" w:color="auto" w:sz="4" w:space="0"/>
              <w:bottom w:val="single" w:color="auto" w:sz="4" w:space="0"/>
              <w:right w:val="single" w:color="auto" w:sz="18" w:space="0"/>
            </w:tcBorders>
            <w:vAlign w:val="center"/>
          </w:tcPr>
          <w:p w14:paraId="52F027D1">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 应采用密码技术保证信息系统应用的重要数据在存储过程中的机密性；</w:t>
            </w:r>
          </w:p>
        </w:tc>
      </w:tr>
      <w:tr w14:paraId="074FE544">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3EBEB141">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0CB0B559">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8A45274">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重要数据传输完整性</w:t>
            </w:r>
          </w:p>
        </w:tc>
        <w:tc>
          <w:tcPr>
            <w:tcW w:w="4820" w:type="dxa"/>
            <w:tcBorders>
              <w:top w:val="single" w:color="auto" w:sz="4" w:space="0"/>
              <w:left w:val="single" w:color="auto" w:sz="4" w:space="0"/>
              <w:bottom w:val="single" w:color="auto" w:sz="4" w:space="0"/>
              <w:right w:val="single" w:color="auto" w:sz="18" w:space="0"/>
            </w:tcBorders>
            <w:vAlign w:val="center"/>
          </w:tcPr>
          <w:p w14:paraId="7476EF3C">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 宜采用密码技术保证信息系统应用的重要数据在传输过程中的完整性；</w:t>
            </w:r>
          </w:p>
        </w:tc>
      </w:tr>
      <w:tr w14:paraId="74DBFF62">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74C6EDA4">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32B0260E">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285661E">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重要数据存储完整性</w:t>
            </w:r>
          </w:p>
        </w:tc>
        <w:tc>
          <w:tcPr>
            <w:tcW w:w="4820" w:type="dxa"/>
            <w:tcBorders>
              <w:top w:val="single" w:color="auto" w:sz="4" w:space="0"/>
              <w:left w:val="single" w:color="auto" w:sz="4" w:space="0"/>
              <w:bottom w:val="single" w:color="auto" w:sz="4" w:space="0"/>
              <w:right w:val="single" w:color="auto" w:sz="18" w:space="0"/>
            </w:tcBorders>
            <w:vAlign w:val="center"/>
          </w:tcPr>
          <w:p w14:paraId="45709105">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g) 宜采用密码技术保证信息系统应用的重要数据在存储过程中的完整性；</w:t>
            </w:r>
          </w:p>
        </w:tc>
      </w:tr>
      <w:tr w14:paraId="03DB13CB">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2A9AFCF5">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098EABA8">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230B7A94">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不可否认性</w:t>
            </w:r>
          </w:p>
        </w:tc>
        <w:tc>
          <w:tcPr>
            <w:tcW w:w="4820" w:type="dxa"/>
            <w:tcBorders>
              <w:top w:val="single" w:color="auto" w:sz="4" w:space="0"/>
              <w:left w:val="single" w:color="auto" w:sz="4" w:space="0"/>
              <w:bottom w:val="single" w:color="auto" w:sz="4" w:space="0"/>
              <w:right w:val="single" w:color="auto" w:sz="18" w:space="0"/>
            </w:tcBorders>
            <w:vAlign w:val="center"/>
          </w:tcPr>
          <w:p w14:paraId="7F656153">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h) 在可能涉及法律责任认定的应用中，宜采用密码技术提供数据原发证据和数据接收证据，实现数据原发行为的不可否认性和数据接收行为的不可否认性。</w:t>
            </w:r>
          </w:p>
        </w:tc>
      </w:tr>
      <w:tr w14:paraId="7F49B49E">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restart"/>
            <w:tcBorders>
              <w:top w:val="single" w:color="auto" w:sz="4" w:space="0"/>
              <w:left w:val="single" w:color="auto" w:sz="18" w:space="0"/>
              <w:bottom w:val="single" w:color="auto" w:sz="4" w:space="0"/>
              <w:right w:val="single" w:color="auto" w:sz="4" w:space="0"/>
            </w:tcBorders>
            <w:vAlign w:val="center"/>
          </w:tcPr>
          <w:p w14:paraId="1DBCBC91">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w:t>
            </w:r>
          </w:p>
          <w:p w14:paraId="29BC6D44">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2BA04A1E">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w:t>
            </w:r>
          </w:p>
          <w:p w14:paraId="7EDD4623">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制度</w:t>
            </w:r>
          </w:p>
        </w:tc>
        <w:tc>
          <w:tcPr>
            <w:tcW w:w="1701" w:type="dxa"/>
            <w:tcBorders>
              <w:top w:val="single" w:color="auto" w:sz="4" w:space="0"/>
              <w:left w:val="single" w:color="auto" w:sz="4" w:space="0"/>
              <w:bottom w:val="single" w:color="auto" w:sz="4" w:space="0"/>
              <w:right w:val="single" w:color="auto" w:sz="4" w:space="0"/>
            </w:tcBorders>
            <w:vAlign w:val="center"/>
          </w:tcPr>
          <w:p w14:paraId="0FB483E0">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具备密码应用安全管理制度</w:t>
            </w:r>
          </w:p>
        </w:tc>
        <w:tc>
          <w:tcPr>
            <w:tcW w:w="4820" w:type="dxa"/>
            <w:tcBorders>
              <w:top w:val="single" w:color="auto" w:sz="4" w:space="0"/>
              <w:left w:val="single" w:color="auto" w:sz="4" w:space="0"/>
              <w:bottom w:val="single" w:color="auto" w:sz="4" w:space="0"/>
              <w:right w:val="single" w:color="auto" w:sz="18" w:space="0"/>
            </w:tcBorders>
            <w:vAlign w:val="center"/>
          </w:tcPr>
          <w:p w14:paraId="35A2DC82">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a）应具备密码应用安全管理制度，包括密码人员管理、密钥管理、建设运行、应急处置、密码软硬件及介质管理等制度；</w:t>
            </w:r>
          </w:p>
        </w:tc>
      </w:tr>
      <w:tr w14:paraId="1AC5E380">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57E25519">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1A5C102E">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311BA5E1">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密钥管理规则</w:t>
            </w:r>
          </w:p>
        </w:tc>
        <w:tc>
          <w:tcPr>
            <w:tcW w:w="4820" w:type="dxa"/>
            <w:tcBorders>
              <w:top w:val="single" w:color="auto" w:sz="4" w:space="0"/>
              <w:left w:val="single" w:color="auto" w:sz="4" w:space="0"/>
              <w:bottom w:val="single" w:color="auto" w:sz="4" w:space="0"/>
              <w:right w:val="single" w:color="auto" w:sz="18" w:space="0"/>
            </w:tcBorders>
            <w:vAlign w:val="center"/>
          </w:tcPr>
          <w:p w14:paraId="718E054D">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b）应根据密码应用方案建立相应密钥管理规则；</w:t>
            </w:r>
          </w:p>
        </w:tc>
      </w:tr>
      <w:tr w14:paraId="0A19DF4C">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44196E38">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3F6CFE25">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2ACCE5E">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建立操作规程</w:t>
            </w:r>
          </w:p>
        </w:tc>
        <w:tc>
          <w:tcPr>
            <w:tcW w:w="4820" w:type="dxa"/>
            <w:tcBorders>
              <w:top w:val="single" w:color="auto" w:sz="4" w:space="0"/>
              <w:left w:val="single" w:color="auto" w:sz="4" w:space="0"/>
              <w:bottom w:val="single" w:color="auto" w:sz="4" w:space="0"/>
              <w:right w:val="single" w:color="auto" w:sz="18" w:space="0"/>
            </w:tcBorders>
            <w:vAlign w:val="center"/>
          </w:tcPr>
          <w:p w14:paraId="729C22B9">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c）应对管理人员或操作人员执行的日常管理操作建立操作规程；</w:t>
            </w:r>
          </w:p>
        </w:tc>
      </w:tr>
      <w:tr w14:paraId="2BE71F96">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5C5AE59E">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529D9B0B">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B821F96">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定期修订安全管理制度</w:t>
            </w:r>
          </w:p>
        </w:tc>
        <w:tc>
          <w:tcPr>
            <w:tcW w:w="4820" w:type="dxa"/>
            <w:tcBorders>
              <w:top w:val="single" w:color="auto" w:sz="4" w:space="0"/>
              <w:left w:val="single" w:color="auto" w:sz="4" w:space="0"/>
              <w:bottom w:val="single" w:color="auto" w:sz="4" w:space="0"/>
              <w:right w:val="single" w:color="auto" w:sz="18" w:space="0"/>
            </w:tcBorders>
            <w:vAlign w:val="center"/>
          </w:tcPr>
          <w:p w14:paraId="02366844">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d）应定期对密码应用安全管理制度和操作规程的合理性和适用性进行论证和审定，对存在不足或需要改进之处进行修订；</w:t>
            </w:r>
          </w:p>
        </w:tc>
      </w:tr>
      <w:tr w14:paraId="03AFF261">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3CF50C7F">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467CA87">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C655552">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明确管理制度发布流程</w:t>
            </w:r>
          </w:p>
        </w:tc>
        <w:tc>
          <w:tcPr>
            <w:tcW w:w="4820" w:type="dxa"/>
            <w:tcBorders>
              <w:top w:val="single" w:color="auto" w:sz="4" w:space="0"/>
              <w:left w:val="single" w:color="auto" w:sz="4" w:space="0"/>
              <w:bottom w:val="single" w:color="auto" w:sz="4" w:space="0"/>
              <w:right w:val="single" w:color="auto" w:sz="18" w:space="0"/>
            </w:tcBorders>
            <w:vAlign w:val="center"/>
          </w:tcPr>
          <w:p w14:paraId="77B6608A">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e）应明确相关密码应用安全管理制度和操作规程的发布流程并进行版本控制；</w:t>
            </w:r>
          </w:p>
        </w:tc>
      </w:tr>
      <w:tr w14:paraId="41BB7E9A">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4782D3B1">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445B1063">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F60AA56">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制度执行过程记录留存</w:t>
            </w:r>
          </w:p>
        </w:tc>
        <w:tc>
          <w:tcPr>
            <w:tcW w:w="4820" w:type="dxa"/>
            <w:tcBorders>
              <w:top w:val="single" w:color="auto" w:sz="4" w:space="0"/>
              <w:left w:val="single" w:color="auto" w:sz="4" w:space="0"/>
              <w:bottom w:val="single" w:color="auto" w:sz="4" w:space="0"/>
              <w:right w:val="single" w:color="auto" w:sz="18" w:space="0"/>
            </w:tcBorders>
            <w:vAlign w:val="center"/>
          </w:tcPr>
          <w:p w14:paraId="7C8E5BA8">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f）应具有密码应用操作规程的相关执行记录并妥善保存。</w:t>
            </w:r>
          </w:p>
        </w:tc>
      </w:tr>
      <w:tr w14:paraId="22C0A735">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5466F7EE">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2489E743">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人员</w:t>
            </w:r>
          </w:p>
          <w:p w14:paraId="3AB7E2ED">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w:t>
            </w:r>
          </w:p>
        </w:tc>
        <w:tc>
          <w:tcPr>
            <w:tcW w:w="1701" w:type="dxa"/>
            <w:tcBorders>
              <w:top w:val="single" w:color="auto" w:sz="4" w:space="0"/>
              <w:left w:val="single" w:color="auto" w:sz="4" w:space="0"/>
              <w:bottom w:val="single" w:color="auto" w:sz="4" w:space="0"/>
              <w:right w:val="single" w:color="auto" w:sz="4" w:space="0"/>
            </w:tcBorders>
            <w:vAlign w:val="center"/>
          </w:tcPr>
          <w:p w14:paraId="01A71AA0">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了解并遵守密码相关法律法规和密码管理制度 </w:t>
            </w:r>
          </w:p>
        </w:tc>
        <w:tc>
          <w:tcPr>
            <w:tcW w:w="4820" w:type="dxa"/>
            <w:tcBorders>
              <w:top w:val="single" w:color="auto" w:sz="4" w:space="0"/>
              <w:left w:val="single" w:color="auto" w:sz="4" w:space="0"/>
              <w:bottom w:val="single" w:color="auto" w:sz="4" w:space="0"/>
              <w:right w:val="single" w:color="auto" w:sz="18" w:space="0"/>
            </w:tcBorders>
            <w:vAlign w:val="center"/>
          </w:tcPr>
          <w:p w14:paraId="62D49C63">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a）相关人员应了解并遵守密码相关法律法规、密码应用安全管理制度；</w:t>
            </w:r>
          </w:p>
        </w:tc>
      </w:tr>
      <w:tr w14:paraId="094ABEF1">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4F2C7A29">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381EDA67">
            <w:pPr>
              <w:spacing w:line="360" w:lineRule="auto"/>
              <w:ind w:firstLine="0" w:firstLineChars="0"/>
              <w:jc w:val="center"/>
              <w:rPr>
                <w:rFonts w:hint="eastAsia" w:ascii="宋体" w:hAnsi="宋体" w:eastAsia="宋体" w:cs="宋体"/>
                <w:color w:val="auto"/>
                <w:sz w:val="24"/>
                <w:szCs w:val="24"/>
                <w:highlight w:val="none"/>
                <w:lang w:bidi="ar"/>
              </w:rPr>
            </w:pPr>
          </w:p>
        </w:tc>
        <w:tc>
          <w:tcPr>
            <w:tcW w:w="1701" w:type="dxa"/>
            <w:tcBorders>
              <w:top w:val="single" w:color="auto" w:sz="4" w:space="0"/>
              <w:left w:val="single" w:color="auto" w:sz="4" w:space="0"/>
              <w:bottom w:val="single" w:color="auto" w:sz="4" w:space="0"/>
              <w:right w:val="single" w:color="auto" w:sz="4" w:space="0"/>
            </w:tcBorders>
            <w:vAlign w:val="center"/>
          </w:tcPr>
          <w:p w14:paraId="7415C1D4">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建立密码应用岗位责任制度</w:t>
            </w:r>
          </w:p>
        </w:tc>
        <w:tc>
          <w:tcPr>
            <w:tcW w:w="4820" w:type="dxa"/>
            <w:tcBorders>
              <w:top w:val="single" w:color="auto" w:sz="4" w:space="0"/>
              <w:left w:val="single" w:color="auto" w:sz="4" w:space="0"/>
              <w:bottom w:val="single" w:color="auto" w:sz="4" w:space="0"/>
              <w:right w:val="single" w:color="auto" w:sz="18" w:space="0"/>
            </w:tcBorders>
            <w:vAlign w:val="center"/>
          </w:tcPr>
          <w:p w14:paraId="6FC3EE41">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 应建立密码应用岗位责任制度，明确各岗位在安全系统中的职责和权限：</w:t>
            </w:r>
          </w:p>
          <w:p w14:paraId="1731F8F4">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根据密码应用的实际情况，设置密钥管理员、密码安全审计员、密码操作员等关键安全岗位；</w:t>
            </w:r>
          </w:p>
          <w:p w14:paraId="0C39CEA3">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对关键岗位建立多人共管机制；</w:t>
            </w:r>
          </w:p>
          <w:p w14:paraId="158E0DDF">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密钥管理、密码安全审计、密码操作人员职责互相制约互相监督，其中密钥管理员岗位不可与密码审计员、密码操作员等关键安全岗位兼任；</w:t>
            </w:r>
          </w:p>
          <w:p w14:paraId="685019A1">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相关设备与系统的管理和使用账号不得多人共用。</w:t>
            </w:r>
          </w:p>
        </w:tc>
      </w:tr>
      <w:tr w14:paraId="3C0B8FF9">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157E4419">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141B4DBA">
            <w:pPr>
              <w:spacing w:line="360" w:lineRule="auto"/>
              <w:ind w:firstLine="0" w:firstLineChars="0"/>
              <w:jc w:val="center"/>
              <w:rPr>
                <w:rFonts w:hint="eastAsia" w:ascii="宋体" w:hAnsi="宋体" w:eastAsia="宋体" w:cs="宋体"/>
                <w:color w:val="auto"/>
                <w:sz w:val="24"/>
                <w:szCs w:val="24"/>
                <w:highlight w:val="none"/>
                <w:lang w:bidi="ar"/>
              </w:rPr>
            </w:pPr>
          </w:p>
        </w:tc>
        <w:tc>
          <w:tcPr>
            <w:tcW w:w="1701" w:type="dxa"/>
            <w:tcBorders>
              <w:top w:val="single" w:color="auto" w:sz="4" w:space="0"/>
              <w:left w:val="single" w:color="auto" w:sz="4" w:space="0"/>
              <w:bottom w:val="single" w:color="auto" w:sz="4" w:space="0"/>
              <w:right w:val="single" w:color="auto" w:sz="4" w:space="0"/>
            </w:tcBorders>
            <w:vAlign w:val="center"/>
          </w:tcPr>
          <w:p w14:paraId="1E771130">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建立上岗人员培训制度</w:t>
            </w:r>
          </w:p>
        </w:tc>
        <w:tc>
          <w:tcPr>
            <w:tcW w:w="4820" w:type="dxa"/>
            <w:tcBorders>
              <w:top w:val="single" w:color="auto" w:sz="4" w:space="0"/>
              <w:left w:val="single" w:color="auto" w:sz="4" w:space="0"/>
              <w:bottom w:val="single" w:color="auto" w:sz="4" w:space="0"/>
              <w:right w:val="single" w:color="auto" w:sz="18" w:space="0"/>
            </w:tcBorders>
            <w:vAlign w:val="center"/>
          </w:tcPr>
          <w:p w14:paraId="5BB9A4EF">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 应建立上岗人员培训制度，对于涉及密码的操作和管理的人员进行专门培训，确保其具备岗位所需专业技能；</w:t>
            </w:r>
          </w:p>
        </w:tc>
      </w:tr>
      <w:tr w14:paraId="3BCEEB1E">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3B8799F8">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5A499DB7">
            <w:pPr>
              <w:spacing w:line="360" w:lineRule="auto"/>
              <w:ind w:firstLine="0" w:firstLineChars="0"/>
              <w:jc w:val="center"/>
              <w:rPr>
                <w:rFonts w:hint="eastAsia" w:ascii="宋体" w:hAnsi="宋体" w:eastAsia="宋体" w:cs="宋体"/>
                <w:color w:val="auto"/>
                <w:sz w:val="24"/>
                <w:szCs w:val="24"/>
                <w:highlight w:val="none"/>
                <w:lang w:bidi="ar"/>
              </w:rPr>
            </w:pPr>
          </w:p>
        </w:tc>
        <w:tc>
          <w:tcPr>
            <w:tcW w:w="1701" w:type="dxa"/>
            <w:tcBorders>
              <w:top w:val="single" w:color="auto" w:sz="4" w:space="0"/>
              <w:left w:val="single" w:color="auto" w:sz="4" w:space="0"/>
              <w:bottom w:val="single" w:color="auto" w:sz="4" w:space="0"/>
              <w:right w:val="single" w:color="auto" w:sz="4" w:space="0"/>
            </w:tcBorders>
            <w:vAlign w:val="center"/>
          </w:tcPr>
          <w:p w14:paraId="2F55C0B7">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定期进行安全岗位人员考核</w:t>
            </w:r>
          </w:p>
        </w:tc>
        <w:tc>
          <w:tcPr>
            <w:tcW w:w="4820" w:type="dxa"/>
            <w:tcBorders>
              <w:top w:val="single" w:color="auto" w:sz="4" w:space="0"/>
              <w:left w:val="single" w:color="auto" w:sz="4" w:space="0"/>
              <w:bottom w:val="single" w:color="auto" w:sz="4" w:space="0"/>
              <w:right w:val="single" w:color="auto" w:sz="18" w:space="0"/>
            </w:tcBorders>
            <w:vAlign w:val="center"/>
          </w:tcPr>
          <w:p w14:paraId="1699873D">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 应定期对密码应用安全岗位人员进行考核；</w:t>
            </w:r>
          </w:p>
        </w:tc>
      </w:tr>
      <w:tr w14:paraId="3E0ED60E">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279A36E6">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5C5A75D">
            <w:pPr>
              <w:spacing w:line="360" w:lineRule="auto"/>
              <w:ind w:firstLine="0" w:firstLineChars="0"/>
              <w:jc w:val="center"/>
              <w:rPr>
                <w:rFonts w:hint="eastAsia" w:ascii="宋体" w:hAnsi="宋体" w:eastAsia="宋体" w:cs="宋体"/>
                <w:color w:val="auto"/>
                <w:sz w:val="24"/>
                <w:szCs w:val="24"/>
                <w:highlight w:val="none"/>
                <w:lang w:bidi="ar"/>
              </w:rPr>
            </w:pPr>
          </w:p>
        </w:tc>
        <w:tc>
          <w:tcPr>
            <w:tcW w:w="1701" w:type="dxa"/>
            <w:tcBorders>
              <w:top w:val="single" w:color="auto" w:sz="4" w:space="0"/>
              <w:left w:val="single" w:color="auto" w:sz="4" w:space="0"/>
              <w:bottom w:val="single" w:color="auto" w:sz="4" w:space="0"/>
              <w:right w:val="single" w:color="auto" w:sz="4" w:space="0"/>
            </w:tcBorders>
            <w:vAlign w:val="center"/>
          </w:tcPr>
          <w:p w14:paraId="50EBC6B5">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建立关键岗位人员保密制度和调离制度</w:t>
            </w:r>
          </w:p>
        </w:tc>
        <w:tc>
          <w:tcPr>
            <w:tcW w:w="4820" w:type="dxa"/>
            <w:tcBorders>
              <w:top w:val="single" w:color="auto" w:sz="4" w:space="0"/>
              <w:left w:val="single" w:color="auto" w:sz="4" w:space="0"/>
              <w:bottom w:val="single" w:color="auto" w:sz="4" w:space="0"/>
              <w:right w:val="single" w:color="auto" w:sz="18" w:space="0"/>
            </w:tcBorders>
            <w:vAlign w:val="center"/>
          </w:tcPr>
          <w:p w14:paraId="102B902F">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 应建立关键人员保密制度和调离制度，签订保密合同，承担保密义务。</w:t>
            </w:r>
          </w:p>
        </w:tc>
      </w:tr>
      <w:tr w14:paraId="14B9E23D">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7C6C1B63">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32CB9180">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w:t>
            </w:r>
          </w:p>
          <w:p w14:paraId="36AE8825">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w:t>
            </w:r>
          </w:p>
        </w:tc>
        <w:tc>
          <w:tcPr>
            <w:tcW w:w="1701" w:type="dxa"/>
            <w:tcBorders>
              <w:top w:val="single" w:color="auto" w:sz="4" w:space="0"/>
              <w:left w:val="single" w:color="auto" w:sz="4" w:space="0"/>
              <w:bottom w:val="single" w:color="auto" w:sz="4" w:space="0"/>
              <w:right w:val="single" w:color="auto" w:sz="4" w:space="0"/>
            </w:tcBorders>
            <w:vAlign w:val="center"/>
          </w:tcPr>
          <w:p w14:paraId="7ADB21C4">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制定密码应用方案</w:t>
            </w:r>
          </w:p>
        </w:tc>
        <w:tc>
          <w:tcPr>
            <w:tcW w:w="4820" w:type="dxa"/>
            <w:tcBorders>
              <w:top w:val="single" w:color="auto" w:sz="4" w:space="0"/>
              <w:left w:val="single" w:color="auto" w:sz="4" w:space="0"/>
              <w:bottom w:val="single" w:color="auto" w:sz="4" w:space="0"/>
              <w:right w:val="single" w:color="auto" w:sz="18" w:space="0"/>
            </w:tcBorders>
            <w:vAlign w:val="center"/>
          </w:tcPr>
          <w:p w14:paraId="64159637">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a）应依据密码相关标准和密码应用需求，制定密码应用方案；</w:t>
            </w:r>
          </w:p>
        </w:tc>
      </w:tr>
      <w:tr w14:paraId="47700831">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41533C74">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1361115D">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1268896">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制定密钥安全管理策略</w:t>
            </w:r>
          </w:p>
        </w:tc>
        <w:tc>
          <w:tcPr>
            <w:tcW w:w="4820" w:type="dxa"/>
            <w:tcBorders>
              <w:top w:val="single" w:color="auto" w:sz="4" w:space="0"/>
              <w:left w:val="single" w:color="auto" w:sz="4" w:space="0"/>
              <w:bottom w:val="single" w:color="auto" w:sz="4" w:space="0"/>
              <w:right w:val="single" w:color="auto" w:sz="18" w:space="0"/>
            </w:tcBorders>
            <w:vAlign w:val="center"/>
          </w:tcPr>
          <w:p w14:paraId="145DD5E1">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b）应根据密码应用方案，确定系统涉及的密钥种类、体系及其生命周期环节，各环节安全管理要求参照《信息安全技术 信息系统密码应用基本要求》附录A；</w:t>
            </w:r>
          </w:p>
        </w:tc>
      </w:tr>
      <w:tr w14:paraId="4A70AECB">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59085C2A">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7E05DD6E">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C031266">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制定实施方案</w:t>
            </w:r>
          </w:p>
        </w:tc>
        <w:tc>
          <w:tcPr>
            <w:tcW w:w="4820" w:type="dxa"/>
            <w:tcBorders>
              <w:top w:val="single" w:color="auto" w:sz="4" w:space="0"/>
              <w:left w:val="single" w:color="auto" w:sz="4" w:space="0"/>
              <w:bottom w:val="single" w:color="auto" w:sz="4" w:space="0"/>
              <w:right w:val="single" w:color="auto" w:sz="18" w:space="0"/>
            </w:tcBorders>
            <w:vAlign w:val="center"/>
          </w:tcPr>
          <w:p w14:paraId="6F1D54E9">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c）应按照应用方案实施建设；</w:t>
            </w:r>
          </w:p>
        </w:tc>
      </w:tr>
      <w:tr w14:paraId="195775E4">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579DC6D1">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03005F1C">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480121A">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投入运行前进行密码应用安全性评估</w:t>
            </w:r>
          </w:p>
        </w:tc>
        <w:tc>
          <w:tcPr>
            <w:tcW w:w="4820" w:type="dxa"/>
            <w:tcBorders>
              <w:top w:val="single" w:color="auto" w:sz="4" w:space="0"/>
              <w:left w:val="single" w:color="auto" w:sz="4" w:space="0"/>
              <w:bottom w:val="single" w:color="auto" w:sz="4" w:space="0"/>
              <w:right w:val="single" w:color="auto" w:sz="18" w:space="0"/>
            </w:tcBorders>
            <w:vAlign w:val="center"/>
          </w:tcPr>
          <w:p w14:paraId="01B761C1">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d）投入运行前应进行密码应用安全性评估，评估通过后系统方可正式运行；</w:t>
            </w:r>
          </w:p>
        </w:tc>
      </w:tr>
      <w:tr w14:paraId="789B5488">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01DE1D77">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298BFCB2">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33BAFFD3">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定期开展密码应用安全性评估及攻防对抗演习</w:t>
            </w:r>
          </w:p>
        </w:tc>
        <w:tc>
          <w:tcPr>
            <w:tcW w:w="4820" w:type="dxa"/>
            <w:tcBorders>
              <w:top w:val="single" w:color="auto" w:sz="4" w:space="0"/>
              <w:left w:val="single" w:color="auto" w:sz="4" w:space="0"/>
              <w:bottom w:val="single" w:color="auto" w:sz="4" w:space="0"/>
              <w:right w:val="single" w:color="auto" w:sz="18" w:space="0"/>
            </w:tcBorders>
            <w:vAlign w:val="center"/>
          </w:tcPr>
          <w:p w14:paraId="03999D69">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e）在运行过程中，应严格执行既定的密码应用安全管理制度，应定期开展密码应用安全性评估及攻防对抗演习，并根据评估结果进行整改。</w:t>
            </w:r>
          </w:p>
        </w:tc>
      </w:tr>
      <w:tr w14:paraId="4D606323">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2AEF9F12">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4DBF6FE8">
            <w:pPr>
              <w:spacing w:line="360" w:lineRule="auto"/>
              <w:ind w:firstLine="0" w:firstLineChars="0"/>
              <w:jc w:val="center"/>
              <w:rPr>
                <w:rFonts w:hint="eastAsia" w:ascii="宋体" w:hAnsi="宋体" w:eastAsia="宋体" w:cs="宋体"/>
                <w:color w:val="auto"/>
                <w:sz w:val="24"/>
                <w:szCs w:val="24"/>
                <w:highlight w:val="none"/>
              </w:rPr>
            </w:pPr>
          </w:p>
          <w:p w14:paraId="0577C22D">
            <w:pPr>
              <w:spacing w:line="360" w:lineRule="auto"/>
              <w:ind w:firstLine="0" w:firstLineChars="0"/>
              <w:jc w:val="center"/>
              <w:rPr>
                <w:rFonts w:hint="eastAsia" w:ascii="宋体" w:hAnsi="宋体" w:eastAsia="宋体" w:cs="宋体"/>
                <w:color w:val="auto"/>
                <w:sz w:val="24"/>
                <w:szCs w:val="24"/>
                <w:highlight w:val="none"/>
              </w:rPr>
            </w:pPr>
          </w:p>
          <w:p w14:paraId="44003D1A">
            <w:pPr>
              <w:spacing w:line="360" w:lineRule="auto"/>
              <w:ind w:firstLine="0" w:firstLineChars="0"/>
              <w:jc w:val="center"/>
              <w:rPr>
                <w:rFonts w:hint="eastAsia" w:ascii="宋体" w:hAnsi="宋体" w:eastAsia="宋体" w:cs="宋体"/>
                <w:color w:val="auto"/>
                <w:sz w:val="24"/>
                <w:szCs w:val="24"/>
                <w:highlight w:val="none"/>
              </w:rPr>
            </w:pPr>
          </w:p>
          <w:p w14:paraId="786F45DE">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应急</w:t>
            </w:r>
          </w:p>
          <w:p w14:paraId="0BF4664B">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处置</w:t>
            </w:r>
          </w:p>
        </w:tc>
        <w:tc>
          <w:tcPr>
            <w:tcW w:w="1701" w:type="dxa"/>
            <w:tcBorders>
              <w:top w:val="single" w:color="auto" w:sz="4" w:space="0"/>
              <w:left w:val="single" w:color="auto" w:sz="4" w:space="0"/>
              <w:bottom w:val="single" w:color="auto" w:sz="4" w:space="0"/>
              <w:right w:val="single" w:color="auto" w:sz="4" w:space="0"/>
            </w:tcBorders>
            <w:vAlign w:val="center"/>
          </w:tcPr>
          <w:p w14:paraId="6A72298D">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应急策略</w:t>
            </w:r>
          </w:p>
        </w:tc>
        <w:tc>
          <w:tcPr>
            <w:tcW w:w="4820" w:type="dxa"/>
            <w:tcBorders>
              <w:top w:val="single" w:color="auto" w:sz="4" w:space="0"/>
              <w:left w:val="single" w:color="auto" w:sz="4" w:space="0"/>
              <w:bottom w:val="single" w:color="auto" w:sz="4" w:space="0"/>
              <w:right w:val="single" w:color="auto" w:sz="18" w:space="0"/>
            </w:tcBorders>
            <w:vAlign w:val="center"/>
          </w:tcPr>
          <w:p w14:paraId="7E0D6734">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a）应制定密码应用应急策略，做好应急资源准备，当密码应用安全事件发生时，应立即启动应急处置措施，结合实际情况及时处置；</w:t>
            </w:r>
          </w:p>
        </w:tc>
      </w:tr>
      <w:tr w14:paraId="0DE1CB2B">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4" w:space="0"/>
              <w:right w:val="single" w:color="auto" w:sz="4" w:space="0"/>
            </w:tcBorders>
            <w:vAlign w:val="center"/>
          </w:tcPr>
          <w:p w14:paraId="72B9367E">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2B0F800B">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E8EF1BF">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事件处置</w:t>
            </w:r>
          </w:p>
        </w:tc>
        <w:tc>
          <w:tcPr>
            <w:tcW w:w="4820" w:type="dxa"/>
            <w:tcBorders>
              <w:top w:val="single" w:color="auto" w:sz="4" w:space="0"/>
              <w:left w:val="single" w:color="auto" w:sz="4" w:space="0"/>
              <w:bottom w:val="single" w:color="auto" w:sz="4" w:space="0"/>
              <w:right w:val="single" w:color="auto" w:sz="18" w:space="0"/>
            </w:tcBorders>
            <w:vAlign w:val="center"/>
          </w:tcPr>
          <w:p w14:paraId="788802B2">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b）事件发生后，应及时向信息系统主管部门进行报告；</w:t>
            </w:r>
          </w:p>
        </w:tc>
      </w:tr>
      <w:tr w14:paraId="3FD30A13">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70" w:type="dxa"/>
            <w:vMerge w:val="continue"/>
            <w:tcBorders>
              <w:top w:val="single" w:color="auto" w:sz="4" w:space="0"/>
              <w:left w:val="single" w:color="auto" w:sz="18" w:space="0"/>
              <w:bottom w:val="single" w:color="auto" w:sz="18" w:space="0"/>
              <w:right w:val="single" w:color="auto" w:sz="4" w:space="0"/>
            </w:tcBorders>
            <w:vAlign w:val="center"/>
          </w:tcPr>
          <w:p w14:paraId="0399502A">
            <w:pPr>
              <w:spacing w:line="360" w:lineRule="auto"/>
              <w:ind w:firstLine="0" w:firstLineChars="0"/>
              <w:jc w:val="center"/>
              <w:rPr>
                <w:rFonts w:hint="eastAsia" w:ascii="宋体" w:hAnsi="宋体" w:eastAsia="宋体" w:cs="宋体"/>
                <w:color w:val="auto"/>
                <w:sz w:val="24"/>
                <w:szCs w:val="24"/>
                <w:highlight w:val="none"/>
              </w:rPr>
            </w:pPr>
          </w:p>
        </w:tc>
        <w:tc>
          <w:tcPr>
            <w:tcW w:w="850" w:type="dxa"/>
            <w:vMerge w:val="continue"/>
            <w:tcBorders>
              <w:top w:val="single" w:color="auto" w:sz="4" w:space="0"/>
              <w:left w:val="single" w:color="auto" w:sz="4" w:space="0"/>
              <w:bottom w:val="single" w:color="auto" w:sz="18" w:space="0"/>
              <w:right w:val="single" w:color="auto" w:sz="4" w:space="0"/>
            </w:tcBorders>
            <w:vAlign w:val="center"/>
          </w:tcPr>
          <w:p w14:paraId="7FBA633E">
            <w:pPr>
              <w:spacing w:line="360" w:lineRule="auto"/>
              <w:ind w:firstLine="0" w:firstLineChars="0"/>
              <w:jc w:val="center"/>
              <w:rPr>
                <w:rFonts w:hint="eastAsia" w:ascii="宋体" w:hAnsi="宋体" w:eastAsia="宋体" w:cs="宋体"/>
                <w:color w:val="auto"/>
                <w:sz w:val="24"/>
                <w:szCs w:val="24"/>
                <w:highlight w:val="none"/>
              </w:rPr>
            </w:pPr>
          </w:p>
        </w:tc>
        <w:tc>
          <w:tcPr>
            <w:tcW w:w="1701" w:type="dxa"/>
            <w:tcBorders>
              <w:top w:val="single" w:color="auto" w:sz="4" w:space="0"/>
              <w:left w:val="single" w:color="auto" w:sz="4" w:space="0"/>
              <w:bottom w:val="single" w:color="auto" w:sz="18" w:space="0"/>
              <w:right w:val="single" w:color="auto" w:sz="4" w:space="0"/>
            </w:tcBorders>
            <w:vAlign w:val="center"/>
          </w:tcPr>
          <w:p w14:paraId="2B91F684">
            <w:pPr>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向有关主管部门上报处置情况</w:t>
            </w:r>
          </w:p>
        </w:tc>
        <w:tc>
          <w:tcPr>
            <w:tcW w:w="4820" w:type="dxa"/>
            <w:tcBorders>
              <w:top w:val="single" w:color="auto" w:sz="4" w:space="0"/>
              <w:left w:val="single" w:color="auto" w:sz="4" w:space="0"/>
              <w:bottom w:val="single" w:color="auto" w:sz="18" w:space="0"/>
              <w:right w:val="single" w:color="auto" w:sz="18" w:space="0"/>
            </w:tcBorders>
            <w:vAlign w:val="center"/>
          </w:tcPr>
          <w:p w14:paraId="45797D08">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c）事件处置完成后，应及时向信息系统主管部门及归属的密码管理部门报告事件发生情况及处置情况。</w:t>
            </w:r>
          </w:p>
        </w:tc>
      </w:tr>
    </w:tbl>
    <w:p w14:paraId="305433D7">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1.3交付成果</w:t>
      </w:r>
    </w:p>
    <w:p w14:paraId="0CBEFD13">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测评单位交付成果和报告包括但不限于：</w:t>
      </w:r>
    </w:p>
    <w:p w14:paraId="29218218">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kern w:val="28"/>
          <w:sz w:val="24"/>
          <w:szCs w:val="24"/>
          <w:highlight w:val="none"/>
        </w:rPr>
        <w:t>密码应用安全评估测评方案；</w:t>
      </w:r>
    </w:p>
    <w:p w14:paraId="7F1E3853">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kern w:val="28"/>
          <w:sz w:val="24"/>
          <w:szCs w:val="24"/>
          <w:highlight w:val="none"/>
        </w:rPr>
        <w:t>密码应用安全性评估报告；</w:t>
      </w:r>
    </w:p>
    <w:p w14:paraId="1ED34EF4">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kern w:val="28"/>
          <w:sz w:val="24"/>
          <w:szCs w:val="24"/>
          <w:highlight w:val="none"/>
        </w:rPr>
        <w:t>密码应用安全性评估</w:t>
      </w:r>
      <w:r>
        <w:rPr>
          <w:rFonts w:hint="eastAsia" w:ascii="宋体" w:hAnsi="宋体" w:eastAsia="宋体" w:cs="宋体"/>
          <w:color w:val="auto"/>
          <w:sz w:val="24"/>
          <w:szCs w:val="24"/>
          <w:highlight w:val="none"/>
        </w:rPr>
        <w:t>问题清单及</w:t>
      </w:r>
      <w:r>
        <w:rPr>
          <w:rFonts w:hint="eastAsia" w:ascii="宋体" w:hAnsi="宋体" w:eastAsia="宋体" w:cs="宋体"/>
          <w:color w:val="auto"/>
          <w:kern w:val="28"/>
          <w:sz w:val="24"/>
          <w:szCs w:val="24"/>
          <w:highlight w:val="none"/>
        </w:rPr>
        <w:t>整改建议；</w:t>
      </w:r>
    </w:p>
    <w:p w14:paraId="379E2AA0">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kern w:val="28"/>
          <w:sz w:val="24"/>
          <w:szCs w:val="24"/>
          <w:highlight w:val="none"/>
        </w:rPr>
        <w:t>整体性的汇总报告；</w:t>
      </w:r>
    </w:p>
    <w:p w14:paraId="6AB833AB">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kern w:val="28"/>
          <w:sz w:val="24"/>
          <w:szCs w:val="24"/>
          <w:highlight w:val="none"/>
        </w:rPr>
        <w:t>测评过程材料，包括调研表、技术测评记录、会议纪要等。</w:t>
      </w:r>
    </w:p>
    <w:p w14:paraId="73C70E44">
      <w:pPr>
        <w:pStyle w:val="6"/>
        <w:spacing w:line="360" w:lineRule="auto"/>
        <w:ind w:firstLine="64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1.4</w:t>
      </w:r>
      <w:r>
        <w:rPr>
          <w:rFonts w:hint="eastAsia" w:ascii="宋体" w:hAnsi="宋体" w:eastAsia="宋体" w:cs="宋体"/>
          <w:color w:val="auto"/>
          <w:sz w:val="24"/>
          <w:szCs w:val="24"/>
          <w:highlight w:val="none"/>
        </w:rPr>
        <w:t>交付成果要求</w:t>
      </w:r>
    </w:p>
    <w:p w14:paraId="503F8525">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按照</w:t>
      </w:r>
      <w:r>
        <w:rPr>
          <w:rFonts w:hint="eastAsia" w:ascii="宋体" w:hAnsi="宋体" w:eastAsia="宋体" w:cs="宋体"/>
          <w:color w:val="auto"/>
          <w:kern w:val="28"/>
          <w:sz w:val="24"/>
          <w:szCs w:val="24"/>
          <w:highlight w:val="none"/>
          <w:lang w:val="en-US" w:eastAsia="zh-CN"/>
        </w:rPr>
        <w:t>本</w:t>
      </w:r>
      <w:r>
        <w:rPr>
          <w:rFonts w:hint="eastAsia" w:ascii="宋体" w:hAnsi="宋体" w:eastAsia="宋体" w:cs="宋体"/>
          <w:color w:val="auto"/>
          <w:kern w:val="28"/>
          <w:sz w:val="24"/>
          <w:szCs w:val="24"/>
          <w:highlight w:val="none"/>
        </w:rPr>
        <w:t>项目建设内容开展商用密码应用安全性评估并分别交付相应的商用密码应用安全性评估报告（包括原件扫描电子件）,评估报告应至少符合下列4点要求：</w:t>
      </w:r>
    </w:p>
    <w:p w14:paraId="04681DC7">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1、标准化：项目验收最关键的指标，应确保评估过程符合最新的国家标准规范；</w:t>
      </w:r>
    </w:p>
    <w:p w14:paraId="0BD6B489">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2、系统稳定性：在评估过程中应确保软硬件环境的稳定性、运行正常；</w:t>
      </w:r>
    </w:p>
    <w:p w14:paraId="526D66C4">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3、系统文档：验收文档是否齐全、规范、准确、详细；</w:t>
      </w:r>
    </w:p>
    <w:p w14:paraId="5A67232E">
      <w:pPr>
        <w:tabs>
          <w:tab w:val="left" w:pos="312"/>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28"/>
          <w:sz w:val="24"/>
          <w:szCs w:val="24"/>
          <w:highlight w:val="none"/>
        </w:rPr>
        <w:t>4、系统可操作性：交付成果清晰、通俗易懂。</w:t>
      </w:r>
    </w:p>
    <w:p w14:paraId="43A68C80">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DOCVARIABLE  技术要求开始  \* MERGEFORMAT </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验收要求</w:t>
      </w:r>
    </w:p>
    <w:p w14:paraId="6E92CD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测评单位应根据整体工作计划和安排完成服务工作，交付商用密码应用安全性评估报告，协助建设单位向密码管理部门完成备案工作，确保本项目</w:t>
      </w:r>
      <w:r>
        <w:rPr>
          <w:rFonts w:hint="eastAsia" w:ascii="宋体" w:hAnsi="宋体" w:eastAsia="宋体" w:cs="宋体"/>
          <w:color w:val="auto"/>
          <w:sz w:val="24"/>
          <w:szCs w:val="24"/>
          <w:highlight w:val="none"/>
          <w:lang w:eastAsia="zh-CN"/>
        </w:rPr>
        <w:t>（主体建设）</w:t>
      </w:r>
      <w:r>
        <w:rPr>
          <w:rFonts w:hint="eastAsia" w:ascii="宋体" w:hAnsi="宋体" w:eastAsia="宋体" w:cs="宋体"/>
          <w:color w:val="auto"/>
          <w:sz w:val="24"/>
          <w:szCs w:val="24"/>
          <w:highlight w:val="none"/>
        </w:rPr>
        <w:t>通过</w:t>
      </w:r>
      <w:r>
        <w:rPr>
          <w:rFonts w:hint="eastAsia" w:ascii="宋体" w:hAnsi="宋体" w:eastAsia="宋体" w:cs="宋体"/>
          <w:color w:val="auto"/>
          <w:sz w:val="24"/>
          <w:szCs w:val="24"/>
          <w:highlight w:val="none"/>
          <w:lang w:eastAsia="zh-CN"/>
        </w:rPr>
        <w:t>组织的</w:t>
      </w:r>
      <w:r>
        <w:rPr>
          <w:rFonts w:hint="eastAsia" w:ascii="宋体" w:hAnsi="宋体" w:eastAsia="宋体" w:cs="宋体"/>
          <w:color w:val="auto"/>
          <w:sz w:val="24"/>
          <w:szCs w:val="24"/>
          <w:highlight w:val="none"/>
        </w:rPr>
        <w:t>竣工验收。</w:t>
      </w:r>
    </w:p>
    <w:p w14:paraId="4EF3AB14">
      <w:pPr>
        <w:pStyle w:val="4"/>
        <w:bidi w:val="0"/>
        <w:rPr>
          <w:rFonts w:hint="eastAsia"/>
          <w:color w:val="auto"/>
          <w:highlight w:val="none"/>
        </w:rPr>
      </w:pPr>
      <w:r>
        <w:rPr>
          <w:rFonts w:hint="eastAsia"/>
          <w:color w:val="auto"/>
          <w:highlight w:val="none"/>
        </w:rPr>
        <w:t>（2）商务要求</w:t>
      </w:r>
    </w:p>
    <w:p w14:paraId="02DDDCF1">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2.1采购标的所属行业</w:t>
      </w:r>
    </w:p>
    <w:p w14:paraId="5241CFB1">
      <w:pPr>
        <w:widowControl/>
        <w:tabs>
          <w:tab w:val="left" w:pos="128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本次采购标的所属行业为软件和信息技术服务业。</w:t>
      </w:r>
    </w:p>
    <w:p w14:paraId="6A7C5BDB">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2.2服务期限</w:t>
      </w:r>
    </w:p>
    <w:p w14:paraId="0515768D">
      <w:pPr>
        <w:widowControl/>
        <w:spacing w:line="360" w:lineRule="auto"/>
        <w:ind w:firstLine="496" w:firstLineChars="200"/>
        <w:rPr>
          <w:rFonts w:hint="eastAsia" w:ascii="宋体" w:hAnsi="宋体" w:eastAsia="宋体" w:cs="宋体"/>
          <w:color w:val="auto"/>
          <w:kern w:val="0"/>
          <w:sz w:val="24"/>
          <w:szCs w:val="24"/>
          <w:highlight w:val="none"/>
        </w:rPr>
      </w:pPr>
      <w:r>
        <w:rPr>
          <w:rFonts w:hint="eastAsia" w:ascii="宋体" w:hAnsi="宋体" w:eastAsia="宋体" w:cs="仿宋"/>
          <w:color w:val="auto"/>
          <w:spacing w:val="4"/>
          <w:sz w:val="24"/>
          <w:szCs w:val="24"/>
          <w:highlight w:val="none"/>
          <w:lang w:eastAsia="zh-CN"/>
        </w:rPr>
        <w:t>自合同签订之日起，采购人下达通知书后开始实施，</w:t>
      </w:r>
      <w:r>
        <w:rPr>
          <w:rFonts w:hint="eastAsia" w:ascii="宋体" w:hAnsi="宋体" w:eastAsia="宋体" w:cs="仿宋"/>
          <w:color w:val="auto"/>
          <w:spacing w:val="4"/>
          <w:sz w:val="24"/>
          <w:szCs w:val="24"/>
          <w:highlight w:val="none"/>
          <w:lang w:eastAsia="zh-CN"/>
        </w:rPr>
        <w:t>投标人</w:t>
      </w:r>
      <w:r>
        <w:rPr>
          <w:rFonts w:hint="eastAsia" w:ascii="宋体" w:hAnsi="宋体" w:eastAsia="宋体" w:cs="仿宋"/>
          <w:color w:val="auto"/>
          <w:spacing w:val="4"/>
          <w:sz w:val="24"/>
          <w:szCs w:val="24"/>
          <w:highlight w:val="none"/>
          <w:lang w:val="en-US" w:eastAsia="zh-CN"/>
        </w:rPr>
        <w:t>应当在</w:t>
      </w:r>
      <w:r>
        <w:rPr>
          <w:rFonts w:hint="eastAsia" w:ascii="宋体" w:hAnsi="宋体" w:eastAsia="宋体" w:cs="仿宋"/>
          <w:color w:val="auto"/>
          <w:spacing w:val="4"/>
          <w:sz w:val="24"/>
          <w:szCs w:val="24"/>
          <w:highlight w:val="none"/>
          <w:lang w:eastAsia="zh-CN"/>
        </w:rPr>
        <w:t>60天内完成商用密码安全性评估并交付服务成果</w:t>
      </w:r>
      <w:r>
        <w:rPr>
          <w:rFonts w:hint="eastAsia" w:ascii="宋体" w:hAnsi="宋体" w:eastAsia="宋体" w:cs="宋体"/>
          <w:color w:val="auto"/>
          <w:kern w:val="0"/>
          <w:sz w:val="24"/>
          <w:szCs w:val="24"/>
          <w:highlight w:val="none"/>
        </w:rPr>
        <w:t>。</w:t>
      </w:r>
    </w:p>
    <w:p w14:paraId="2932D960">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2.3实施地点</w:t>
      </w:r>
    </w:p>
    <w:p w14:paraId="51E3E372">
      <w:pPr>
        <w:widowControl/>
        <w:tabs>
          <w:tab w:val="left" w:pos="128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采购人指定地点（海南省内）。</w:t>
      </w:r>
    </w:p>
    <w:p w14:paraId="304133DC">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2.4支付方式（以实际签订合同为准）</w:t>
      </w:r>
    </w:p>
    <w:p w14:paraId="6985D7F6">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1.本合同签订后，采购人待省财政资金下达后，采购人凭</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开具的正式有效增值税普通发票在3个工作日内向</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支付合同金额的30%预付款。</w:t>
      </w:r>
    </w:p>
    <w:p w14:paraId="22298882">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2.本项目初验合格,待省财政资金下达后</w:t>
      </w:r>
      <w:r>
        <w:rPr>
          <w:rFonts w:hint="eastAsia" w:ascii="宋体" w:hAnsi="宋体" w:eastAsia="宋体" w:cs="仿宋"/>
          <w:color w:val="auto"/>
          <w:spacing w:val="6"/>
          <w:sz w:val="24"/>
          <w:szCs w:val="24"/>
          <w:highlight w:val="none"/>
          <w:lang w:eastAsia="zh-CN"/>
        </w:rPr>
        <w:t>,</w:t>
      </w:r>
      <w:r>
        <w:rPr>
          <w:rFonts w:hint="eastAsia" w:ascii="宋体" w:hAnsi="宋体" w:eastAsia="宋体" w:cs="仿宋"/>
          <w:color w:val="auto"/>
          <w:spacing w:val="6"/>
          <w:sz w:val="24"/>
          <w:szCs w:val="24"/>
          <w:highlight w:val="none"/>
          <w:lang w:val="en-US" w:eastAsia="zh-Hans"/>
        </w:rPr>
        <w:t>且</w:t>
      </w:r>
      <w:r>
        <w:rPr>
          <w:rFonts w:hint="eastAsia" w:ascii="宋体" w:hAnsi="宋体" w:eastAsia="宋体" w:cs="仿宋"/>
          <w:color w:val="auto"/>
          <w:spacing w:val="6"/>
          <w:sz w:val="24"/>
          <w:szCs w:val="24"/>
          <w:highlight w:val="none"/>
          <w:lang w:val="en-US" w:eastAsia="zh-CN"/>
        </w:rPr>
        <w:t>采购人</w:t>
      </w:r>
      <w:r>
        <w:rPr>
          <w:rFonts w:hint="eastAsia" w:ascii="宋体" w:hAnsi="宋体" w:eastAsia="宋体" w:cs="仿宋"/>
          <w:color w:val="auto"/>
          <w:spacing w:val="6"/>
          <w:sz w:val="24"/>
          <w:szCs w:val="24"/>
          <w:highlight w:val="none"/>
          <w:lang w:val="en-US" w:eastAsia="zh-Hans"/>
        </w:rPr>
        <w:t>确认</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仿宋"/>
          <w:color w:val="auto"/>
          <w:spacing w:val="6"/>
          <w:sz w:val="24"/>
          <w:szCs w:val="24"/>
          <w:highlight w:val="none"/>
          <w:lang w:val="en-US" w:eastAsia="zh-Hans"/>
        </w:rPr>
        <w:t>提供的</w:t>
      </w:r>
      <w:r>
        <w:rPr>
          <w:rFonts w:hint="eastAsia" w:ascii="宋体" w:hAnsi="宋体" w:eastAsia="宋体" w:cs="仿宋"/>
          <w:color w:val="auto"/>
          <w:spacing w:val="5"/>
          <w:sz w:val="24"/>
          <w:szCs w:val="24"/>
          <w:highlight w:val="none"/>
          <w:u w:val="single"/>
          <w:lang w:eastAsia="zh-CN"/>
        </w:rPr>
        <w:t>商用密码应用安全性评估</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宋体"/>
          <w:color w:val="auto"/>
          <w:kern w:val="0"/>
          <w:sz w:val="24"/>
          <w:szCs w:val="24"/>
          <w:highlight w:val="none"/>
        </w:rPr>
        <w:t>采购人在收到</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开具的增值税普通发票之日起3个工作日内,向</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支付合同总金额的40% 。</w:t>
      </w:r>
    </w:p>
    <w:p w14:paraId="34EC3584">
      <w:pPr>
        <w:tabs>
          <w:tab w:val="left" w:pos="128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3.本项目通过整体竣工验收,</w:t>
      </w:r>
      <w:r>
        <w:rPr>
          <w:rFonts w:hint="eastAsia" w:ascii="宋体" w:hAnsi="宋体" w:eastAsia="宋体" w:cs="仿宋"/>
          <w:color w:val="auto"/>
          <w:spacing w:val="6"/>
          <w:sz w:val="24"/>
          <w:szCs w:val="24"/>
          <w:highlight w:val="none"/>
          <w:lang w:val="en-US" w:eastAsia="zh-Hans"/>
        </w:rPr>
        <w:t>且</w:t>
      </w:r>
      <w:r>
        <w:rPr>
          <w:rFonts w:hint="eastAsia" w:ascii="宋体" w:hAnsi="宋体" w:eastAsia="宋体" w:cs="仿宋"/>
          <w:color w:val="auto"/>
          <w:spacing w:val="6"/>
          <w:sz w:val="24"/>
          <w:szCs w:val="24"/>
          <w:highlight w:val="none"/>
          <w:lang w:val="en-US" w:eastAsia="zh-CN"/>
        </w:rPr>
        <w:t>采购人</w:t>
      </w:r>
      <w:r>
        <w:rPr>
          <w:rFonts w:hint="eastAsia" w:ascii="宋体" w:hAnsi="宋体" w:eastAsia="宋体" w:cs="仿宋"/>
          <w:color w:val="auto"/>
          <w:spacing w:val="6"/>
          <w:sz w:val="24"/>
          <w:szCs w:val="24"/>
          <w:highlight w:val="none"/>
          <w:lang w:val="en-US" w:eastAsia="zh-Hans"/>
        </w:rPr>
        <w:t>确认</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仿宋"/>
          <w:color w:val="auto"/>
          <w:spacing w:val="6"/>
          <w:sz w:val="24"/>
          <w:szCs w:val="24"/>
          <w:highlight w:val="none"/>
          <w:lang w:val="en-US" w:eastAsia="zh-Hans"/>
        </w:rPr>
        <w:t>提供的</w:t>
      </w:r>
      <w:r>
        <w:rPr>
          <w:rFonts w:hint="eastAsia" w:ascii="宋体" w:hAnsi="宋体" w:eastAsia="宋体" w:cs="仿宋"/>
          <w:color w:val="auto"/>
          <w:spacing w:val="5"/>
          <w:sz w:val="24"/>
          <w:szCs w:val="24"/>
          <w:highlight w:val="none"/>
          <w:u w:val="single"/>
          <w:lang w:eastAsia="zh-CN"/>
        </w:rPr>
        <w:t>商用密码应用安全性评估</w:t>
      </w:r>
      <w:r>
        <w:rPr>
          <w:rFonts w:hint="eastAsia" w:ascii="宋体" w:hAnsi="宋体" w:eastAsia="宋体" w:cs="仿宋"/>
          <w:color w:val="auto"/>
          <w:spacing w:val="5"/>
          <w:sz w:val="24"/>
          <w:szCs w:val="24"/>
          <w:highlight w:val="none"/>
          <w:u w:val="single"/>
          <w:lang w:val="en-US" w:eastAsia="zh-Hans"/>
        </w:rPr>
        <w:t>及服务成果符合要求</w:t>
      </w:r>
      <w:r>
        <w:rPr>
          <w:rFonts w:hint="default" w:ascii="宋体" w:hAnsi="宋体" w:eastAsia="宋体" w:cs="仿宋"/>
          <w:color w:val="auto"/>
          <w:spacing w:val="5"/>
          <w:sz w:val="24"/>
          <w:szCs w:val="24"/>
          <w:highlight w:val="none"/>
          <w:u w:val="single"/>
          <w:lang w:eastAsia="zh-Hans"/>
        </w:rPr>
        <w:t>，</w:t>
      </w:r>
      <w:r>
        <w:rPr>
          <w:rFonts w:hint="eastAsia" w:ascii="宋体" w:hAnsi="宋体" w:eastAsia="宋体" w:cs="宋体"/>
          <w:color w:val="auto"/>
          <w:kern w:val="0"/>
          <w:sz w:val="24"/>
          <w:szCs w:val="24"/>
          <w:highlight w:val="none"/>
        </w:rPr>
        <w:t>待省财政资金下达后，采购人在收到</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开具的增值税普通发票之日起3个工作日内,向</w:t>
      </w:r>
      <w:r>
        <w:rPr>
          <w:rFonts w:hint="eastAsia" w:ascii="宋体" w:hAnsi="宋体" w:eastAsia="宋体" w:cs="宋体"/>
          <w:color w:val="auto"/>
          <w:kern w:val="0"/>
          <w:sz w:val="24"/>
          <w:szCs w:val="24"/>
          <w:highlight w:val="none"/>
          <w:lang w:eastAsia="zh-CN"/>
        </w:rPr>
        <w:t>测评单位</w:t>
      </w:r>
      <w:r>
        <w:rPr>
          <w:rFonts w:hint="eastAsia" w:ascii="宋体" w:hAnsi="宋体" w:eastAsia="宋体" w:cs="宋体"/>
          <w:color w:val="auto"/>
          <w:kern w:val="0"/>
          <w:sz w:val="24"/>
          <w:szCs w:val="24"/>
          <w:highlight w:val="none"/>
        </w:rPr>
        <w:t>支付合同总金额的30%。</w:t>
      </w:r>
    </w:p>
    <w:p w14:paraId="5249C9F5">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注：测评单位每次申请付款应提供付款申请书、符合采购人要求的等额发票及采购人报账所必须的相关材料。测评单位申请付款时，如测评单位提供的材料不完整、不真实，采购人有权暂缓付款而不视为违约。</w:t>
      </w:r>
    </w:p>
    <w:p w14:paraId="63F93B4B">
      <w:pPr>
        <w:pStyle w:val="6"/>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2.5其它相关要求</w:t>
      </w:r>
    </w:p>
    <w:p w14:paraId="44FA9A70">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2.5.1项目组人员要求</w:t>
      </w:r>
    </w:p>
    <w:p w14:paraId="462C5652">
      <w:pPr>
        <w:pStyle w:val="21"/>
        <w:spacing w:line="360" w:lineRule="auto"/>
        <w:ind w:firstLine="640"/>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kern w:val="28"/>
          <w:sz w:val="24"/>
          <w:szCs w:val="24"/>
          <w:highlight w:val="none"/>
        </w:rPr>
        <w:t>测评单位须根据项目特点和实际情况，提出项目团队配置方案，包括团队成员、组织架构和分组分工等，满足项目实施建设的需要。</w:t>
      </w:r>
    </w:p>
    <w:p w14:paraId="4B818AC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color="FF0000"/>
        </w:rPr>
        <w:t>项目团队成员应不少于1名项目经理、</w:t>
      </w:r>
      <w:r>
        <w:rPr>
          <w:rFonts w:hint="eastAsia" w:ascii="宋体" w:hAnsi="宋体" w:eastAsia="宋体" w:cs="宋体"/>
          <w:color w:val="auto"/>
          <w:sz w:val="24"/>
          <w:szCs w:val="24"/>
          <w:highlight w:val="none"/>
          <w:u w:val="single" w:color="FF0000"/>
          <w:lang w:val="en-US" w:eastAsia="zh-CN"/>
        </w:rPr>
        <w:t>4</w:t>
      </w:r>
      <w:r>
        <w:rPr>
          <w:rFonts w:hint="eastAsia" w:ascii="宋体" w:hAnsi="宋体" w:eastAsia="宋体" w:cs="宋体"/>
          <w:color w:val="auto"/>
          <w:sz w:val="24"/>
          <w:szCs w:val="24"/>
          <w:highlight w:val="none"/>
          <w:u w:val="single" w:color="FF0000"/>
        </w:rPr>
        <w:t>名项目团队人员，所有人员必须属于测试单位在册员工</w:t>
      </w:r>
      <w:r>
        <w:rPr>
          <w:rFonts w:hint="eastAsia" w:ascii="宋体" w:hAnsi="宋体" w:eastAsia="宋体" w:cs="宋体"/>
          <w:b/>
          <w:bCs/>
          <w:color w:val="auto"/>
          <w:sz w:val="24"/>
          <w:szCs w:val="24"/>
          <w:highlight w:val="none"/>
          <w:u w:val="single" w:color="FF0000"/>
        </w:rPr>
        <w:t>（提供社保缴纳证明为认定依据或出具承诺函）</w:t>
      </w:r>
      <w:r>
        <w:rPr>
          <w:rFonts w:hint="eastAsia" w:ascii="宋体" w:hAnsi="宋体" w:eastAsia="宋体" w:cs="宋体"/>
          <w:color w:val="auto"/>
          <w:sz w:val="24"/>
          <w:szCs w:val="24"/>
          <w:highlight w:val="none"/>
          <w:u w:val="single" w:color="FF0000"/>
        </w:rPr>
        <w:t>，并提供相应人员相关简历信息</w:t>
      </w:r>
      <w:r>
        <w:rPr>
          <w:rFonts w:hint="eastAsia" w:ascii="宋体" w:hAnsi="宋体" w:eastAsia="宋体" w:cs="宋体"/>
          <w:b/>
          <w:bCs/>
          <w:color w:val="auto"/>
          <w:sz w:val="24"/>
          <w:szCs w:val="24"/>
          <w:highlight w:val="none"/>
          <w:u w:val="single" w:color="FF0000"/>
        </w:rPr>
        <w:t>（包含所学专业、学历等证明材料），相关证明须加盖投标人公章</w:t>
      </w: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rPr>
        <w:t>合同签订后根据采购人实际需要派驻相关资历人员驻场开展服务。</w:t>
      </w:r>
    </w:p>
    <w:p w14:paraId="0296B8E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kern w:val="28"/>
          <w:sz w:val="24"/>
          <w:szCs w:val="24"/>
          <w:highlight w:val="none"/>
        </w:rPr>
        <w:t>合同签订后根据采购人实际需要派驻相关资历人员驻场开展服务直至项目验收，驻场地点由采购人指定。</w:t>
      </w:r>
      <w:r>
        <w:rPr>
          <w:rFonts w:hint="eastAsia" w:ascii="宋体" w:hAnsi="宋体" w:eastAsia="宋体" w:cs="宋体"/>
          <w:color w:val="auto"/>
          <w:sz w:val="24"/>
          <w:szCs w:val="24"/>
          <w:highlight w:val="none"/>
        </w:rPr>
        <w:t>如实际提供的项目团队与投标提供的团队名单材料不符，将视为虚假应标。若采购人认为项目经理或团队成员能力与工作所要求的能力不相称而提出更换时，测评单位必须予以更换，人员更换不得影响测评成果交付时间；测评单位单方面更换项目经理或团队成员必须经采购单位书面同意，否则按违约处理直至合同终止。</w:t>
      </w:r>
    </w:p>
    <w:p w14:paraId="3C00A27C">
      <w:pPr>
        <w:tabs>
          <w:tab w:val="left" w:pos="312"/>
        </w:tabs>
        <w:snapToGrid w:val="0"/>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kern w:val="28"/>
          <w:sz w:val="24"/>
          <w:szCs w:val="24"/>
          <w:highlight w:val="none"/>
        </w:rPr>
        <w:t>项目团队实施中提供7×8小时咨询服务。项目验收后提供1年的跟踪咨询服务，自项目验收通过之日起计算。在实施单位提出服务请求时，项目团队应在30分钟内响应，在24个小时内提供解决方案。</w:t>
      </w:r>
    </w:p>
    <w:p w14:paraId="2FEA8C47">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2.5.2工作要求</w:t>
      </w:r>
    </w:p>
    <w:p w14:paraId="5A9750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1、提供详细的项目实施方案和计划进度说明书；</w:t>
      </w:r>
    </w:p>
    <w:p w14:paraId="1C76D9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2、项目实施完成后提供可靠的后期技术服务工作；</w:t>
      </w:r>
    </w:p>
    <w:p w14:paraId="10087A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3、严格按照双方确定的计划进度保质保量完成工作；</w:t>
      </w:r>
    </w:p>
    <w:p w14:paraId="123C26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4、规范项目实施过程中的文档管理；</w:t>
      </w:r>
    </w:p>
    <w:p w14:paraId="6E342E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5、提供必要的增值服务：配合省信息化主管部门开展本项目电子政务工程项目绩效评价考核、跟踪监督及项目档案事后监督等工作。</w:t>
      </w:r>
    </w:p>
    <w:p w14:paraId="3F9CFB63">
      <w:pPr>
        <w:pStyle w:val="9"/>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6、在本项目竣工验收阶段，对信息化主管部门及专家提出的涉及本项目软件系统整改意见的，评估单位应积极配合就整改后的应用系统进行再次评估，并出具最终评估报告，确保项目质量。</w:t>
      </w:r>
    </w:p>
    <w:p w14:paraId="403A5899">
      <w:pPr>
        <w:pStyle w:val="7"/>
        <w:spacing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2.5.3安全保密要求</w:t>
      </w:r>
    </w:p>
    <w:p w14:paraId="575A92B5">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要求测评单位制定服务</w:t>
      </w:r>
      <w:r>
        <w:rPr>
          <w:rFonts w:hint="eastAsia" w:ascii="宋体" w:hAnsi="宋体" w:eastAsia="宋体" w:cs="宋体"/>
          <w:color w:val="auto"/>
          <w:kern w:val="0"/>
          <w:sz w:val="24"/>
          <w:szCs w:val="24"/>
          <w:highlight w:val="none"/>
        </w:rPr>
        <w:t>密码应用安全性评估</w:t>
      </w:r>
      <w:r>
        <w:rPr>
          <w:rFonts w:hint="eastAsia" w:ascii="宋体" w:hAnsi="宋体" w:eastAsia="宋体" w:cs="宋体"/>
          <w:color w:val="auto"/>
          <w:kern w:val="28"/>
          <w:sz w:val="24"/>
          <w:szCs w:val="24"/>
          <w:highlight w:val="none"/>
        </w:rPr>
        <w:t>制度，确定项目保密责任人，同时要求测评单位：</w:t>
      </w:r>
    </w:p>
    <w:p w14:paraId="080179E4">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kern w:val="28"/>
          <w:sz w:val="24"/>
          <w:szCs w:val="24"/>
          <w:highlight w:val="none"/>
        </w:rPr>
        <w:t>按照国家和海南省有关保密规定，与测评单位签订保密协议，参与测评或评估的工作人员签订保密承诺函；</w:t>
      </w:r>
    </w:p>
    <w:p w14:paraId="5846740A">
      <w:pPr>
        <w:tabs>
          <w:tab w:val="left" w:pos="312"/>
        </w:tabs>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kern w:val="28"/>
          <w:sz w:val="24"/>
          <w:szCs w:val="24"/>
          <w:highlight w:val="none"/>
        </w:rPr>
        <w:t>严格履行保密职责，按照保密规定开展测评工作。</w:t>
      </w:r>
    </w:p>
    <w:p w14:paraId="5D8ED074">
      <w:pPr>
        <w:pStyle w:val="7"/>
        <w:snapToGrid w:val="0"/>
        <w:spacing w:before="0" w:after="0" w:line="360" w:lineRule="auto"/>
        <w:ind w:firstLine="64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2.5.4服务要求</w:t>
      </w:r>
    </w:p>
    <w:p w14:paraId="47E0AE1C">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评单位需根据测评结果，应针对性的提出整改建议方案。整改建议方案应具有可操作性，符合采购单位实际情况，且能够切实解决问题。对于现状测评过程中发现的问题，测评机构应先出具问题汇总报告，并出具成果文件。</w:t>
      </w:r>
    </w:p>
    <w:p w14:paraId="738A5519">
      <w:pPr>
        <w:pStyle w:val="21"/>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整改建议方案应明确设计依据、整改内容、整改建议、基于系统现状指导进行系统整改。在整改实施过程中，测评机构应全力支持，负责技术把关、整改验收以及其他咨询工作。</w:t>
      </w:r>
    </w:p>
    <w:sectPr>
      <w:footerReference r:id="rId5" w:type="default"/>
      <w:pgSz w:w="11906" w:h="16839"/>
      <w:pgMar w:top="1201" w:right="1409" w:bottom="485" w:left="1425" w:header="0" w:footer="17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FBFBE">
    <w:pPr>
      <w:pStyle w:val="12"/>
      <w:spacing w:line="231" w:lineRule="auto"/>
      <w:ind w:left="4353"/>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88DBF3">
                          <w:pPr>
                            <w:pStyle w:val="1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D88DBF3">
                    <w:pPr>
                      <w:pStyle w:val="1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DFC216"/>
    <w:multiLevelType w:val="singleLevel"/>
    <w:tmpl w:val="20DFC21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458A1"/>
    <w:rsid w:val="04912ACD"/>
    <w:rsid w:val="04EE6E1E"/>
    <w:rsid w:val="06ED1E86"/>
    <w:rsid w:val="07632899"/>
    <w:rsid w:val="078D3A1F"/>
    <w:rsid w:val="08DD16AC"/>
    <w:rsid w:val="0DF75186"/>
    <w:rsid w:val="0E063231"/>
    <w:rsid w:val="0EDD0575"/>
    <w:rsid w:val="143567BC"/>
    <w:rsid w:val="16702E8A"/>
    <w:rsid w:val="21B77BBF"/>
    <w:rsid w:val="245D5BE0"/>
    <w:rsid w:val="250F3174"/>
    <w:rsid w:val="25BB5D16"/>
    <w:rsid w:val="28C96CBE"/>
    <w:rsid w:val="291470F2"/>
    <w:rsid w:val="2A731ED7"/>
    <w:rsid w:val="318D450C"/>
    <w:rsid w:val="31E64E80"/>
    <w:rsid w:val="34015BA1"/>
    <w:rsid w:val="36BA5D97"/>
    <w:rsid w:val="38672104"/>
    <w:rsid w:val="39CB6F1D"/>
    <w:rsid w:val="3B247EB6"/>
    <w:rsid w:val="3BF53097"/>
    <w:rsid w:val="3DF96700"/>
    <w:rsid w:val="3F991855"/>
    <w:rsid w:val="40E078CE"/>
    <w:rsid w:val="42E24CD9"/>
    <w:rsid w:val="43B5318B"/>
    <w:rsid w:val="4703221F"/>
    <w:rsid w:val="529A0F65"/>
    <w:rsid w:val="58EF39E7"/>
    <w:rsid w:val="59734829"/>
    <w:rsid w:val="5FEC48FC"/>
    <w:rsid w:val="61380ADF"/>
    <w:rsid w:val="6142054C"/>
    <w:rsid w:val="61DD42C8"/>
    <w:rsid w:val="644A5C5D"/>
    <w:rsid w:val="648C2963"/>
    <w:rsid w:val="663D3A35"/>
    <w:rsid w:val="695D4726"/>
    <w:rsid w:val="6A7E0847"/>
    <w:rsid w:val="6B021335"/>
    <w:rsid w:val="6FEF3C63"/>
    <w:rsid w:val="70FB6E98"/>
    <w:rsid w:val="7C266648"/>
    <w:rsid w:val="7D3D2A65"/>
    <w:rsid w:val="7DFF1847"/>
    <w:rsid w:val="7E492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iPriority="99"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qFormat/>
    <w:uiPriority w:val="0"/>
    <w:pPr>
      <w:keepNext/>
      <w:keepLines/>
      <w:ind w:left="200" w:leftChars="200"/>
      <w:outlineLvl w:val="3"/>
    </w:pPr>
    <w:rPr>
      <w:rFonts w:ascii="Arial" w:hAnsi="Arial"/>
      <w:bCs/>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Cambria" w:hAnsi="Cambria"/>
      <w:b/>
      <w:bCs/>
    </w:rPr>
  </w:style>
  <w:style w:type="paragraph" w:styleId="8">
    <w:name w:val="heading 7"/>
    <w:basedOn w:val="1"/>
    <w:next w:val="1"/>
    <w:unhideWhenUsed/>
    <w:qFormat/>
    <w:uiPriority w:val="0"/>
    <w:pPr>
      <w:keepNext/>
      <w:keepLines/>
      <w:spacing w:before="240" w:after="64" w:line="320" w:lineRule="atLeast"/>
      <w:outlineLvl w:val="6"/>
    </w:pPr>
    <w:rPr>
      <w:b/>
      <w:bCs/>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9">
    <w:name w:val="Normal Indent"/>
    <w:basedOn w:val="1"/>
    <w:next w:val="10"/>
    <w:qFormat/>
    <w:uiPriority w:val="99"/>
    <w:pPr>
      <w:spacing w:before="60"/>
      <w:ind w:firstLine="689"/>
      <w:jc w:val="center"/>
    </w:pPr>
    <w:rPr>
      <w:sz w:val="21"/>
    </w:rPr>
  </w:style>
  <w:style w:type="paragraph" w:styleId="10">
    <w:name w:val="caption"/>
    <w:basedOn w:val="1"/>
    <w:next w:val="1"/>
    <w:qFormat/>
    <w:uiPriority w:val="0"/>
    <w:rPr>
      <w:rFonts w:ascii="Arial" w:hAnsi="Arial" w:eastAsia="黑体"/>
      <w:sz w:val="20"/>
    </w:rPr>
  </w:style>
  <w:style w:type="paragraph" w:styleId="11">
    <w:name w:val="annotation text"/>
    <w:basedOn w:val="1"/>
    <w:qFormat/>
    <w:uiPriority w:val="0"/>
    <w:pPr>
      <w:jc w:val="left"/>
    </w:pPr>
  </w:style>
  <w:style w:type="paragraph" w:styleId="12">
    <w:name w:val="Body Text"/>
    <w:basedOn w:val="1"/>
    <w:semiHidden/>
    <w:qFormat/>
    <w:uiPriority w:val="0"/>
    <w:rPr>
      <w:rFonts w:ascii="宋体" w:hAnsi="宋体" w:eastAsia="宋体" w:cs="宋体"/>
      <w:sz w:val="24"/>
      <w:szCs w:val="24"/>
      <w:lang w:val="en-US" w:eastAsia="en-US" w:bidi="ar-SA"/>
    </w:rPr>
  </w:style>
  <w:style w:type="paragraph" w:styleId="13">
    <w:name w:val="footer"/>
    <w:basedOn w:val="1"/>
    <w:qFormat/>
    <w:uiPriority w:val="0"/>
    <w:pPr>
      <w:tabs>
        <w:tab w:val="center" w:pos="4153"/>
        <w:tab w:val="right" w:pos="8306"/>
      </w:tabs>
      <w:snapToGrid w:val="0"/>
      <w:jc w:val="left"/>
    </w:pPr>
    <w:rPr>
      <w:sz w:val="18"/>
    </w:rPr>
  </w:style>
  <w:style w:type="paragraph" w:styleId="14">
    <w:name w:val="footnote text"/>
    <w:basedOn w:val="1"/>
    <w:unhideWhenUsed/>
    <w:qFormat/>
    <w:uiPriority w:val="99"/>
    <w:rPr>
      <w:sz w:val="18"/>
      <w:szCs w:val="18"/>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semiHidden/>
    <w:unhideWhenUsed/>
    <w:qFormat/>
    <w:uiPriority w:val="0"/>
    <w:tblPr>
      <w:tblCellMar>
        <w:top w:w="0" w:type="dxa"/>
        <w:left w:w="0" w:type="dxa"/>
        <w:bottom w:w="0" w:type="dxa"/>
        <w:right w:w="0" w:type="dxa"/>
      </w:tblCellMar>
    </w:tblPr>
  </w:style>
  <w:style w:type="paragraph" w:customStyle="1" w:styleId="19">
    <w:name w:val="Table Text"/>
    <w:basedOn w:val="1"/>
    <w:semiHidden/>
    <w:qFormat/>
    <w:uiPriority w:val="0"/>
    <w:rPr>
      <w:rFonts w:ascii="宋体" w:hAnsi="宋体" w:eastAsia="宋体" w:cs="宋体"/>
      <w:sz w:val="24"/>
      <w:szCs w:val="24"/>
      <w:lang w:val="en-US" w:eastAsia="en-US" w:bidi="ar-SA"/>
    </w:rPr>
  </w:style>
  <w:style w:type="paragraph" w:customStyle="1" w:styleId="20">
    <w:name w:val="d正文"/>
    <w:basedOn w:val="1"/>
    <w:qFormat/>
    <w:uiPriority w:val="0"/>
    <w:pPr>
      <w:adjustRightInd w:val="0"/>
      <w:snapToGrid w:val="0"/>
      <w:spacing w:after="120" w:line="360" w:lineRule="auto"/>
      <w:ind w:firstLine="560" w:firstLineChars="200"/>
    </w:pPr>
    <w:rPr>
      <w:rFonts w:hAnsi="仿宋_GB2312"/>
      <w:bCs/>
      <w:sz w:val="28"/>
      <w:lang w:val="zh-CN"/>
    </w:rPr>
  </w:style>
  <w:style w:type="paragraph" w:styleId="21">
    <w:name w:val="List Paragraph"/>
    <w:basedOn w:val="1"/>
    <w:qFormat/>
    <w:uiPriority w:val="34"/>
    <w:pPr>
      <w:ind w:firstLine="420"/>
    </w:pPr>
    <w:rPr>
      <w:rFonts w:ascii="Calibri" w:hAnsi="Calibri"/>
      <w:szCs w:val="22"/>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4503</Words>
  <Characters>4604</Characters>
  <Lines>0</Lines>
  <Paragraphs>0</Paragraphs>
  <TotalTime>0</TotalTime>
  <ScaleCrop>false</ScaleCrop>
  <LinksUpToDate>false</LinksUpToDate>
  <CharactersWithSpaces>4637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2025-07-16T09:32:00Z</dcterms:created>
  <dc:creator>DELL</dc:creator>
  <cp:lastModifiedBy>一二</cp:lastModifiedBy>
  <dcterms:modified xsi:type="dcterms:W3CDTF">2025-08-26T10:54:25Z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eyJoZGlkIjoiMTJkMjEwYjJmYjE0MmEzOTcyYTljMWYwNDFiNTg4NGMiLCJ1c2VySWQiOiIxNjA4MjM2MDMzIn0=</vt:lpwstr>
  </property>
  <property fmtid="{D5CDD505-2E9C-101B-9397-08002B2CF9AE}" pid="4" name="ICV">
    <vt:lpwstr>44E7BD3327F44657AF4897DA979EDA29_12</vt:lpwstr>
  </property>
</Properties>
</file>