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819B84A">
      <w:pPr>
        <w:pStyle w:val="12"/>
        <w:spacing w:before="113" w:line="360" w:lineRule="auto"/>
        <w:ind w:left="2597"/>
        <w:outlineLvl w:val="1"/>
        <w:rPr>
          <w:rFonts w:hint="eastAsia" w:ascii="宋体" w:hAnsi="宋体" w:eastAsia="宋体" w:cs="宋体"/>
          <w:color w:val="auto"/>
          <w:sz w:val="48"/>
          <w:szCs w:val="48"/>
          <w:highlight w:val="none"/>
        </w:rPr>
      </w:pPr>
      <w:r>
        <w:rPr>
          <w:rFonts w:hint="eastAsia" w:ascii="宋体" w:hAnsi="宋体" w:eastAsia="宋体" w:cs="宋体"/>
          <w:b/>
          <w:bCs/>
          <w:color w:val="auto"/>
          <w:spacing w:val="4"/>
          <w:sz w:val="48"/>
          <w:szCs w:val="48"/>
          <w:highlight w:val="none"/>
        </w:rPr>
        <w:t>包</w:t>
      </w:r>
      <w:r>
        <w:rPr>
          <w:rFonts w:hint="eastAsia" w:cs="宋体"/>
          <w:b/>
          <w:bCs/>
          <w:color w:val="auto"/>
          <w:spacing w:val="4"/>
          <w:sz w:val="48"/>
          <w:szCs w:val="48"/>
          <w:highlight w:val="none"/>
          <w:lang w:val="en-US" w:eastAsia="zh-CN"/>
        </w:rPr>
        <w:t>11</w:t>
      </w:r>
      <w:r>
        <w:rPr>
          <w:rFonts w:hint="eastAsia" w:ascii="宋体" w:hAnsi="宋体" w:eastAsia="宋体" w:cs="宋体"/>
          <w:b/>
          <w:bCs/>
          <w:color w:val="auto"/>
          <w:spacing w:val="4"/>
          <w:sz w:val="48"/>
          <w:szCs w:val="48"/>
          <w:highlight w:val="none"/>
        </w:rPr>
        <w:t>采购需求</w:t>
      </w:r>
    </w:p>
    <w:p w14:paraId="3AEC7F0F">
      <w:pPr>
        <w:pStyle w:val="3"/>
        <w:bidi w:val="0"/>
        <w:spacing w:line="360" w:lineRule="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rPr>
        <w:t>（一）项目概况</w:t>
      </w:r>
      <w:r>
        <w:rPr>
          <w:rFonts w:hint="eastAsia" w:ascii="宋体" w:hAnsi="宋体" w:eastAsia="宋体" w:cs="宋体"/>
          <w:color w:val="auto"/>
          <w:sz w:val="32"/>
          <w:szCs w:val="32"/>
          <w:highlight w:val="none"/>
          <w:lang w:val="en-US" w:eastAsia="zh-CN"/>
        </w:rPr>
        <w:t xml:space="preserve"> </w:t>
      </w:r>
      <w:bookmarkStart w:id="10" w:name="_GoBack"/>
      <w:bookmarkEnd w:id="10"/>
    </w:p>
    <w:p w14:paraId="3F38122B">
      <w:pPr>
        <w:pStyle w:val="21"/>
        <w:numPr>
          <w:ilvl w:val="-1"/>
          <w:numId w:val="0"/>
        </w:numPr>
        <w:spacing w:line="360" w:lineRule="auto"/>
        <w:ind w:firstLine="480" w:firstLineChars="200"/>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对</w:t>
      </w:r>
      <w:r>
        <w:rPr>
          <w:rFonts w:hint="eastAsia" w:ascii="宋体" w:hAnsi="宋体" w:eastAsia="宋体" w:cs="宋体"/>
          <w:b w:val="0"/>
          <w:bCs w:val="0"/>
          <w:color w:val="auto"/>
          <w:sz w:val="24"/>
          <w:szCs w:val="24"/>
          <w:highlight w:val="none"/>
          <w:lang w:eastAsia="zh-CN"/>
        </w:rPr>
        <w:t>“海南智慧健康岛建设工程项目”</w:t>
      </w:r>
      <w:r>
        <w:rPr>
          <w:rFonts w:hint="eastAsia" w:ascii="宋体" w:hAnsi="宋体" w:eastAsia="宋体" w:cs="宋体"/>
          <w:b w:val="0"/>
          <w:bCs w:val="0"/>
          <w:color w:val="auto"/>
          <w:sz w:val="24"/>
          <w:szCs w:val="24"/>
          <w:highlight w:val="none"/>
          <w:lang w:val="en-US" w:eastAsia="zh-CN"/>
        </w:rPr>
        <w:t>包1至包6的相关软件系统</w:t>
      </w:r>
      <w:r>
        <w:rPr>
          <w:rFonts w:hint="eastAsia" w:ascii="宋体" w:hAnsi="宋体" w:eastAsia="宋体" w:cs="宋体"/>
          <w:b w:val="0"/>
          <w:bCs w:val="0"/>
          <w:color w:val="auto"/>
          <w:sz w:val="24"/>
          <w:szCs w:val="24"/>
          <w:highlight w:val="none"/>
        </w:rPr>
        <w:t>进行</w:t>
      </w:r>
      <w:r>
        <w:rPr>
          <w:rFonts w:hint="eastAsia" w:ascii="宋体" w:hAnsi="宋体" w:eastAsia="宋体" w:cs="宋体"/>
          <w:b w:val="0"/>
          <w:bCs w:val="0"/>
          <w:color w:val="auto"/>
          <w:sz w:val="24"/>
          <w:szCs w:val="24"/>
          <w:highlight w:val="none"/>
          <w:lang w:val="en-US" w:eastAsia="zh-CN"/>
        </w:rPr>
        <w:t>网络安全服务</w:t>
      </w:r>
      <w:r>
        <w:rPr>
          <w:rFonts w:hint="eastAsia" w:ascii="宋体" w:hAnsi="宋体" w:eastAsia="宋体" w:cs="宋体"/>
          <w:b w:val="0"/>
          <w:bCs w:val="0"/>
          <w:color w:val="auto"/>
          <w:sz w:val="24"/>
          <w:szCs w:val="24"/>
          <w:highlight w:val="none"/>
        </w:rPr>
        <w:t>，确保信息系统能抵御漏洞和攻击，保障其安全稳定运行。</w:t>
      </w:r>
    </w:p>
    <w:p w14:paraId="22442579">
      <w:pPr>
        <w:pStyle w:val="3"/>
        <w:bidi w:val="0"/>
        <w:spacing w:line="360" w:lineRule="auto"/>
        <w:rPr>
          <w:rFonts w:hint="eastAsia" w:ascii="宋体" w:hAnsi="宋体" w:eastAsia="宋体" w:cs="宋体"/>
          <w:b/>
          <w:bCs/>
          <w:color w:val="auto"/>
          <w:spacing w:val="-5"/>
          <w:sz w:val="32"/>
          <w:szCs w:val="32"/>
          <w:highlight w:val="none"/>
        </w:rPr>
      </w:pPr>
      <w:r>
        <w:rPr>
          <w:rFonts w:hint="eastAsia" w:ascii="宋体" w:hAnsi="宋体" w:eastAsia="宋体" w:cs="宋体"/>
          <w:b/>
          <w:bCs/>
          <w:color w:val="auto"/>
          <w:spacing w:val="-5"/>
          <w:sz w:val="32"/>
          <w:szCs w:val="32"/>
          <w:highlight w:val="none"/>
          <w:lang w:eastAsia="zh-CN"/>
        </w:rPr>
        <w:t>（</w:t>
      </w:r>
      <w:r>
        <w:rPr>
          <w:rFonts w:hint="eastAsia" w:ascii="宋体" w:hAnsi="宋体" w:eastAsia="宋体" w:cs="宋体"/>
          <w:b/>
          <w:bCs/>
          <w:color w:val="auto"/>
          <w:spacing w:val="-5"/>
          <w:sz w:val="32"/>
          <w:szCs w:val="32"/>
          <w:highlight w:val="none"/>
          <w:lang w:val="en-US" w:eastAsia="zh-CN"/>
        </w:rPr>
        <w:t>二</w:t>
      </w:r>
      <w:r>
        <w:rPr>
          <w:rFonts w:hint="eastAsia" w:ascii="宋体" w:hAnsi="宋体" w:eastAsia="宋体" w:cs="宋体"/>
          <w:b/>
          <w:bCs/>
          <w:color w:val="auto"/>
          <w:spacing w:val="-5"/>
          <w:sz w:val="32"/>
          <w:szCs w:val="32"/>
          <w:highlight w:val="none"/>
          <w:lang w:eastAsia="zh-CN"/>
        </w:rPr>
        <w:t>）</w:t>
      </w:r>
      <w:r>
        <w:rPr>
          <w:rFonts w:hint="eastAsia" w:ascii="宋体" w:hAnsi="宋体" w:eastAsia="宋体" w:cs="宋体"/>
          <w:b/>
          <w:bCs/>
          <w:color w:val="auto"/>
          <w:spacing w:val="-5"/>
          <w:sz w:val="32"/>
          <w:szCs w:val="32"/>
          <w:highlight w:val="none"/>
        </w:rPr>
        <w:t>技术商务要求</w:t>
      </w:r>
    </w:p>
    <w:p w14:paraId="0BF9EE39">
      <w:pPr>
        <w:pStyle w:val="24"/>
        <w:shd w:val="clear" w:color="auto" w:fill="auto"/>
        <w:spacing w:before="0" w:after="0" w:line="360" w:lineRule="auto"/>
        <w:ind w:firstLine="500"/>
        <w:jc w:val="both"/>
        <w:rPr>
          <w:rFonts w:hint="eastAsia" w:ascii="宋体" w:hAnsi="宋体" w:eastAsia="宋体" w:cs="宋体"/>
          <w:color w:val="auto"/>
          <w:kern w:val="0"/>
          <w:sz w:val="24"/>
          <w:szCs w:val="24"/>
          <w:highlight w:val="none"/>
        </w:rPr>
      </w:pPr>
      <w:bookmarkStart w:id="0" w:name="_Toc117076081"/>
      <w:bookmarkEnd w:id="0"/>
      <w:bookmarkStart w:id="1" w:name="_Toc117076087"/>
      <w:bookmarkEnd w:id="1"/>
      <w:bookmarkStart w:id="2" w:name="_Toc117076078"/>
      <w:bookmarkEnd w:id="2"/>
      <w:bookmarkStart w:id="3" w:name="_Toc117076088"/>
      <w:bookmarkEnd w:id="3"/>
      <w:bookmarkStart w:id="4" w:name="_Toc117076083"/>
      <w:bookmarkEnd w:id="4"/>
      <w:bookmarkStart w:id="5" w:name="_Toc117076080"/>
      <w:bookmarkEnd w:id="5"/>
      <w:bookmarkStart w:id="6" w:name="_Toc117076084"/>
      <w:bookmarkEnd w:id="6"/>
      <w:bookmarkStart w:id="7" w:name="_Toc117076079"/>
      <w:bookmarkEnd w:id="7"/>
      <w:bookmarkStart w:id="8" w:name="_Toc117076085"/>
      <w:bookmarkEnd w:id="8"/>
      <w:bookmarkStart w:id="9" w:name="_Toc117076086"/>
      <w:bookmarkEnd w:id="9"/>
      <w:r>
        <w:rPr>
          <w:rFonts w:hint="eastAsia" w:ascii="宋体" w:hAnsi="宋体" w:eastAsia="宋体" w:cs="宋体"/>
          <w:color w:val="auto"/>
          <w:kern w:val="0"/>
          <w:sz w:val="24"/>
          <w:szCs w:val="24"/>
          <w:highlight w:val="none"/>
          <w:lang w:val="zh-CN"/>
        </w:rPr>
        <w:t>根据《关于进一步加强信息安全等级保护工作的通知》</w:t>
      </w:r>
      <w:r>
        <w:rPr>
          <w:rFonts w:hint="eastAsia" w:eastAsia="宋体" w:cs="宋体"/>
          <w:color w:val="auto"/>
          <w:kern w:val="0"/>
          <w:sz w:val="24"/>
          <w:szCs w:val="24"/>
          <w:highlight w:val="none"/>
          <w:lang w:val="zh-CN"/>
        </w:rPr>
        <w:t>（</w:t>
      </w:r>
      <w:r>
        <w:rPr>
          <w:rFonts w:hint="eastAsia" w:ascii="宋体" w:hAnsi="宋体" w:eastAsia="宋体" w:cs="宋体"/>
          <w:color w:val="auto"/>
          <w:kern w:val="0"/>
          <w:sz w:val="24"/>
          <w:szCs w:val="24"/>
          <w:highlight w:val="none"/>
          <w:lang w:val="zh-CN"/>
        </w:rPr>
        <w:t>琼等保办〔2013〕2号</w:t>
      </w:r>
      <w:r>
        <w:rPr>
          <w:rFonts w:hint="eastAsia" w:eastAsia="宋体" w:cs="宋体"/>
          <w:color w:val="auto"/>
          <w:kern w:val="0"/>
          <w:sz w:val="24"/>
          <w:szCs w:val="24"/>
          <w:highlight w:val="none"/>
          <w:lang w:val="zh-CN"/>
        </w:rPr>
        <w:t>）</w:t>
      </w:r>
      <w:r>
        <w:rPr>
          <w:rFonts w:hint="eastAsia" w:ascii="宋体" w:hAnsi="宋体" w:eastAsia="宋体" w:cs="宋体"/>
          <w:color w:val="auto"/>
          <w:kern w:val="0"/>
          <w:sz w:val="24"/>
          <w:szCs w:val="24"/>
          <w:highlight w:val="none"/>
          <w:lang w:val="zh-CN"/>
        </w:rPr>
        <w:t>，本着实际安全保障需要和本项目现有安全防护手段，本项目需根据《海南省政务信息化项目建设管理实施细则（暂行）》要求，开展</w:t>
      </w:r>
      <w:r>
        <w:rPr>
          <w:rFonts w:hint="eastAsia" w:ascii="宋体" w:hAnsi="宋体" w:eastAsia="宋体" w:cs="宋体"/>
          <w:color w:val="auto"/>
          <w:sz w:val="24"/>
          <w:szCs w:val="24"/>
          <w:highlight w:val="none"/>
          <w:lang w:val="en-US" w:eastAsia="zh-CN"/>
        </w:rPr>
        <w:t>渗透测试服务和</w:t>
      </w:r>
      <w:r>
        <w:rPr>
          <w:rFonts w:hint="eastAsia" w:ascii="宋体" w:hAnsi="宋体" w:eastAsia="宋体" w:cs="宋体"/>
          <w:color w:val="auto"/>
          <w:sz w:val="24"/>
          <w:szCs w:val="24"/>
          <w:highlight w:val="none"/>
        </w:rPr>
        <w:t>代码审计服务</w:t>
      </w:r>
      <w:r>
        <w:rPr>
          <w:rFonts w:hint="eastAsia" w:ascii="宋体" w:hAnsi="宋体" w:eastAsia="宋体" w:cs="宋体"/>
          <w:color w:val="auto"/>
          <w:kern w:val="0"/>
          <w:sz w:val="24"/>
          <w:szCs w:val="24"/>
          <w:highlight w:val="none"/>
          <w:lang w:val="zh-CN"/>
        </w:rPr>
        <w:t>。</w:t>
      </w:r>
    </w:p>
    <w:p w14:paraId="30B49595">
      <w:pPr>
        <w:pStyle w:val="4"/>
        <w:bidi w:val="0"/>
        <w:rPr>
          <w:rFonts w:hint="eastAsia"/>
          <w:color w:val="auto"/>
          <w:highlight w:val="none"/>
        </w:rPr>
      </w:pPr>
      <w:r>
        <w:rPr>
          <w:rFonts w:hint="eastAsia"/>
          <w:color w:val="auto"/>
          <w:highlight w:val="none"/>
        </w:rPr>
        <w:t>（1）技术要求</w:t>
      </w:r>
    </w:p>
    <w:p w14:paraId="018909D3">
      <w:pPr>
        <w:pStyle w:val="6"/>
        <w:spacing w:line="360" w:lineRule="auto"/>
        <w:ind w:firstLine="643"/>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1.1服务范围</w:t>
      </w:r>
    </w:p>
    <w:p w14:paraId="2F5D634A">
      <w:pPr>
        <w:pStyle w:val="15"/>
        <w:widowControl w:val="0"/>
        <w:spacing w:beforeAutospacing="1" w:after="120" w:line="360" w:lineRule="auto"/>
        <w:ind w:firstLine="480" w:firstLineChars="200"/>
        <w:jc w:val="both"/>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对</w:t>
      </w:r>
      <w:r>
        <w:rPr>
          <w:rFonts w:hint="eastAsia" w:ascii="宋体" w:hAnsi="宋体" w:eastAsia="宋体" w:cs="宋体"/>
          <w:color w:val="auto"/>
          <w:kern w:val="0"/>
          <w:sz w:val="24"/>
          <w:szCs w:val="24"/>
          <w:highlight w:val="none"/>
          <w:lang w:eastAsia="zh-CN"/>
        </w:rPr>
        <w:t>海南智慧健康岛建设工程项目</w:t>
      </w:r>
      <w:r>
        <w:rPr>
          <w:rFonts w:hint="eastAsia" w:ascii="宋体" w:hAnsi="宋体" w:eastAsia="宋体" w:cs="宋体"/>
          <w:color w:val="auto"/>
          <w:sz w:val="24"/>
          <w:szCs w:val="24"/>
          <w:highlight w:val="none"/>
        </w:rPr>
        <w:t>开展</w:t>
      </w:r>
      <w:r>
        <w:rPr>
          <w:rFonts w:hint="eastAsia" w:ascii="宋体" w:hAnsi="宋体" w:eastAsia="宋体" w:cs="宋体"/>
          <w:color w:val="auto"/>
          <w:sz w:val="24"/>
          <w:szCs w:val="24"/>
          <w:highlight w:val="none"/>
          <w:lang w:val="en-US" w:eastAsia="zh-CN"/>
        </w:rPr>
        <w:t>渗透测试服务和</w:t>
      </w:r>
      <w:r>
        <w:rPr>
          <w:rFonts w:hint="eastAsia" w:ascii="宋体" w:hAnsi="宋体" w:eastAsia="宋体" w:cs="宋体"/>
          <w:color w:val="auto"/>
          <w:sz w:val="24"/>
          <w:szCs w:val="24"/>
          <w:highlight w:val="none"/>
        </w:rPr>
        <w:t>代码审计服务</w:t>
      </w:r>
      <w:r>
        <w:rPr>
          <w:rFonts w:hint="eastAsia" w:ascii="宋体" w:hAnsi="宋体" w:eastAsia="宋体" w:cs="宋体"/>
          <w:color w:val="auto"/>
          <w:kern w:val="0"/>
          <w:sz w:val="24"/>
          <w:szCs w:val="24"/>
          <w:highlight w:val="none"/>
        </w:rPr>
        <w:t>。</w:t>
      </w:r>
      <w:r>
        <w:rPr>
          <w:rFonts w:hint="eastAsia" w:ascii="宋体" w:hAnsi="宋体" w:eastAsia="宋体" w:cs="宋体"/>
          <w:color w:val="auto"/>
          <w:kern w:val="0"/>
          <w:sz w:val="24"/>
          <w:szCs w:val="24"/>
          <w:highlight w:val="none"/>
          <w:lang w:eastAsia="zh-CN"/>
        </w:rPr>
        <w:t>海南智慧健康岛建设工程项目</w:t>
      </w:r>
      <w:r>
        <w:rPr>
          <w:rFonts w:hint="eastAsia" w:ascii="宋体" w:hAnsi="宋体" w:eastAsia="宋体" w:cs="宋体"/>
          <w:bCs/>
          <w:color w:val="auto"/>
          <w:kern w:val="2"/>
          <w:sz w:val="24"/>
          <w:szCs w:val="24"/>
          <w:highlight w:val="none"/>
          <w:lang w:val="en-US" w:eastAsia="zh-CN" w:bidi="ar"/>
        </w:rPr>
        <w:t>具体功能清单详见包1</w:t>
      </w:r>
      <w:r>
        <w:rPr>
          <w:rFonts w:hint="eastAsia" w:eastAsia="宋体" w:cs="宋体"/>
          <w:bCs/>
          <w:color w:val="auto"/>
          <w:kern w:val="2"/>
          <w:sz w:val="24"/>
          <w:szCs w:val="24"/>
          <w:highlight w:val="none"/>
          <w:lang w:val="en-US" w:eastAsia="zh-CN" w:bidi="ar"/>
        </w:rPr>
        <w:t>至</w:t>
      </w:r>
      <w:r>
        <w:rPr>
          <w:rFonts w:hint="eastAsia" w:ascii="宋体" w:hAnsi="宋体" w:eastAsia="宋体" w:cs="宋体"/>
          <w:bCs/>
          <w:color w:val="auto"/>
          <w:kern w:val="2"/>
          <w:sz w:val="24"/>
          <w:szCs w:val="24"/>
          <w:highlight w:val="none"/>
          <w:lang w:val="en-US" w:eastAsia="zh-CN" w:bidi="ar"/>
        </w:rPr>
        <w:t>包</w:t>
      </w:r>
      <w:r>
        <w:rPr>
          <w:rFonts w:hint="eastAsia" w:eastAsia="宋体" w:cs="宋体"/>
          <w:bCs/>
          <w:color w:val="auto"/>
          <w:kern w:val="2"/>
          <w:sz w:val="24"/>
          <w:szCs w:val="24"/>
          <w:highlight w:val="none"/>
          <w:lang w:val="en-US" w:eastAsia="zh-CN" w:bidi="ar"/>
        </w:rPr>
        <w:t>6</w:t>
      </w:r>
      <w:r>
        <w:rPr>
          <w:rFonts w:hint="eastAsia" w:ascii="宋体" w:hAnsi="宋体" w:eastAsia="宋体" w:cs="宋体"/>
          <w:bCs/>
          <w:color w:val="auto"/>
          <w:kern w:val="2"/>
          <w:sz w:val="24"/>
          <w:szCs w:val="24"/>
          <w:highlight w:val="none"/>
          <w:lang w:val="en-US" w:eastAsia="zh-CN" w:bidi="ar"/>
        </w:rPr>
        <w:t>采购</w:t>
      </w:r>
      <w:r>
        <w:rPr>
          <w:rFonts w:hint="eastAsia" w:eastAsia="宋体" w:cs="宋体"/>
          <w:bCs/>
          <w:color w:val="auto"/>
          <w:kern w:val="2"/>
          <w:sz w:val="24"/>
          <w:szCs w:val="24"/>
          <w:highlight w:val="none"/>
          <w:lang w:val="en-US" w:eastAsia="zh-CN" w:bidi="ar"/>
        </w:rPr>
        <w:t>需求</w:t>
      </w:r>
      <w:r>
        <w:rPr>
          <w:rFonts w:hint="eastAsia" w:ascii="宋体" w:hAnsi="宋体" w:eastAsia="宋体" w:cs="宋体"/>
          <w:bCs/>
          <w:color w:val="auto"/>
          <w:kern w:val="2"/>
          <w:sz w:val="24"/>
          <w:szCs w:val="24"/>
          <w:highlight w:val="none"/>
          <w:lang w:val="en-US" w:eastAsia="zh-CN" w:bidi="ar"/>
        </w:rPr>
        <w:t>。</w:t>
      </w:r>
    </w:p>
    <w:p w14:paraId="5BB93DB6">
      <w:pPr>
        <w:pStyle w:val="6"/>
        <w:spacing w:line="360" w:lineRule="auto"/>
        <w:ind w:firstLine="643"/>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1.2服务内容</w:t>
      </w:r>
    </w:p>
    <w:p w14:paraId="517671E3">
      <w:pPr>
        <w:pStyle w:val="7"/>
        <w:spacing w:line="360" w:lineRule="auto"/>
        <w:ind w:firstLine="643"/>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1.2.1</w:t>
      </w:r>
      <w:r>
        <w:rPr>
          <w:rFonts w:hint="eastAsia" w:ascii="宋体" w:hAnsi="宋体" w:eastAsia="宋体" w:cs="宋体"/>
          <w:color w:val="auto"/>
          <w:sz w:val="24"/>
          <w:szCs w:val="24"/>
          <w:highlight w:val="none"/>
          <w:lang w:val="en-US" w:eastAsia="zh-CN"/>
        </w:rPr>
        <w:t>渗透测试</w:t>
      </w:r>
    </w:p>
    <w:p w14:paraId="2EFD48DA">
      <w:pPr>
        <w:spacing w:line="360" w:lineRule="auto"/>
        <w:ind w:firstLine="480" w:firstLineChars="200"/>
        <w:rPr>
          <w:rFonts w:hint="eastAsia" w:ascii="宋体" w:hAnsi="宋体" w:eastAsia="宋体" w:cs="宋体"/>
          <w:color w:val="auto"/>
          <w:kern w:val="2"/>
          <w:sz w:val="24"/>
          <w:szCs w:val="24"/>
          <w:highlight w:val="none"/>
          <w:lang w:val="en-US" w:eastAsia="zh-CN" w:bidi="ar"/>
        </w:rPr>
      </w:pP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w:t>
      </w:r>
      <w:r>
        <w:rPr>
          <w:rFonts w:hint="eastAsia" w:ascii="宋体" w:hAnsi="宋体" w:eastAsia="宋体" w:cs="宋体"/>
          <w:color w:val="auto"/>
          <w:kern w:val="2"/>
          <w:sz w:val="24"/>
          <w:szCs w:val="24"/>
          <w:highlight w:val="none"/>
          <w:lang w:val="en-US" w:eastAsia="zh-CN" w:bidi="ar"/>
        </w:rPr>
        <w:t>渗透测试服务。通过模拟恶意黑客的攻击方法，来评估计算机网络系统安全状况。具体包括对系统的任何弱点、技术缺陷或漏洞的主动分析，从一个攻击者可能存在的位置来进行，从这个位置有条件主动利用安全漏洞，</w:t>
      </w:r>
      <w:r>
        <w:rPr>
          <w:rFonts w:hint="eastAsia" w:ascii="Times New Roman" w:hAnsi="Times New Roman" w:eastAsia="宋体" w:cs="宋体"/>
          <w:color w:val="auto"/>
          <w:kern w:val="2"/>
          <w:sz w:val="24"/>
          <w:szCs w:val="22"/>
          <w:highlight w:val="none"/>
          <w:lang w:val="en-US" w:eastAsia="zh-CN" w:bidi="ar"/>
        </w:rPr>
        <w:t>计划为每季度</w:t>
      </w:r>
      <w:r>
        <w:rPr>
          <w:rFonts w:hint="default" w:ascii="Times New Roman" w:hAnsi="Times New Roman" w:eastAsia="宋体" w:cs="Times New Roman"/>
          <w:color w:val="auto"/>
          <w:kern w:val="2"/>
          <w:sz w:val="24"/>
          <w:szCs w:val="22"/>
          <w:highlight w:val="none"/>
          <w:lang w:val="en-US" w:eastAsia="zh-CN" w:bidi="ar"/>
        </w:rPr>
        <w:t>1</w:t>
      </w:r>
      <w:r>
        <w:rPr>
          <w:rFonts w:hint="eastAsia" w:ascii="Times New Roman" w:hAnsi="Times New Roman" w:eastAsia="宋体" w:cs="宋体"/>
          <w:color w:val="auto"/>
          <w:kern w:val="2"/>
          <w:sz w:val="24"/>
          <w:szCs w:val="22"/>
          <w:highlight w:val="none"/>
          <w:lang w:val="en-US" w:eastAsia="zh-CN" w:bidi="ar"/>
        </w:rPr>
        <w:t>次</w:t>
      </w:r>
      <w:r>
        <w:rPr>
          <w:rFonts w:hint="eastAsia" w:ascii="宋体" w:hAnsi="宋体" w:eastAsia="宋体" w:cs="宋体"/>
          <w:color w:val="auto"/>
          <w:kern w:val="2"/>
          <w:sz w:val="24"/>
          <w:szCs w:val="24"/>
          <w:highlight w:val="none"/>
          <w:lang w:val="en-US" w:eastAsia="zh-CN" w:bidi="ar"/>
        </w:rPr>
        <w:t>。</w:t>
      </w:r>
    </w:p>
    <w:p w14:paraId="5A622AA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kern w:val="2"/>
          <w:sz w:val="24"/>
          <w:szCs w:val="24"/>
          <w:highlight w:val="none"/>
          <w:lang w:val="en-US" w:eastAsia="zh-CN" w:bidi="ar"/>
        </w:rPr>
        <w:t>2、</w:t>
      </w:r>
      <w:r>
        <w:rPr>
          <w:rFonts w:hint="eastAsia" w:ascii="宋体" w:hAnsi="宋体" w:eastAsia="宋体" w:cs="宋体"/>
          <w:color w:val="auto"/>
          <w:sz w:val="24"/>
          <w:szCs w:val="24"/>
          <w:highlight w:val="none"/>
        </w:rPr>
        <w:t>漏洞扫描及管理服务。漏洞扫描及管理服务；对目前现有服务器、信息系统、终端漏洞扫描；对外服务的网站和应用做常规的漏洞扫描；针对业务系统情况从网络层、主机层、应用层三个层面进行安全防护，</w:t>
      </w:r>
      <w:r>
        <w:rPr>
          <w:rFonts w:hint="eastAsia" w:ascii="Times New Roman" w:hAnsi="Times New Roman" w:eastAsia="宋体" w:cs="宋体"/>
          <w:color w:val="auto"/>
          <w:kern w:val="2"/>
          <w:sz w:val="24"/>
          <w:szCs w:val="22"/>
          <w:highlight w:val="none"/>
          <w:lang w:val="en-US" w:eastAsia="zh-CN" w:bidi="ar"/>
        </w:rPr>
        <w:t>计划为每季度</w:t>
      </w:r>
      <w:r>
        <w:rPr>
          <w:rFonts w:hint="default" w:ascii="Times New Roman" w:hAnsi="Times New Roman" w:eastAsia="宋体" w:cs="Times New Roman"/>
          <w:color w:val="auto"/>
          <w:kern w:val="2"/>
          <w:sz w:val="24"/>
          <w:szCs w:val="22"/>
          <w:highlight w:val="none"/>
          <w:lang w:val="en-US" w:eastAsia="zh-CN" w:bidi="ar"/>
        </w:rPr>
        <w:t>1</w:t>
      </w:r>
      <w:r>
        <w:rPr>
          <w:rFonts w:hint="eastAsia" w:ascii="Times New Roman" w:hAnsi="Times New Roman" w:eastAsia="宋体" w:cs="宋体"/>
          <w:color w:val="auto"/>
          <w:kern w:val="2"/>
          <w:sz w:val="24"/>
          <w:szCs w:val="22"/>
          <w:highlight w:val="none"/>
          <w:lang w:val="en-US" w:eastAsia="zh-CN" w:bidi="ar"/>
        </w:rPr>
        <w:t>次</w:t>
      </w:r>
      <w:r>
        <w:rPr>
          <w:rFonts w:hint="eastAsia" w:ascii="宋体" w:hAnsi="宋体" w:eastAsia="宋体" w:cs="宋体"/>
          <w:color w:val="auto"/>
          <w:sz w:val="24"/>
          <w:szCs w:val="24"/>
          <w:highlight w:val="none"/>
        </w:rPr>
        <w:t>。</w:t>
      </w:r>
    </w:p>
    <w:p w14:paraId="5EE47FCB">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全服务成果：完成渗透测试工作后，出具《渗透测试报告》，并提出具有针对性的安全加固建议。</w:t>
      </w:r>
    </w:p>
    <w:p w14:paraId="41EBE5A5">
      <w:pPr>
        <w:pStyle w:val="7"/>
        <w:spacing w:line="360" w:lineRule="auto"/>
        <w:ind w:firstLine="643"/>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1.2.2代码审计服务</w:t>
      </w:r>
    </w:p>
    <w:p w14:paraId="288D12EC">
      <w:pPr>
        <w:spacing w:line="360" w:lineRule="auto"/>
        <w:ind w:firstLine="482" w:firstLineChars="200"/>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1.2.2.1服务内容</w:t>
      </w:r>
    </w:p>
    <w:p w14:paraId="268CA85A">
      <w:pPr>
        <w:pStyle w:val="25"/>
        <w:spacing w:line="360" w:lineRule="auto"/>
        <w:ind w:firstLine="64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为降低代码缺陷所带来的安全风险，按照《信息安全技术代码安全审计规范》（GB/T39412—2020），针对本项目涉及的系统源代码进行审计分析，审计开发语言包括但不限于：Java、PHP、Python、C#等，发现源代码层面的安全缺陷，并提供源代码审计报告和改进建议。</w:t>
      </w:r>
    </w:p>
    <w:p w14:paraId="5D61131F">
      <w:pPr>
        <w:pStyle w:val="25"/>
        <w:spacing w:line="360" w:lineRule="auto"/>
        <w:ind w:firstLine="64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代码审计服务的范围为本项目涉及的所有系统源代码，包括使用 ASP、ASP.NET（VB/C#）、JSP（JAVA）、Python、PHP 等主流语言开发的 B/S 应用系统、使用 C++、JAVA、C#、VB 等主流语言开发的 C/S 应用系统，以及使用 XML 语言编写的文件、SQL 语言和数据库存储过程等。</w:t>
      </w:r>
    </w:p>
    <w:p w14:paraId="77D17671">
      <w:pPr>
        <w:pStyle w:val="25"/>
        <w:spacing w:line="360" w:lineRule="auto"/>
        <w:ind w:firstLine="64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代码审计是由具备丰富编码经验并对安全编码原则及应用安全具有深刻理解的安全服务人员，尤其是具有相关类似软件开发及设计经验的设计开发人员，对系统的源代码和软件架构的安全性、可靠性进行全面的安全检查，同时指导开发人员正确修复程序缺陷。</w:t>
      </w:r>
    </w:p>
    <w:p w14:paraId="2829A3B4">
      <w:pPr>
        <w:pStyle w:val="25"/>
        <w:spacing w:line="360" w:lineRule="auto"/>
        <w:ind w:firstLine="64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代码审计服务的目的在于充分挖掘和暴露系统的弱点，从而让管理人员了解其系统所面临的威胁。信息安全问题时刻都有新的变化，新的攻击方法层出不穷，攻击者攻击的方向越来越侧重于利用软件本身的安全漏洞，例如 SQL 注入漏洞、跨站脚本漏洞、CSRF 漏洞等，这些漏洞主要由不良的软件架构和不安全的编码产生。</w:t>
      </w:r>
    </w:p>
    <w:p w14:paraId="3CC7AF6C">
      <w:pPr>
        <w:pStyle w:val="25"/>
        <w:spacing w:line="360" w:lineRule="auto"/>
        <w:ind w:firstLine="64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开展源代码审计能够降低源代码出现的安全漏洞，构建安全的代码，提高源代码的可靠性，提高应用系统自身安全防护能力。源代码安全检测能够帮助开发人员提高源代码的质量，从底层保障应用系统本身的安全，从早期降低应用系统的开发成本。</w:t>
      </w:r>
    </w:p>
    <w:p w14:paraId="6ABE1F2B">
      <w:pPr>
        <w:pStyle w:val="25"/>
        <w:spacing w:line="360" w:lineRule="auto"/>
        <w:ind w:firstLine="64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代码审计服务的主要内容包括但不限于：</w:t>
      </w:r>
    </w:p>
    <w:p w14:paraId="271E0838">
      <w:pPr>
        <w:pStyle w:val="25"/>
        <w:numPr>
          <w:ilvl w:val="0"/>
          <w:numId w:val="1"/>
        </w:numPr>
        <w:spacing w:line="360" w:lineRule="auto"/>
        <w:ind w:firstLine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OWASP WEB TOP 10漏洞</w:t>
      </w:r>
    </w:p>
    <w:p w14:paraId="7E9F6804">
      <w:pPr>
        <w:pStyle w:val="25"/>
        <w:numPr>
          <w:ilvl w:val="0"/>
          <w:numId w:val="1"/>
        </w:numPr>
        <w:spacing w:line="360" w:lineRule="auto"/>
        <w:ind w:firstLine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Web应用程序的权限架构</w:t>
      </w:r>
    </w:p>
    <w:p w14:paraId="02333AF7">
      <w:pPr>
        <w:pStyle w:val="25"/>
        <w:numPr>
          <w:ilvl w:val="0"/>
          <w:numId w:val="1"/>
        </w:numPr>
        <w:spacing w:line="360" w:lineRule="auto"/>
        <w:ind w:firstLine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Web应用通信安全</w:t>
      </w:r>
    </w:p>
    <w:p w14:paraId="6588002D">
      <w:pPr>
        <w:pStyle w:val="25"/>
        <w:numPr>
          <w:ilvl w:val="0"/>
          <w:numId w:val="1"/>
        </w:numPr>
        <w:spacing w:line="360" w:lineRule="auto"/>
        <w:ind w:firstLine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数据库的配置规范</w:t>
      </w:r>
    </w:p>
    <w:p w14:paraId="50BFEF2A">
      <w:pPr>
        <w:pStyle w:val="25"/>
        <w:numPr>
          <w:ilvl w:val="0"/>
          <w:numId w:val="1"/>
        </w:numPr>
        <w:spacing w:line="360" w:lineRule="auto"/>
        <w:ind w:firstLine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SQL语句的编写规范</w:t>
      </w:r>
    </w:p>
    <w:p w14:paraId="14EDA744">
      <w:pPr>
        <w:pStyle w:val="25"/>
        <w:numPr>
          <w:ilvl w:val="0"/>
          <w:numId w:val="1"/>
        </w:numPr>
        <w:spacing w:line="360" w:lineRule="auto"/>
        <w:ind w:firstLine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Web应用框架安全性</w:t>
      </w:r>
    </w:p>
    <w:p w14:paraId="7AFFD06B">
      <w:pPr>
        <w:pStyle w:val="25"/>
        <w:spacing w:line="360" w:lineRule="auto"/>
        <w:ind w:firstLine="64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代码审计参考依据：</w:t>
      </w:r>
    </w:p>
    <w:p w14:paraId="488A370C">
      <w:pPr>
        <w:pStyle w:val="25"/>
        <w:numPr>
          <w:ilvl w:val="0"/>
          <w:numId w:val="2"/>
        </w:numPr>
        <w:spacing w:line="360" w:lineRule="auto"/>
        <w:ind w:firstLine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CVE（Common Vulnerabilities &amp; Exposures）公共漏洞字典表</w:t>
      </w:r>
    </w:p>
    <w:p w14:paraId="4117FBDC">
      <w:pPr>
        <w:pStyle w:val="25"/>
        <w:numPr>
          <w:ilvl w:val="0"/>
          <w:numId w:val="2"/>
        </w:numPr>
        <w:spacing w:line="360" w:lineRule="auto"/>
        <w:ind w:firstLine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OWASP OWASP_Testing_Guide_v3</w:t>
      </w:r>
    </w:p>
    <w:p w14:paraId="61BFE7F0">
      <w:pPr>
        <w:pStyle w:val="25"/>
        <w:numPr>
          <w:ilvl w:val="0"/>
          <w:numId w:val="2"/>
        </w:numPr>
        <w:spacing w:line="360" w:lineRule="auto"/>
        <w:ind w:firstLine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OWASP OWASP_Development_Guide_2005</w:t>
      </w:r>
    </w:p>
    <w:p w14:paraId="5CCEEBD7">
      <w:pPr>
        <w:pStyle w:val="25"/>
        <w:numPr>
          <w:ilvl w:val="0"/>
          <w:numId w:val="2"/>
        </w:numPr>
        <w:spacing w:line="360" w:lineRule="auto"/>
        <w:ind w:firstLine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OWASP OWASP_Top_10_2010_Chinese_V1.0</w:t>
      </w:r>
    </w:p>
    <w:p w14:paraId="6D2EBD01">
      <w:pPr>
        <w:pStyle w:val="25"/>
        <w:numPr>
          <w:ilvl w:val="0"/>
          <w:numId w:val="2"/>
        </w:numPr>
        <w:spacing w:line="360" w:lineRule="auto"/>
        <w:ind w:firstLine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OWASP Mobile Security Project</w:t>
      </w:r>
    </w:p>
    <w:p w14:paraId="0CD4041D">
      <w:pPr>
        <w:pStyle w:val="25"/>
        <w:numPr>
          <w:ilvl w:val="0"/>
          <w:numId w:val="2"/>
        </w:numPr>
        <w:spacing w:line="360" w:lineRule="auto"/>
        <w:ind w:firstLine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信息安全技术 信息安全风险评估规范（GB/T 20984-2007）</w:t>
      </w:r>
    </w:p>
    <w:p w14:paraId="1506BE9D">
      <w:pPr>
        <w:pStyle w:val="25"/>
        <w:numPr>
          <w:ilvl w:val="0"/>
          <w:numId w:val="2"/>
        </w:numPr>
        <w:spacing w:line="360" w:lineRule="auto"/>
        <w:ind w:firstLine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信息技术 信息安全管理实用规则（GB/T 19716-2005）（ISO/IEC 17799:2000）</w:t>
      </w:r>
    </w:p>
    <w:p w14:paraId="0F2879AD">
      <w:pPr>
        <w:pStyle w:val="25"/>
        <w:numPr>
          <w:ilvl w:val="0"/>
          <w:numId w:val="2"/>
        </w:numPr>
        <w:spacing w:line="360" w:lineRule="auto"/>
        <w:ind w:firstLine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信息系统安全风险评估实施指南</w:t>
      </w:r>
    </w:p>
    <w:p w14:paraId="5F3BD145">
      <w:pPr>
        <w:pStyle w:val="25"/>
        <w:numPr>
          <w:ilvl w:val="0"/>
          <w:numId w:val="2"/>
        </w:numPr>
        <w:spacing w:line="360" w:lineRule="auto"/>
        <w:ind w:firstLine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设备、软件厂商公布的漏洞库</w:t>
      </w:r>
    </w:p>
    <w:p w14:paraId="2743123F">
      <w:pPr>
        <w:spacing w:line="360" w:lineRule="auto"/>
        <w:ind w:firstLine="482" w:firstLineChars="200"/>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1.2.2.2服务流程</w:t>
      </w:r>
    </w:p>
    <w:p w14:paraId="525BD109">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drawing>
          <wp:inline distT="0" distB="0" distL="114300" distR="114300">
            <wp:extent cx="5271770" cy="2597785"/>
            <wp:effectExtent l="0" t="0" r="5080" b="12065"/>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pic:cNvPicPr>
                  </pic:nvPicPr>
                  <pic:blipFill>
                    <a:blip r:embed="rId7"/>
                    <a:stretch>
                      <a:fillRect/>
                    </a:stretch>
                  </pic:blipFill>
                  <pic:spPr>
                    <a:xfrm>
                      <a:off x="0" y="0"/>
                      <a:ext cx="5271770" cy="2597785"/>
                    </a:xfrm>
                    <a:prstGeom prst="rect">
                      <a:avLst/>
                    </a:prstGeom>
                    <a:noFill/>
                    <a:ln>
                      <a:noFill/>
                    </a:ln>
                  </pic:spPr>
                </pic:pic>
              </a:graphicData>
            </a:graphic>
          </wp:inline>
        </w:drawing>
      </w:r>
    </w:p>
    <w:p w14:paraId="1CC2B850">
      <w:pPr>
        <w:pStyle w:val="25"/>
        <w:spacing w:line="360" w:lineRule="auto"/>
        <w:ind w:firstLine="64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代码审计服务主要分为四个阶段，包括测试前期准备阶段、检测阶段实施、复测阶段实施以及成果汇报阶段：</w:t>
      </w:r>
    </w:p>
    <w:p w14:paraId="7B3F806F">
      <w:pPr>
        <w:pStyle w:val="25"/>
        <w:spacing w:line="360" w:lineRule="auto"/>
        <w:ind w:firstLine="64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1、前期准备阶段</w:t>
      </w:r>
    </w:p>
    <w:p w14:paraId="7CD7E8C0">
      <w:pPr>
        <w:pStyle w:val="25"/>
        <w:spacing w:line="360" w:lineRule="auto"/>
        <w:ind w:firstLine="64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在实施源代码安全检测工作前，负责项目实施的技术人员会和采购方对源代码安全检测服务相关的技术细节进行详细沟通。由此确认源代码安全检测的方案，方案内容主要包括确认的源代码安全检测范围、最终对象、检测要求的时间等内容，采购方签署源代码安全检测授权书。</w:t>
      </w:r>
    </w:p>
    <w:p w14:paraId="70C82976">
      <w:pPr>
        <w:pStyle w:val="25"/>
        <w:spacing w:line="360" w:lineRule="auto"/>
        <w:ind w:firstLine="64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在测试实施之前，会做到让采购方对安全测试过程和风险的知晓，使随后的正式测试流程都在采购方的控制下。</w:t>
      </w:r>
    </w:p>
    <w:p w14:paraId="5352C067">
      <w:pPr>
        <w:pStyle w:val="25"/>
        <w:spacing w:line="360" w:lineRule="auto"/>
        <w:ind w:firstLine="64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2、检测实施阶段</w:t>
      </w:r>
    </w:p>
    <w:p w14:paraId="5A631DA4">
      <w:pPr>
        <w:pStyle w:val="25"/>
        <w:spacing w:line="360" w:lineRule="auto"/>
        <w:ind w:firstLine="64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在检测实施过程中，测试人员首先进行环境部署，源代码调试，然后使用专业的代码安全检测工具扫描，完成初步的源代码安全检测测试执行工作。</w:t>
      </w:r>
    </w:p>
    <w:p w14:paraId="6664418C">
      <w:pPr>
        <w:pStyle w:val="25"/>
        <w:spacing w:line="360" w:lineRule="auto"/>
        <w:ind w:firstLine="64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然后由人工的方式进行确认和分析，对安全扫描的结果进行检测和验证，从而对源代码安全漏洞进行定级，测试人员需整理源代码安全检测服务的输出结果并编制源代码安全检测报告，最终提交采购方和对报告内容进行沟通。</w:t>
      </w:r>
    </w:p>
    <w:p w14:paraId="6A3BD3F8">
      <w:pPr>
        <w:pStyle w:val="25"/>
        <w:spacing w:line="360" w:lineRule="auto"/>
        <w:ind w:firstLine="64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3、</w:t>
      </w:r>
      <w:r>
        <w:rPr>
          <w:rFonts w:hint="eastAsia" w:ascii="宋体" w:hAnsi="宋体" w:eastAsia="宋体" w:cs="宋体"/>
          <w:color w:val="auto"/>
          <w:sz w:val="24"/>
          <w:szCs w:val="24"/>
          <w:highlight w:val="none"/>
          <w:lang w:val="en-US" w:eastAsia="zh-CN"/>
        </w:rPr>
        <w:t>复测</w:t>
      </w:r>
      <w:r>
        <w:rPr>
          <w:rFonts w:hint="eastAsia" w:ascii="宋体" w:hAnsi="宋体" w:eastAsia="宋体" w:cs="宋体"/>
          <w:color w:val="auto"/>
          <w:sz w:val="24"/>
          <w:szCs w:val="24"/>
          <w:highlight w:val="none"/>
        </w:rPr>
        <w:t>阶段</w:t>
      </w:r>
      <w:r>
        <w:rPr>
          <w:rFonts w:hint="eastAsia" w:ascii="宋体" w:hAnsi="宋体" w:eastAsia="宋体" w:cs="宋体"/>
          <w:color w:val="auto"/>
          <w:sz w:val="24"/>
          <w:szCs w:val="24"/>
          <w:highlight w:val="none"/>
          <w:lang w:val="en-US" w:eastAsia="zh-CN"/>
        </w:rPr>
        <w:t>实施</w:t>
      </w:r>
    </w:p>
    <w:p w14:paraId="25642B55">
      <w:pPr>
        <w:pStyle w:val="25"/>
        <w:spacing w:line="360" w:lineRule="auto"/>
        <w:ind w:firstLine="64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在经过初次源代码安全检测报告提交和沟通后，等待采购方针对源代码安全检测发现的问题整改或加固。经整改或加固后，测试人员进行回归测试，即二次复测。复测结束后提交给采购方复测报告和对复测结果进行沟通。</w:t>
      </w:r>
    </w:p>
    <w:p w14:paraId="04470CAE">
      <w:pPr>
        <w:pStyle w:val="25"/>
        <w:spacing w:line="360" w:lineRule="auto"/>
        <w:ind w:firstLine="64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4、成果汇报阶段</w:t>
      </w:r>
    </w:p>
    <w:p w14:paraId="5D79010F">
      <w:pPr>
        <w:pStyle w:val="25"/>
        <w:spacing w:line="360" w:lineRule="auto"/>
        <w:ind w:firstLine="64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根据初次源代码安全检测和二次复测结果，整理源代码安全检测服务输出成果，代码审计服务交付物资料包括不限于如下内容：</w:t>
      </w:r>
    </w:p>
    <w:tbl>
      <w:tblPr>
        <w:tblStyle w:val="16"/>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00"/>
        <w:gridCol w:w="6171"/>
        <w:gridCol w:w="2017"/>
      </w:tblGrid>
      <w:tr w14:paraId="56C17A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92" w:type="pct"/>
            <w:shd w:val="clear" w:color="auto" w:fill="D9E2F3"/>
            <w:vAlign w:val="center"/>
          </w:tcPr>
          <w:p w14:paraId="20F41E76">
            <w:pPr>
              <w:spacing w:line="360" w:lineRule="auto"/>
              <w:jc w:val="center"/>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序号</w:t>
            </w:r>
          </w:p>
        </w:tc>
        <w:tc>
          <w:tcPr>
            <w:tcW w:w="3322" w:type="pct"/>
            <w:shd w:val="clear" w:color="auto" w:fill="D9E2F3"/>
            <w:vAlign w:val="center"/>
          </w:tcPr>
          <w:p w14:paraId="58E0CE40">
            <w:pPr>
              <w:spacing w:line="360" w:lineRule="auto"/>
              <w:jc w:val="center"/>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名称</w:t>
            </w:r>
          </w:p>
        </w:tc>
        <w:tc>
          <w:tcPr>
            <w:tcW w:w="1086" w:type="pct"/>
            <w:shd w:val="clear" w:color="auto" w:fill="D9E2F3"/>
            <w:vAlign w:val="center"/>
          </w:tcPr>
          <w:p w14:paraId="108A97F2">
            <w:pPr>
              <w:spacing w:line="360" w:lineRule="auto"/>
              <w:jc w:val="center"/>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输出时间</w:t>
            </w:r>
          </w:p>
        </w:tc>
      </w:tr>
      <w:tr w14:paraId="29E859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92" w:type="pct"/>
            <w:vAlign w:val="center"/>
          </w:tcPr>
          <w:p w14:paraId="7FB4F9F3">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p>
        </w:tc>
        <w:tc>
          <w:tcPr>
            <w:tcW w:w="3322" w:type="pct"/>
            <w:vAlign w:val="center"/>
          </w:tcPr>
          <w:p w14:paraId="40B05718">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《代码审计服务方案》</w:t>
            </w:r>
          </w:p>
        </w:tc>
        <w:tc>
          <w:tcPr>
            <w:tcW w:w="1086" w:type="pct"/>
            <w:vAlign w:val="center"/>
          </w:tcPr>
          <w:p w14:paraId="4A6D2B43">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启动阶段</w:t>
            </w:r>
          </w:p>
        </w:tc>
      </w:tr>
      <w:tr w14:paraId="5FFD2F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92" w:type="pct"/>
            <w:vAlign w:val="center"/>
          </w:tcPr>
          <w:p w14:paraId="026EF8FA">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p>
        </w:tc>
        <w:tc>
          <w:tcPr>
            <w:tcW w:w="3322" w:type="pct"/>
            <w:vAlign w:val="center"/>
          </w:tcPr>
          <w:p w14:paraId="2C0CB835">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《源代码缺陷分析报告》</w:t>
            </w:r>
          </w:p>
        </w:tc>
        <w:tc>
          <w:tcPr>
            <w:tcW w:w="1086" w:type="pct"/>
            <w:vAlign w:val="center"/>
          </w:tcPr>
          <w:p w14:paraId="59FE07AF">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执行阶段</w:t>
            </w:r>
          </w:p>
        </w:tc>
      </w:tr>
      <w:tr w14:paraId="3F9020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92" w:type="pct"/>
            <w:vAlign w:val="center"/>
          </w:tcPr>
          <w:p w14:paraId="0B42CE68">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p>
        </w:tc>
        <w:tc>
          <w:tcPr>
            <w:tcW w:w="3322" w:type="pct"/>
            <w:vAlign w:val="center"/>
          </w:tcPr>
          <w:p w14:paraId="33B35931">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《源代码缺陷溯源分析报告》</w:t>
            </w:r>
          </w:p>
        </w:tc>
        <w:tc>
          <w:tcPr>
            <w:tcW w:w="1086" w:type="pct"/>
            <w:vAlign w:val="center"/>
          </w:tcPr>
          <w:p w14:paraId="7CF6B4EC">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执行阶段</w:t>
            </w:r>
          </w:p>
        </w:tc>
      </w:tr>
    </w:tbl>
    <w:p w14:paraId="45602DB2">
      <w:pPr>
        <w:pStyle w:val="6"/>
        <w:spacing w:line="360" w:lineRule="auto"/>
        <w:ind w:firstLine="643"/>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1.3交付成果</w:t>
      </w:r>
    </w:p>
    <w:p w14:paraId="2FD9556F">
      <w:pPr>
        <w:pStyle w:val="15"/>
        <w:widowControl w:val="0"/>
        <w:tabs>
          <w:tab w:val="left" w:pos="312"/>
        </w:tabs>
        <w:spacing w:beforeAutospacing="1" w:after="120" w:line="360" w:lineRule="auto"/>
        <w:ind w:firstLine="480" w:firstLineChars="200"/>
        <w:jc w:val="both"/>
        <w:rPr>
          <w:rFonts w:hint="default"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项目交付成果包含但不限于以下内容：</w:t>
      </w:r>
    </w:p>
    <w:p w14:paraId="067BDD02">
      <w:pPr>
        <w:pStyle w:val="15"/>
        <w:widowControl w:val="0"/>
        <w:tabs>
          <w:tab w:val="left" w:pos="312"/>
        </w:tabs>
        <w:spacing w:beforeAutospacing="1" w:after="120"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eastAsia="zh-CN"/>
        </w:rPr>
        <w:t>海南智慧健康岛建设工程项目《</w:t>
      </w:r>
      <w:r>
        <w:rPr>
          <w:rFonts w:hint="eastAsia" w:ascii="宋体" w:hAnsi="宋体" w:eastAsia="宋体" w:cs="宋体"/>
          <w:bCs/>
          <w:color w:val="auto"/>
          <w:kern w:val="2"/>
          <w:sz w:val="24"/>
          <w:szCs w:val="24"/>
          <w:highlight w:val="none"/>
          <w:lang w:val="en-US" w:eastAsia="zh-CN" w:bidi="ar"/>
        </w:rPr>
        <w:t>代码审计报告</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《代码审计服务方案》《源代码缺陷分析报告》《源代码缺陷溯源分析报告》</w:t>
      </w:r>
    </w:p>
    <w:p w14:paraId="62C66911">
      <w:pPr>
        <w:pStyle w:val="15"/>
        <w:widowControl w:val="0"/>
        <w:tabs>
          <w:tab w:val="left" w:pos="312"/>
        </w:tabs>
        <w:spacing w:beforeAutospacing="1" w:after="120" w:line="360" w:lineRule="auto"/>
        <w:ind w:firstLine="480" w:firstLineChars="200"/>
        <w:jc w:val="both"/>
        <w:rPr>
          <w:rFonts w:hint="eastAsia" w:ascii="宋体" w:hAnsi="宋体" w:eastAsia="宋体" w:cs="宋体"/>
          <w:color w:val="auto"/>
          <w:kern w:val="28"/>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渗透测试</w:t>
      </w:r>
      <w:r>
        <w:rPr>
          <w:rFonts w:hint="eastAsia" w:ascii="宋体" w:hAnsi="宋体" w:eastAsia="宋体" w:cs="宋体"/>
          <w:color w:val="auto"/>
          <w:sz w:val="24"/>
          <w:szCs w:val="24"/>
          <w:highlight w:val="none"/>
        </w:rPr>
        <w:t>服务成果</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包括《渗透测试报告</w:t>
      </w:r>
      <w:r>
        <w:rPr>
          <w:rFonts w:hint="eastAsia" w:eastAsia="宋体" w:cs="宋体"/>
          <w:color w:val="auto"/>
          <w:sz w:val="24"/>
          <w:szCs w:val="24"/>
          <w:highlight w:val="none"/>
          <w:lang w:val="en-US" w:eastAsia="zh-CN"/>
        </w:rPr>
        <w:t>》《</w:t>
      </w:r>
      <w:r>
        <w:rPr>
          <w:rFonts w:hint="eastAsia" w:ascii="宋体" w:hAnsi="宋体" w:eastAsia="宋体" w:cs="宋体"/>
          <w:color w:val="auto"/>
          <w:sz w:val="24"/>
          <w:szCs w:val="24"/>
          <w:highlight w:val="none"/>
          <w:lang w:val="en-US" w:eastAsia="zh-CN"/>
        </w:rPr>
        <w:t>漏洞扫描报告》，以及</w:t>
      </w:r>
      <w:r>
        <w:rPr>
          <w:rFonts w:hint="eastAsia" w:ascii="宋体" w:hAnsi="宋体" w:eastAsia="宋体" w:cs="宋体"/>
          <w:color w:val="auto"/>
          <w:sz w:val="24"/>
          <w:szCs w:val="24"/>
          <w:highlight w:val="none"/>
        </w:rPr>
        <w:t>安全加固建议</w:t>
      </w:r>
      <w:r>
        <w:rPr>
          <w:rFonts w:hint="eastAsia" w:ascii="宋体" w:hAnsi="宋体" w:eastAsia="宋体" w:cs="宋体"/>
          <w:color w:val="auto"/>
          <w:sz w:val="24"/>
          <w:szCs w:val="24"/>
          <w:highlight w:val="none"/>
          <w:lang w:val="en-US" w:eastAsia="zh-CN"/>
        </w:rPr>
        <w:t>等。</w:t>
      </w:r>
    </w:p>
    <w:p w14:paraId="645B1C7E">
      <w:pPr>
        <w:tabs>
          <w:tab w:val="left" w:pos="312"/>
        </w:tabs>
        <w:spacing w:line="360" w:lineRule="auto"/>
        <w:ind w:firstLine="480" w:firstLineChars="200"/>
        <w:rPr>
          <w:rFonts w:hint="eastAsia" w:ascii="宋体" w:hAnsi="宋体" w:eastAsia="宋体" w:cs="宋体"/>
          <w:color w:val="auto"/>
          <w:kern w:val="28"/>
          <w:sz w:val="24"/>
          <w:szCs w:val="24"/>
          <w:highlight w:val="none"/>
        </w:rPr>
      </w:pPr>
      <w:r>
        <w:rPr>
          <w:rFonts w:hint="eastAsia" w:ascii="宋体" w:hAnsi="宋体" w:eastAsia="宋体" w:cs="宋体"/>
          <w:color w:val="auto"/>
          <w:sz w:val="24"/>
          <w:szCs w:val="24"/>
          <w:highlight w:val="none"/>
        </w:rPr>
        <w:t>3、服务过程材料，包括但不限于调研表、技术测评记录、会议纪要等。</w:t>
      </w:r>
    </w:p>
    <w:p w14:paraId="6746C1B5">
      <w:pPr>
        <w:pStyle w:val="6"/>
        <w:spacing w:line="360" w:lineRule="auto"/>
        <w:ind w:firstLine="643"/>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w:t>
      </w:r>
      <w:r>
        <w:rPr>
          <w:rFonts w:hint="eastAsia" w:ascii="宋体" w:hAnsi="宋体" w:eastAsia="宋体" w:cs="宋体"/>
          <w:color w:val="auto"/>
          <w:sz w:val="24"/>
          <w:szCs w:val="24"/>
          <w:highlight w:val="none"/>
        </w:rPr>
        <w:fldChar w:fldCharType="begin"/>
      </w:r>
      <w:r>
        <w:rPr>
          <w:rFonts w:hint="eastAsia" w:ascii="宋体" w:hAnsi="宋体" w:eastAsia="宋体" w:cs="宋体"/>
          <w:color w:val="auto"/>
          <w:sz w:val="24"/>
          <w:szCs w:val="24"/>
          <w:highlight w:val="none"/>
        </w:rPr>
        <w:instrText xml:space="preserve"> DOCVARIABLE  技术要求开始  \* MERGEFORMAT </w:instrText>
      </w:r>
      <w:r>
        <w:rPr>
          <w:rFonts w:hint="eastAsia" w:ascii="宋体" w:hAnsi="宋体" w:eastAsia="宋体" w:cs="宋体"/>
          <w:color w:val="auto"/>
          <w:sz w:val="24"/>
          <w:szCs w:val="24"/>
          <w:highlight w:val="none"/>
        </w:rPr>
        <w:fldChar w:fldCharType="end"/>
      </w:r>
      <w:r>
        <w:rPr>
          <w:rFonts w:hint="eastAsia" w:ascii="宋体" w:hAnsi="宋体" w:eastAsia="宋体" w:cs="宋体"/>
          <w:color w:val="auto"/>
          <w:sz w:val="24"/>
          <w:szCs w:val="24"/>
          <w:highlight w:val="none"/>
        </w:rPr>
        <w:t>验收要求</w:t>
      </w:r>
    </w:p>
    <w:p w14:paraId="19E9E103">
      <w:pPr>
        <w:spacing w:line="360" w:lineRule="auto"/>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1、服务单位应根据整体工作计划和安排完成安全服务工作，交付代码审计和</w:t>
      </w:r>
      <w:r>
        <w:rPr>
          <w:rFonts w:hint="eastAsia" w:ascii="宋体" w:hAnsi="宋体" w:eastAsia="宋体" w:cs="宋体"/>
          <w:color w:val="auto"/>
          <w:sz w:val="24"/>
          <w:szCs w:val="24"/>
          <w:highlight w:val="none"/>
          <w:lang w:val="en-US" w:eastAsia="zh-CN"/>
        </w:rPr>
        <w:t>渗透测试</w:t>
      </w:r>
      <w:r>
        <w:rPr>
          <w:rFonts w:hint="eastAsia" w:ascii="宋体" w:hAnsi="宋体" w:eastAsia="宋体" w:cs="宋体"/>
          <w:color w:val="auto"/>
          <w:sz w:val="24"/>
          <w:szCs w:val="24"/>
          <w:highlight w:val="none"/>
        </w:rPr>
        <w:t>服务成果，</w:t>
      </w:r>
      <w:r>
        <w:rPr>
          <w:rFonts w:hint="eastAsia" w:ascii="宋体" w:hAnsi="宋体" w:eastAsia="宋体" w:cs="宋体"/>
          <w:color w:val="auto"/>
          <w:sz w:val="24"/>
          <w:szCs w:val="24"/>
          <w:highlight w:val="none"/>
          <w:lang w:eastAsia="zh-CN"/>
        </w:rPr>
        <w:t>海南智慧健康岛建设工程项目</w:t>
      </w:r>
      <w:r>
        <w:rPr>
          <w:rFonts w:hint="eastAsia" w:ascii="宋体" w:hAnsi="宋体" w:eastAsia="宋体" w:cs="宋体"/>
          <w:color w:val="auto"/>
          <w:sz w:val="24"/>
          <w:szCs w:val="24"/>
          <w:highlight w:val="none"/>
        </w:rPr>
        <w:t>通过竣工验收。</w:t>
      </w:r>
    </w:p>
    <w:p w14:paraId="32E569D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2、采购方对</w:t>
      </w:r>
      <w:r>
        <w:rPr>
          <w:rFonts w:hint="eastAsia" w:ascii="宋体" w:hAnsi="宋体" w:eastAsia="宋体" w:cs="宋体"/>
          <w:color w:val="auto"/>
          <w:sz w:val="24"/>
          <w:szCs w:val="24"/>
          <w:highlight w:val="none"/>
          <w:lang w:val="en-US" w:eastAsia="zh-CN"/>
        </w:rPr>
        <w:t>代码审计、渗透测试</w:t>
      </w:r>
      <w:r>
        <w:rPr>
          <w:rFonts w:hint="eastAsia" w:ascii="宋体" w:hAnsi="宋体" w:eastAsia="宋体" w:cs="宋体"/>
          <w:color w:val="auto"/>
          <w:sz w:val="24"/>
          <w:szCs w:val="24"/>
          <w:highlight w:val="none"/>
        </w:rPr>
        <w:t>服务材料进行签字确认。</w:t>
      </w:r>
    </w:p>
    <w:p w14:paraId="005E1F6B">
      <w:pPr>
        <w:spacing w:line="360" w:lineRule="auto"/>
        <w:rPr>
          <w:rFonts w:hint="eastAsia" w:ascii="宋体" w:hAnsi="宋体" w:eastAsia="宋体" w:cs="宋体"/>
          <w:color w:val="auto"/>
          <w:sz w:val="24"/>
          <w:szCs w:val="24"/>
          <w:highlight w:val="none"/>
        </w:rPr>
      </w:pPr>
    </w:p>
    <w:p w14:paraId="54C04BE7">
      <w:pPr>
        <w:pStyle w:val="4"/>
        <w:bidi w:val="0"/>
        <w:rPr>
          <w:rFonts w:hint="eastAsia"/>
          <w:color w:val="auto"/>
          <w:highlight w:val="none"/>
        </w:rPr>
      </w:pPr>
      <w:r>
        <w:rPr>
          <w:rFonts w:hint="eastAsia"/>
          <w:color w:val="auto"/>
          <w:highlight w:val="none"/>
        </w:rPr>
        <w:t>（2）商务要求</w:t>
      </w:r>
    </w:p>
    <w:p w14:paraId="1781CBA6">
      <w:pPr>
        <w:pStyle w:val="6"/>
        <w:spacing w:line="360" w:lineRule="auto"/>
        <w:ind w:firstLine="643"/>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2.1采购标的所属行业</w:t>
      </w:r>
    </w:p>
    <w:p w14:paraId="382859E1">
      <w:pPr>
        <w:widowControl/>
        <w:tabs>
          <w:tab w:val="left" w:pos="1280"/>
        </w:tabs>
        <w:spacing w:line="360" w:lineRule="auto"/>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本次采购标的所属行业为软件和信息技术服务业。</w:t>
      </w:r>
    </w:p>
    <w:p w14:paraId="6954F6BC">
      <w:pPr>
        <w:pStyle w:val="6"/>
        <w:spacing w:line="360" w:lineRule="auto"/>
        <w:ind w:firstLine="643"/>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2.2服务期限</w:t>
      </w:r>
    </w:p>
    <w:p w14:paraId="6473E8D2">
      <w:pPr>
        <w:widowControl/>
        <w:spacing w:line="360" w:lineRule="auto"/>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自合同签订之日起，在采购人下达开工通知书后开始实施，</w:t>
      </w:r>
      <w:r>
        <w:rPr>
          <w:rFonts w:hint="eastAsia" w:ascii="宋体" w:hAnsi="宋体" w:eastAsia="宋体" w:cs="宋体"/>
          <w:color w:val="auto"/>
          <w:kern w:val="0"/>
          <w:sz w:val="24"/>
          <w:szCs w:val="24"/>
          <w:highlight w:val="none"/>
          <w:lang w:eastAsia="zh-CN"/>
        </w:rPr>
        <w:t>投标人</w:t>
      </w:r>
      <w:r>
        <w:rPr>
          <w:rFonts w:hint="eastAsia" w:ascii="宋体" w:hAnsi="宋体" w:eastAsia="宋体" w:cs="宋体"/>
          <w:color w:val="auto"/>
          <w:kern w:val="0"/>
          <w:sz w:val="24"/>
          <w:szCs w:val="24"/>
          <w:highlight w:val="none"/>
        </w:rPr>
        <w:t>需于60天内完成服务工作并交付安全服务成果。</w:t>
      </w:r>
    </w:p>
    <w:p w14:paraId="3847D83F">
      <w:pPr>
        <w:pStyle w:val="6"/>
        <w:spacing w:line="360" w:lineRule="auto"/>
        <w:ind w:firstLine="643"/>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2.3实施地点</w:t>
      </w:r>
    </w:p>
    <w:p w14:paraId="6FB853CC">
      <w:pPr>
        <w:widowControl/>
        <w:tabs>
          <w:tab w:val="left" w:pos="1280"/>
        </w:tabs>
        <w:spacing w:line="360" w:lineRule="auto"/>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采购人指定地点（海南省内）。</w:t>
      </w:r>
    </w:p>
    <w:p w14:paraId="69705C36">
      <w:pPr>
        <w:pStyle w:val="6"/>
        <w:spacing w:line="360" w:lineRule="auto"/>
        <w:ind w:firstLine="643"/>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2.4支付方式</w:t>
      </w:r>
    </w:p>
    <w:p w14:paraId="29F86518">
      <w:pPr>
        <w:spacing w:line="360" w:lineRule="auto"/>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1.本合同签订后，采购人待省财政资金下达后，采购人凭</w:t>
      </w:r>
      <w:r>
        <w:rPr>
          <w:rFonts w:hint="eastAsia" w:ascii="宋体" w:hAnsi="宋体" w:eastAsia="宋体" w:cs="宋体"/>
          <w:color w:val="auto"/>
          <w:kern w:val="0"/>
          <w:sz w:val="24"/>
          <w:szCs w:val="24"/>
          <w:highlight w:val="none"/>
          <w:lang w:eastAsia="zh-CN"/>
        </w:rPr>
        <w:t>测评单位</w:t>
      </w:r>
      <w:r>
        <w:rPr>
          <w:rFonts w:hint="eastAsia" w:ascii="宋体" w:hAnsi="宋体" w:eastAsia="宋体" w:cs="宋体"/>
          <w:color w:val="auto"/>
          <w:kern w:val="0"/>
          <w:sz w:val="24"/>
          <w:szCs w:val="24"/>
          <w:highlight w:val="none"/>
        </w:rPr>
        <w:t>开具的正式有效增值税普通发票在3个工作日内向</w:t>
      </w:r>
      <w:r>
        <w:rPr>
          <w:rFonts w:hint="eastAsia" w:ascii="宋体" w:hAnsi="宋体" w:eastAsia="宋体" w:cs="宋体"/>
          <w:color w:val="auto"/>
          <w:kern w:val="0"/>
          <w:sz w:val="24"/>
          <w:szCs w:val="24"/>
          <w:highlight w:val="none"/>
          <w:lang w:eastAsia="zh-CN"/>
        </w:rPr>
        <w:t>测评单位</w:t>
      </w:r>
      <w:r>
        <w:rPr>
          <w:rFonts w:hint="eastAsia" w:ascii="宋体" w:hAnsi="宋体" w:eastAsia="宋体" w:cs="宋体"/>
          <w:color w:val="auto"/>
          <w:kern w:val="0"/>
          <w:sz w:val="24"/>
          <w:szCs w:val="24"/>
          <w:highlight w:val="none"/>
        </w:rPr>
        <w:t>支付合同金额的30%预付款。</w:t>
      </w:r>
    </w:p>
    <w:p w14:paraId="1BBEB80C">
      <w:pPr>
        <w:spacing w:line="360" w:lineRule="auto"/>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2.本项目初验合格</w:t>
      </w:r>
      <w:r>
        <w:rPr>
          <w:rFonts w:hint="eastAsia" w:ascii="宋体" w:hAnsi="宋体" w:eastAsia="宋体" w:cs="宋体"/>
          <w:color w:val="auto"/>
          <w:kern w:val="0"/>
          <w:sz w:val="24"/>
          <w:szCs w:val="24"/>
          <w:highlight w:val="none"/>
          <w:lang w:eastAsia="zh-CN"/>
        </w:rPr>
        <w:t>，</w:t>
      </w:r>
      <w:r>
        <w:rPr>
          <w:rFonts w:hint="eastAsia" w:ascii="宋体" w:hAnsi="宋体" w:eastAsia="宋体" w:cs="仿宋"/>
          <w:color w:val="auto"/>
          <w:spacing w:val="6"/>
          <w:sz w:val="24"/>
          <w:szCs w:val="24"/>
          <w:highlight w:val="none"/>
          <w:lang w:val="en-US" w:eastAsia="zh-Hans"/>
        </w:rPr>
        <w:t>且</w:t>
      </w:r>
      <w:r>
        <w:rPr>
          <w:rFonts w:hint="eastAsia" w:ascii="宋体" w:hAnsi="宋体" w:eastAsia="宋体" w:cs="仿宋"/>
          <w:color w:val="auto"/>
          <w:spacing w:val="6"/>
          <w:sz w:val="24"/>
          <w:szCs w:val="24"/>
          <w:highlight w:val="none"/>
          <w:lang w:val="en-US" w:eastAsia="zh-CN"/>
        </w:rPr>
        <w:t>采购人</w:t>
      </w:r>
      <w:r>
        <w:rPr>
          <w:rFonts w:hint="eastAsia" w:ascii="宋体" w:hAnsi="宋体" w:eastAsia="宋体" w:cs="仿宋"/>
          <w:color w:val="auto"/>
          <w:spacing w:val="6"/>
          <w:sz w:val="24"/>
          <w:szCs w:val="24"/>
          <w:highlight w:val="none"/>
          <w:lang w:val="en-US" w:eastAsia="zh-Hans"/>
        </w:rPr>
        <w:t>确认</w:t>
      </w:r>
      <w:r>
        <w:rPr>
          <w:rFonts w:hint="eastAsia" w:ascii="宋体" w:hAnsi="宋体" w:eastAsia="宋体" w:cs="宋体"/>
          <w:color w:val="auto"/>
          <w:kern w:val="0"/>
          <w:sz w:val="24"/>
          <w:szCs w:val="24"/>
          <w:highlight w:val="none"/>
          <w:lang w:eastAsia="zh-CN"/>
        </w:rPr>
        <w:t>测评单位</w:t>
      </w:r>
      <w:r>
        <w:rPr>
          <w:rFonts w:hint="eastAsia" w:ascii="宋体" w:hAnsi="宋体" w:eastAsia="宋体" w:cs="仿宋"/>
          <w:color w:val="auto"/>
          <w:spacing w:val="6"/>
          <w:sz w:val="24"/>
          <w:szCs w:val="24"/>
          <w:highlight w:val="none"/>
          <w:lang w:val="en-US" w:eastAsia="zh-Hans"/>
        </w:rPr>
        <w:t>提供的</w:t>
      </w:r>
      <w:r>
        <w:rPr>
          <w:rFonts w:hint="eastAsia" w:ascii="宋体" w:hAnsi="宋体" w:eastAsia="宋体" w:cs="仿宋"/>
          <w:color w:val="auto"/>
          <w:spacing w:val="5"/>
          <w:sz w:val="24"/>
          <w:szCs w:val="24"/>
          <w:highlight w:val="none"/>
          <w:u w:val="single"/>
          <w:lang w:eastAsia="zh-CN"/>
        </w:rPr>
        <w:t>网络安全服务</w:t>
      </w:r>
      <w:r>
        <w:rPr>
          <w:rFonts w:hint="eastAsia" w:ascii="宋体" w:hAnsi="宋体" w:eastAsia="宋体" w:cs="仿宋"/>
          <w:color w:val="auto"/>
          <w:spacing w:val="5"/>
          <w:sz w:val="24"/>
          <w:szCs w:val="24"/>
          <w:highlight w:val="none"/>
          <w:u w:val="single"/>
          <w:lang w:val="en-US" w:eastAsia="zh-Hans"/>
        </w:rPr>
        <w:t>及服务成果符合要求</w:t>
      </w:r>
      <w:r>
        <w:rPr>
          <w:rFonts w:hint="default" w:ascii="宋体" w:hAnsi="宋体" w:eastAsia="宋体" w:cs="仿宋"/>
          <w:color w:val="auto"/>
          <w:spacing w:val="5"/>
          <w:sz w:val="24"/>
          <w:szCs w:val="24"/>
          <w:highlight w:val="none"/>
          <w:u w:val="single"/>
          <w:lang w:eastAsia="zh-Hans"/>
        </w:rPr>
        <w:t>，</w:t>
      </w:r>
      <w:r>
        <w:rPr>
          <w:rFonts w:hint="eastAsia" w:ascii="宋体" w:hAnsi="宋体" w:eastAsia="宋体" w:cs="宋体"/>
          <w:color w:val="auto"/>
          <w:kern w:val="0"/>
          <w:sz w:val="24"/>
          <w:szCs w:val="24"/>
          <w:highlight w:val="none"/>
        </w:rPr>
        <w:t>待省财政资金下达后，采购人在收到</w:t>
      </w:r>
      <w:r>
        <w:rPr>
          <w:rFonts w:hint="eastAsia" w:ascii="宋体" w:hAnsi="宋体" w:eastAsia="宋体" w:cs="宋体"/>
          <w:color w:val="auto"/>
          <w:kern w:val="0"/>
          <w:sz w:val="24"/>
          <w:szCs w:val="24"/>
          <w:highlight w:val="none"/>
          <w:lang w:eastAsia="zh-CN"/>
        </w:rPr>
        <w:t>测评单位</w:t>
      </w:r>
      <w:r>
        <w:rPr>
          <w:rFonts w:hint="eastAsia" w:ascii="宋体" w:hAnsi="宋体" w:eastAsia="宋体" w:cs="宋体"/>
          <w:color w:val="auto"/>
          <w:kern w:val="0"/>
          <w:sz w:val="24"/>
          <w:szCs w:val="24"/>
          <w:highlight w:val="none"/>
        </w:rPr>
        <w:t>开具的增值税普通发票之日起3个工作日内</w:t>
      </w:r>
      <w:r>
        <w:rPr>
          <w:rFonts w:hint="eastAsia" w:ascii="宋体" w:hAnsi="宋体" w:eastAsia="宋体" w:cs="宋体"/>
          <w:color w:val="auto"/>
          <w:kern w:val="0"/>
          <w:sz w:val="24"/>
          <w:szCs w:val="24"/>
          <w:highlight w:val="none"/>
          <w:lang w:eastAsia="zh-CN"/>
        </w:rPr>
        <w:t>，</w:t>
      </w:r>
      <w:r>
        <w:rPr>
          <w:rFonts w:hint="eastAsia" w:ascii="宋体" w:hAnsi="宋体" w:eastAsia="宋体" w:cs="宋体"/>
          <w:color w:val="auto"/>
          <w:kern w:val="0"/>
          <w:sz w:val="24"/>
          <w:szCs w:val="24"/>
          <w:highlight w:val="none"/>
        </w:rPr>
        <w:t>向</w:t>
      </w:r>
      <w:r>
        <w:rPr>
          <w:rFonts w:hint="eastAsia" w:ascii="宋体" w:hAnsi="宋体" w:eastAsia="宋体" w:cs="宋体"/>
          <w:color w:val="auto"/>
          <w:kern w:val="0"/>
          <w:sz w:val="24"/>
          <w:szCs w:val="24"/>
          <w:highlight w:val="none"/>
          <w:lang w:eastAsia="zh-CN"/>
        </w:rPr>
        <w:t>测评单位</w:t>
      </w:r>
      <w:r>
        <w:rPr>
          <w:rFonts w:hint="eastAsia" w:ascii="宋体" w:hAnsi="宋体" w:eastAsia="宋体" w:cs="宋体"/>
          <w:color w:val="auto"/>
          <w:kern w:val="0"/>
          <w:sz w:val="24"/>
          <w:szCs w:val="24"/>
          <w:highlight w:val="none"/>
        </w:rPr>
        <w:t>支付合同总金额的40% 。</w:t>
      </w:r>
    </w:p>
    <w:p w14:paraId="2E52AE4E">
      <w:pPr>
        <w:tabs>
          <w:tab w:val="left" w:pos="1280"/>
        </w:tabs>
        <w:spacing w:line="360" w:lineRule="auto"/>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3.本项目通过整体竣工验收</w:t>
      </w:r>
      <w:r>
        <w:rPr>
          <w:rFonts w:hint="eastAsia" w:ascii="宋体" w:hAnsi="宋体" w:eastAsia="宋体" w:cs="宋体"/>
          <w:color w:val="auto"/>
          <w:kern w:val="0"/>
          <w:sz w:val="24"/>
          <w:szCs w:val="24"/>
          <w:highlight w:val="none"/>
          <w:lang w:eastAsia="zh-CN"/>
        </w:rPr>
        <w:t>，</w:t>
      </w:r>
      <w:r>
        <w:rPr>
          <w:rFonts w:hint="eastAsia" w:ascii="宋体" w:hAnsi="宋体" w:eastAsia="宋体" w:cs="仿宋"/>
          <w:color w:val="auto"/>
          <w:spacing w:val="6"/>
          <w:sz w:val="24"/>
          <w:szCs w:val="24"/>
          <w:highlight w:val="none"/>
          <w:lang w:val="en-US" w:eastAsia="zh-Hans"/>
        </w:rPr>
        <w:t>且</w:t>
      </w:r>
      <w:r>
        <w:rPr>
          <w:rFonts w:hint="eastAsia" w:ascii="宋体" w:hAnsi="宋体" w:eastAsia="宋体" w:cs="仿宋"/>
          <w:color w:val="auto"/>
          <w:spacing w:val="6"/>
          <w:sz w:val="24"/>
          <w:szCs w:val="24"/>
          <w:highlight w:val="none"/>
          <w:lang w:val="en-US" w:eastAsia="zh-CN"/>
        </w:rPr>
        <w:t>采购人</w:t>
      </w:r>
      <w:r>
        <w:rPr>
          <w:rFonts w:hint="eastAsia" w:ascii="宋体" w:hAnsi="宋体" w:eastAsia="宋体" w:cs="仿宋"/>
          <w:color w:val="auto"/>
          <w:spacing w:val="6"/>
          <w:sz w:val="24"/>
          <w:szCs w:val="24"/>
          <w:highlight w:val="none"/>
          <w:lang w:val="en-US" w:eastAsia="zh-Hans"/>
        </w:rPr>
        <w:t>确认</w:t>
      </w:r>
      <w:r>
        <w:rPr>
          <w:rFonts w:hint="eastAsia" w:ascii="宋体" w:hAnsi="宋体" w:eastAsia="宋体" w:cs="宋体"/>
          <w:color w:val="auto"/>
          <w:kern w:val="0"/>
          <w:sz w:val="24"/>
          <w:szCs w:val="24"/>
          <w:highlight w:val="none"/>
          <w:lang w:eastAsia="zh-CN"/>
        </w:rPr>
        <w:t>测评单位</w:t>
      </w:r>
      <w:r>
        <w:rPr>
          <w:rFonts w:hint="eastAsia" w:ascii="宋体" w:hAnsi="宋体" w:eastAsia="宋体" w:cs="仿宋"/>
          <w:color w:val="auto"/>
          <w:spacing w:val="6"/>
          <w:sz w:val="24"/>
          <w:szCs w:val="24"/>
          <w:highlight w:val="none"/>
          <w:lang w:val="en-US" w:eastAsia="zh-Hans"/>
        </w:rPr>
        <w:t>提供的</w:t>
      </w:r>
      <w:r>
        <w:rPr>
          <w:rFonts w:hint="eastAsia" w:ascii="宋体" w:hAnsi="宋体" w:eastAsia="宋体" w:cs="仿宋"/>
          <w:color w:val="auto"/>
          <w:spacing w:val="5"/>
          <w:sz w:val="24"/>
          <w:szCs w:val="24"/>
          <w:highlight w:val="none"/>
          <w:u w:val="single"/>
          <w:lang w:eastAsia="zh-CN"/>
        </w:rPr>
        <w:t>网络安全服务</w:t>
      </w:r>
      <w:r>
        <w:rPr>
          <w:rFonts w:hint="eastAsia" w:ascii="宋体" w:hAnsi="宋体" w:eastAsia="宋体" w:cs="仿宋"/>
          <w:color w:val="auto"/>
          <w:spacing w:val="5"/>
          <w:sz w:val="24"/>
          <w:szCs w:val="24"/>
          <w:highlight w:val="none"/>
          <w:u w:val="single"/>
          <w:lang w:val="en-US" w:eastAsia="zh-Hans"/>
        </w:rPr>
        <w:t>及服务成果符合要求</w:t>
      </w:r>
      <w:r>
        <w:rPr>
          <w:rFonts w:hint="default" w:ascii="宋体" w:hAnsi="宋体" w:eastAsia="宋体" w:cs="仿宋"/>
          <w:color w:val="auto"/>
          <w:spacing w:val="5"/>
          <w:sz w:val="24"/>
          <w:szCs w:val="24"/>
          <w:highlight w:val="none"/>
          <w:u w:val="single"/>
          <w:lang w:eastAsia="zh-Hans"/>
        </w:rPr>
        <w:t>，</w:t>
      </w:r>
      <w:r>
        <w:rPr>
          <w:rFonts w:hint="eastAsia" w:ascii="宋体" w:hAnsi="宋体" w:eastAsia="宋体" w:cs="宋体"/>
          <w:color w:val="auto"/>
          <w:kern w:val="0"/>
          <w:sz w:val="24"/>
          <w:szCs w:val="24"/>
          <w:highlight w:val="none"/>
        </w:rPr>
        <w:t>待省财政资金下达后，采购人在收到</w:t>
      </w:r>
      <w:r>
        <w:rPr>
          <w:rFonts w:hint="eastAsia" w:ascii="宋体" w:hAnsi="宋体" w:eastAsia="宋体" w:cs="宋体"/>
          <w:color w:val="auto"/>
          <w:kern w:val="0"/>
          <w:sz w:val="24"/>
          <w:szCs w:val="24"/>
          <w:highlight w:val="none"/>
          <w:lang w:eastAsia="zh-CN"/>
        </w:rPr>
        <w:t>测评单位</w:t>
      </w:r>
      <w:r>
        <w:rPr>
          <w:rFonts w:hint="eastAsia" w:ascii="宋体" w:hAnsi="宋体" w:eastAsia="宋体" w:cs="宋体"/>
          <w:color w:val="auto"/>
          <w:kern w:val="0"/>
          <w:sz w:val="24"/>
          <w:szCs w:val="24"/>
          <w:highlight w:val="none"/>
        </w:rPr>
        <w:t>开具的增值税普通发票之日起3个工作日内</w:t>
      </w:r>
      <w:r>
        <w:rPr>
          <w:rFonts w:hint="eastAsia" w:ascii="宋体" w:hAnsi="宋体" w:eastAsia="宋体" w:cs="宋体"/>
          <w:color w:val="auto"/>
          <w:kern w:val="0"/>
          <w:sz w:val="24"/>
          <w:szCs w:val="24"/>
          <w:highlight w:val="none"/>
          <w:lang w:eastAsia="zh-CN"/>
        </w:rPr>
        <w:t>，</w:t>
      </w:r>
      <w:r>
        <w:rPr>
          <w:rFonts w:hint="eastAsia" w:ascii="宋体" w:hAnsi="宋体" w:eastAsia="宋体" w:cs="宋体"/>
          <w:color w:val="auto"/>
          <w:kern w:val="0"/>
          <w:sz w:val="24"/>
          <w:szCs w:val="24"/>
          <w:highlight w:val="none"/>
        </w:rPr>
        <w:t>向</w:t>
      </w:r>
      <w:r>
        <w:rPr>
          <w:rFonts w:hint="eastAsia" w:ascii="宋体" w:hAnsi="宋体" w:eastAsia="宋体" w:cs="宋体"/>
          <w:color w:val="auto"/>
          <w:kern w:val="0"/>
          <w:sz w:val="24"/>
          <w:szCs w:val="24"/>
          <w:highlight w:val="none"/>
          <w:lang w:eastAsia="zh-CN"/>
        </w:rPr>
        <w:t>测评单位</w:t>
      </w:r>
      <w:r>
        <w:rPr>
          <w:rFonts w:hint="eastAsia" w:ascii="宋体" w:hAnsi="宋体" w:eastAsia="宋体" w:cs="宋体"/>
          <w:color w:val="auto"/>
          <w:kern w:val="0"/>
          <w:sz w:val="24"/>
          <w:szCs w:val="24"/>
          <w:highlight w:val="none"/>
        </w:rPr>
        <w:t>支付合同总金额的30%。</w:t>
      </w:r>
    </w:p>
    <w:p w14:paraId="6E773BB5">
      <w:pPr>
        <w:spacing w:line="360" w:lineRule="auto"/>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注：测评单位每次申请付款应提供付款申请书、符合采购人要求的等额发票及采购人报账所必须的相关材料。测评单位申请付款时，如测评单位提供的材料不完整、不真实，采购人有权暂缓付款而不视为违约。</w:t>
      </w:r>
    </w:p>
    <w:p w14:paraId="22A391D4">
      <w:pPr>
        <w:spacing w:line="360" w:lineRule="auto"/>
        <w:ind w:firstLine="480" w:firstLineChars="200"/>
        <w:rPr>
          <w:rFonts w:hint="eastAsia" w:ascii="宋体" w:hAnsi="宋体" w:eastAsia="宋体" w:cs="宋体"/>
          <w:color w:val="auto"/>
          <w:kern w:val="0"/>
          <w:sz w:val="24"/>
          <w:szCs w:val="24"/>
          <w:highlight w:val="none"/>
        </w:rPr>
      </w:pPr>
    </w:p>
    <w:p w14:paraId="7A95790B">
      <w:pPr>
        <w:pStyle w:val="6"/>
        <w:spacing w:line="360" w:lineRule="auto"/>
        <w:ind w:firstLine="643"/>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2.5其它相关要求</w:t>
      </w:r>
    </w:p>
    <w:p w14:paraId="701D838A">
      <w:pPr>
        <w:pStyle w:val="7"/>
        <w:spacing w:line="360" w:lineRule="auto"/>
        <w:ind w:firstLine="643"/>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2.5.1项目组人员要求</w:t>
      </w:r>
    </w:p>
    <w:p w14:paraId="49D41B74">
      <w:pPr>
        <w:pStyle w:val="22"/>
        <w:spacing w:line="360" w:lineRule="auto"/>
        <w:ind w:firstLine="640"/>
        <w:rPr>
          <w:rFonts w:hint="eastAsia" w:ascii="宋体" w:hAnsi="宋体" w:eastAsia="宋体" w:cs="宋体"/>
          <w:color w:val="auto"/>
          <w:kern w:val="28"/>
          <w:sz w:val="24"/>
          <w:szCs w:val="24"/>
          <w:highlight w:val="none"/>
        </w:rPr>
      </w:pPr>
      <w:r>
        <w:rPr>
          <w:rFonts w:hint="eastAsia" w:ascii="宋体" w:hAnsi="宋体" w:eastAsia="宋体" w:cs="宋体"/>
          <w:color w:val="auto"/>
          <w:kern w:val="28"/>
          <w:sz w:val="24"/>
          <w:szCs w:val="24"/>
          <w:highlight w:val="none"/>
        </w:rPr>
        <w:t>1、服务单位须根据项目特点和实际情况，提出项目团队配置方案，包括团队成员、组织架构和分组分工等，满足项目服务实施的需要。</w:t>
      </w:r>
    </w:p>
    <w:p w14:paraId="00453309">
      <w:pPr>
        <w:keepNext w:val="0"/>
        <w:keepLines w:val="0"/>
        <w:widowControl w:val="0"/>
        <w:suppressLineNumbers w:val="0"/>
        <w:adjustRightInd w:val="0"/>
        <w:snapToGrid w:val="0"/>
        <w:spacing w:before="0" w:beforeAutospacing="0" w:after="0" w:afterAutospacing="0" w:line="360" w:lineRule="auto"/>
        <w:ind w:left="0" w:right="0" w:firstLine="480" w:firstLineChars="200"/>
        <w:jc w:val="both"/>
        <w:rPr>
          <w:rFonts w:hint="eastAsia" w:ascii="宋体" w:hAnsi="宋体" w:eastAsia="宋体" w:cs="宋体"/>
          <w:b/>
          <w:bCs/>
          <w:color w:val="auto"/>
          <w:kern w:val="2"/>
          <w:sz w:val="24"/>
          <w:szCs w:val="24"/>
          <w:highlight w:val="none"/>
          <w:u w:val="single" w:color="FF0000"/>
          <w:lang w:val="en-US" w:eastAsia="zh-CN" w:bidi="ar"/>
        </w:rPr>
      </w:pPr>
      <w:r>
        <w:rPr>
          <w:rFonts w:hint="eastAsia" w:ascii="宋体" w:hAnsi="宋体" w:eastAsia="宋体" w:cs="宋体"/>
          <w:color w:val="auto"/>
          <w:kern w:val="28"/>
          <w:sz w:val="24"/>
          <w:szCs w:val="24"/>
          <w:highlight w:val="none"/>
        </w:rPr>
        <w:t>2、</w:t>
      </w:r>
      <w:r>
        <w:rPr>
          <w:rFonts w:hint="eastAsia" w:ascii="宋体" w:hAnsi="宋体" w:eastAsia="宋体" w:cs="宋体"/>
          <w:color w:val="auto"/>
          <w:kern w:val="2"/>
          <w:sz w:val="24"/>
          <w:szCs w:val="24"/>
          <w:highlight w:val="none"/>
          <w:lang w:val="en-US" w:eastAsia="zh-CN" w:bidi="ar"/>
        </w:rPr>
        <w:t>项目团队成员应不少于1名项目经理、4名项目团队人员。</w:t>
      </w:r>
      <w:r>
        <w:rPr>
          <w:rFonts w:hint="eastAsia" w:ascii="宋体" w:hAnsi="宋体" w:eastAsia="宋体" w:cs="宋体"/>
          <w:color w:val="auto"/>
          <w:kern w:val="2"/>
          <w:sz w:val="24"/>
          <w:szCs w:val="24"/>
          <w:highlight w:val="none"/>
          <w:u w:val="single" w:color="FF0000"/>
          <w:lang w:val="en-US" w:eastAsia="zh-CN" w:bidi="ar"/>
        </w:rPr>
        <w:t>所有人员必须属于测评单位在册员工</w:t>
      </w:r>
      <w:r>
        <w:rPr>
          <w:rFonts w:hint="eastAsia" w:ascii="宋体" w:hAnsi="宋体" w:eastAsia="宋体" w:cs="宋体"/>
          <w:b/>
          <w:bCs/>
          <w:color w:val="auto"/>
          <w:kern w:val="2"/>
          <w:sz w:val="24"/>
          <w:szCs w:val="24"/>
          <w:highlight w:val="none"/>
          <w:u w:val="single" w:color="FF0000"/>
          <w:lang w:val="en-US" w:eastAsia="zh-CN" w:bidi="ar"/>
        </w:rPr>
        <w:t>（提供社保缴纳证明为认定依据或出具承诺函）</w:t>
      </w:r>
      <w:r>
        <w:rPr>
          <w:rFonts w:hint="eastAsia" w:ascii="宋体" w:hAnsi="宋体" w:eastAsia="宋体" w:cs="宋体"/>
          <w:color w:val="auto"/>
          <w:kern w:val="2"/>
          <w:sz w:val="24"/>
          <w:szCs w:val="24"/>
          <w:highlight w:val="none"/>
          <w:u w:val="single" w:color="FF0000"/>
          <w:lang w:val="en-US" w:eastAsia="zh-CN" w:bidi="ar"/>
        </w:rPr>
        <w:t>，并提供相应人员相关简历信息</w:t>
      </w:r>
      <w:r>
        <w:rPr>
          <w:rFonts w:hint="eastAsia" w:ascii="宋体" w:hAnsi="宋体" w:eastAsia="宋体" w:cs="宋体"/>
          <w:b/>
          <w:bCs/>
          <w:color w:val="auto"/>
          <w:kern w:val="2"/>
          <w:sz w:val="24"/>
          <w:szCs w:val="24"/>
          <w:highlight w:val="none"/>
          <w:u w:val="single" w:color="FF0000"/>
          <w:lang w:val="en-US" w:eastAsia="zh-CN" w:bidi="ar"/>
        </w:rPr>
        <w:t>（包含所学专业、学历等证明材料），相关证明须加盖投标人单位公章</w:t>
      </w:r>
      <w:r>
        <w:rPr>
          <w:rFonts w:hint="eastAsia" w:ascii="宋体" w:hAnsi="宋体" w:eastAsia="宋体" w:cs="宋体"/>
          <w:color w:val="auto"/>
          <w:kern w:val="2"/>
          <w:sz w:val="24"/>
          <w:szCs w:val="24"/>
          <w:highlight w:val="none"/>
          <w:u w:val="single" w:color="FF0000"/>
          <w:lang w:val="en-US" w:eastAsia="zh-CN" w:bidi="ar"/>
        </w:rPr>
        <w:t>。合同签订后根据采购人实际需要派驻相关资历人员驻场开展服务。</w:t>
      </w:r>
    </w:p>
    <w:p w14:paraId="21AF6D18">
      <w:pPr>
        <w:keepNext w:val="0"/>
        <w:keepLines w:val="0"/>
        <w:widowControl w:val="0"/>
        <w:suppressLineNumbers w:val="0"/>
        <w:adjustRightInd w:val="0"/>
        <w:snapToGrid w:val="0"/>
        <w:spacing w:before="0" w:beforeAutospacing="0" w:after="0" w:afterAutospacing="0" w:line="360" w:lineRule="auto"/>
        <w:ind w:left="0" w:right="0" w:firstLine="480" w:firstLineChars="200"/>
        <w:jc w:val="both"/>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lang w:val="en-US" w:eastAsia="zh-CN" w:bidi="ar"/>
        </w:rPr>
        <w:t>3、</w:t>
      </w:r>
      <w:r>
        <w:rPr>
          <w:rFonts w:hint="eastAsia" w:ascii="宋体" w:hAnsi="宋体" w:eastAsia="宋体" w:cs="宋体"/>
          <w:color w:val="auto"/>
          <w:kern w:val="28"/>
          <w:sz w:val="24"/>
          <w:szCs w:val="24"/>
          <w:highlight w:val="none"/>
          <w:lang w:val="en-US" w:eastAsia="zh-CN" w:bidi="ar"/>
        </w:rPr>
        <w:t>合同签订后根据采购人实际需求派驻相关资历人员驻场开展服务直至项目验收，驻场地点由采购人指定。</w:t>
      </w:r>
      <w:r>
        <w:rPr>
          <w:rFonts w:hint="eastAsia" w:ascii="宋体" w:hAnsi="宋体" w:eastAsia="宋体" w:cs="宋体"/>
          <w:color w:val="auto"/>
          <w:kern w:val="2"/>
          <w:sz w:val="24"/>
          <w:szCs w:val="24"/>
          <w:highlight w:val="none"/>
          <w:lang w:val="en-US" w:eastAsia="zh-CN" w:bidi="ar"/>
        </w:rPr>
        <w:t>如实际提供的项目团队与投标提供的团队名单材料不符，将视为虚假应标。若采购人认为项目经理或团队成员能力与工作所要求的能力不相称而提出更换时，测评单位必须予以更换，人员更换不得影响测评成果交付时间；测评单位单方面更换项目经理或团队成员必须经采购单位书面同意，否则按违约处理直至合同终止。</w:t>
      </w:r>
    </w:p>
    <w:p w14:paraId="7EDE6F5E">
      <w:pPr>
        <w:widowControl w:val="0"/>
        <w:adjustRightInd/>
        <w:snapToGrid/>
        <w:spacing w:line="360" w:lineRule="auto"/>
        <w:ind w:firstLine="480" w:firstLineChars="200"/>
        <w:jc w:val="both"/>
        <w:rPr>
          <w:rFonts w:hint="eastAsia" w:ascii="宋体" w:hAnsi="宋体" w:eastAsia="宋体" w:cs="宋体"/>
          <w:color w:val="auto"/>
          <w:kern w:val="28"/>
          <w:sz w:val="24"/>
          <w:szCs w:val="24"/>
          <w:highlight w:val="none"/>
        </w:rPr>
      </w:pPr>
      <w:r>
        <w:rPr>
          <w:rFonts w:hint="eastAsia" w:ascii="宋体" w:hAnsi="宋体" w:eastAsia="宋体" w:cs="宋体"/>
          <w:color w:val="auto"/>
          <w:kern w:val="2"/>
          <w:sz w:val="24"/>
          <w:szCs w:val="24"/>
          <w:highlight w:val="none"/>
          <w:lang w:val="en-US" w:eastAsia="zh-CN" w:bidi="ar"/>
        </w:rPr>
        <w:t>4、</w:t>
      </w:r>
      <w:r>
        <w:rPr>
          <w:rFonts w:hint="eastAsia" w:ascii="宋体" w:hAnsi="宋体" w:eastAsia="宋体" w:cs="宋体"/>
          <w:color w:val="auto"/>
          <w:kern w:val="28"/>
          <w:sz w:val="24"/>
          <w:szCs w:val="24"/>
          <w:highlight w:val="none"/>
          <w:lang w:val="en-US" w:eastAsia="zh-CN" w:bidi="ar"/>
        </w:rPr>
        <w:t>项目团队实施中提供7×8小时咨询服务。项目验收后提供1年的跟踪咨询服务，自项目验收通过之日起计算。在实施单位提出服务请求时，项目团队应在30分钟内响应，在24个小时内提供解决方案。</w:t>
      </w:r>
    </w:p>
    <w:p w14:paraId="36565D2A">
      <w:pPr>
        <w:pStyle w:val="7"/>
        <w:spacing w:line="360" w:lineRule="auto"/>
        <w:ind w:firstLine="643"/>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2.5.2工作要求</w:t>
      </w:r>
    </w:p>
    <w:p w14:paraId="1D78C443">
      <w:pPr>
        <w:widowControl/>
        <w:spacing w:line="360" w:lineRule="auto"/>
        <w:ind w:firstLine="480" w:firstLineChars="200"/>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sz w:val="24"/>
          <w:szCs w:val="24"/>
          <w:highlight w:val="none"/>
        </w:rPr>
        <w:t>1、提供详细的项目服务实施方案和计划进度说明书</w:t>
      </w:r>
      <w:r>
        <w:rPr>
          <w:rFonts w:hint="eastAsia" w:ascii="宋体" w:hAnsi="宋体" w:eastAsia="宋体" w:cs="宋体"/>
          <w:color w:val="auto"/>
          <w:kern w:val="0"/>
          <w:sz w:val="24"/>
          <w:szCs w:val="24"/>
          <w:highlight w:val="none"/>
        </w:rPr>
        <w:t>。</w:t>
      </w:r>
    </w:p>
    <w:p w14:paraId="1E61B21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2、项目实施完成后提供可靠的后期服务工作；</w:t>
      </w:r>
    </w:p>
    <w:p w14:paraId="2B2C517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3、严格按照双方确定的计划进度保质保量完成工作；</w:t>
      </w:r>
    </w:p>
    <w:p w14:paraId="2D2AEF2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4、规范项目实施过程中的文档管理；</w:t>
      </w:r>
    </w:p>
    <w:p w14:paraId="4FA4E35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5、提供必要的增值服务：配合省信息化主管部门开展本项目电子政务工程项目绩效评价考核、跟踪监督及项目档案事后监督等工作。</w:t>
      </w:r>
    </w:p>
    <w:p w14:paraId="6B085B97">
      <w:pPr>
        <w:spacing w:line="360" w:lineRule="auto"/>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6、在</w:t>
      </w:r>
      <w:r>
        <w:rPr>
          <w:rFonts w:hint="eastAsia" w:ascii="宋体" w:hAnsi="宋体" w:eastAsia="宋体" w:cs="宋体"/>
          <w:color w:val="auto"/>
          <w:sz w:val="24"/>
          <w:szCs w:val="24"/>
          <w:highlight w:val="none"/>
          <w:lang w:eastAsia="zh-CN"/>
        </w:rPr>
        <w:t>海南智慧健康岛建设工程项目</w:t>
      </w:r>
      <w:r>
        <w:rPr>
          <w:rFonts w:hint="eastAsia" w:ascii="宋体" w:hAnsi="宋体" w:eastAsia="宋体" w:cs="宋体"/>
          <w:color w:val="auto"/>
          <w:sz w:val="24"/>
          <w:szCs w:val="24"/>
          <w:highlight w:val="none"/>
        </w:rPr>
        <w:t>竣工验收阶段，对信息化主管部门及专家提出的涉及本项目软件系统整改意见的，服务单位应积极配合就整改后的应用系统进行再次代码审计</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渗透测试服务</w:t>
      </w:r>
      <w:r>
        <w:rPr>
          <w:rFonts w:hint="eastAsia" w:ascii="宋体" w:hAnsi="宋体" w:eastAsia="宋体" w:cs="宋体"/>
          <w:color w:val="auto"/>
          <w:sz w:val="24"/>
          <w:szCs w:val="24"/>
          <w:highlight w:val="none"/>
        </w:rPr>
        <w:t>，并出具最终报告，确保项目质量。</w:t>
      </w:r>
    </w:p>
    <w:p w14:paraId="332C7ED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bCs w:val="0"/>
          <w:color w:val="auto"/>
          <w:kern w:val="2"/>
          <w:sz w:val="24"/>
          <w:szCs w:val="24"/>
          <w:highlight w:val="none"/>
          <w:lang w:val="en-US" w:eastAsia="zh-CN" w:bidi="ar"/>
        </w:rPr>
        <w:t>7、根据《关于进一步加强信息安全等级保护工作的通知》（琼等保办〔2013〕2号），本着实际安全保障需要和本项目现有安全防护手段，本项目需根据《海南省政务信息化项目建设管理实施细则（暂行）》要求，开展代码审计、渗透性测试等网络安全服务。</w:t>
      </w:r>
    </w:p>
    <w:p w14:paraId="6DF44C40">
      <w:pPr>
        <w:spacing w:line="360" w:lineRule="auto"/>
        <w:ind w:firstLine="480"/>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2.5.2安全保密要求</w:t>
      </w:r>
    </w:p>
    <w:p w14:paraId="4C127CC3">
      <w:pPr>
        <w:tabs>
          <w:tab w:val="left" w:pos="312"/>
        </w:tabs>
        <w:spacing w:line="360" w:lineRule="auto"/>
        <w:ind w:firstLine="480" w:firstLineChars="200"/>
        <w:rPr>
          <w:rFonts w:hint="eastAsia" w:ascii="宋体" w:hAnsi="宋体" w:eastAsia="宋体" w:cs="宋体"/>
          <w:color w:val="auto"/>
          <w:kern w:val="28"/>
          <w:sz w:val="24"/>
          <w:szCs w:val="24"/>
          <w:highlight w:val="none"/>
        </w:rPr>
      </w:pPr>
      <w:r>
        <w:rPr>
          <w:rFonts w:hint="eastAsia" w:ascii="宋体" w:hAnsi="宋体" w:eastAsia="宋体" w:cs="宋体"/>
          <w:color w:val="auto"/>
          <w:kern w:val="28"/>
          <w:sz w:val="24"/>
          <w:szCs w:val="24"/>
          <w:highlight w:val="none"/>
        </w:rPr>
        <w:t>要求服务单位制定服务安全保密制度，确定项目保密责任人，同时要求服务单位：</w:t>
      </w:r>
    </w:p>
    <w:p w14:paraId="5209F41B">
      <w:pPr>
        <w:tabs>
          <w:tab w:val="left" w:pos="312"/>
        </w:tabs>
        <w:spacing w:line="360" w:lineRule="auto"/>
        <w:ind w:firstLine="480" w:firstLineChars="200"/>
        <w:rPr>
          <w:rFonts w:hint="eastAsia" w:ascii="宋体" w:hAnsi="宋体" w:eastAsia="宋体" w:cs="宋体"/>
          <w:color w:val="auto"/>
          <w:kern w:val="28"/>
          <w:sz w:val="24"/>
          <w:szCs w:val="24"/>
          <w:highlight w:val="none"/>
        </w:rPr>
      </w:pPr>
      <w:r>
        <w:rPr>
          <w:rFonts w:hint="eastAsia" w:ascii="宋体" w:hAnsi="宋体" w:eastAsia="宋体" w:cs="宋体"/>
          <w:color w:val="auto"/>
          <w:kern w:val="28"/>
          <w:sz w:val="24"/>
          <w:szCs w:val="24"/>
          <w:highlight w:val="none"/>
        </w:rPr>
        <w:t>1、按照国家和海南省有关保密规定，与采购单位签订保密协议，参与服务的工作人员签订保密承诺函；</w:t>
      </w:r>
    </w:p>
    <w:p w14:paraId="374DB533">
      <w:pPr>
        <w:tabs>
          <w:tab w:val="left" w:pos="312"/>
        </w:tabs>
        <w:spacing w:line="360" w:lineRule="auto"/>
        <w:ind w:firstLine="480" w:firstLineChars="200"/>
        <w:rPr>
          <w:rFonts w:hint="eastAsia" w:ascii="宋体" w:hAnsi="宋体" w:eastAsia="宋体" w:cs="宋体"/>
          <w:color w:val="auto"/>
          <w:kern w:val="28"/>
          <w:sz w:val="24"/>
          <w:szCs w:val="24"/>
          <w:highlight w:val="none"/>
        </w:rPr>
      </w:pPr>
      <w:r>
        <w:rPr>
          <w:rFonts w:hint="eastAsia" w:ascii="宋体" w:hAnsi="宋体" w:eastAsia="宋体" w:cs="宋体"/>
          <w:color w:val="auto"/>
          <w:kern w:val="28"/>
          <w:sz w:val="24"/>
          <w:szCs w:val="24"/>
          <w:highlight w:val="none"/>
        </w:rPr>
        <w:t>2、严格履行保密职责，按照保密规定开展工作。</w:t>
      </w:r>
    </w:p>
    <w:p w14:paraId="24D805B8">
      <w:pPr>
        <w:pStyle w:val="7"/>
        <w:spacing w:line="360" w:lineRule="auto"/>
        <w:ind w:firstLine="643"/>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2.5.3售后服务要求</w:t>
      </w:r>
    </w:p>
    <w:p w14:paraId="6D0363E8">
      <w:pPr>
        <w:pStyle w:val="22"/>
        <w:spacing w:line="360" w:lineRule="auto"/>
        <w:ind w:firstLine="640"/>
        <w:rPr>
          <w:rFonts w:hint="eastAsia" w:ascii="宋体" w:hAnsi="宋体" w:eastAsia="宋体" w:cs="宋体"/>
          <w:color w:val="auto"/>
          <w:kern w:val="28"/>
          <w:sz w:val="24"/>
          <w:szCs w:val="24"/>
          <w:highlight w:val="none"/>
        </w:rPr>
      </w:pPr>
      <w:r>
        <w:rPr>
          <w:rFonts w:hint="eastAsia" w:ascii="宋体" w:hAnsi="宋体" w:eastAsia="宋体" w:cs="宋体"/>
          <w:color w:val="auto"/>
          <w:kern w:val="28"/>
          <w:sz w:val="24"/>
          <w:szCs w:val="24"/>
          <w:highlight w:val="none"/>
        </w:rPr>
        <w:t>服务单位需根据代码审计和</w:t>
      </w:r>
      <w:r>
        <w:rPr>
          <w:rFonts w:hint="eastAsia" w:ascii="宋体" w:hAnsi="宋体" w:eastAsia="宋体" w:cs="宋体"/>
          <w:color w:val="auto"/>
          <w:kern w:val="28"/>
          <w:sz w:val="24"/>
          <w:szCs w:val="24"/>
          <w:highlight w:val="none"/>
          <w:lang w:val="en-US" w:eastAsia="zh-CN"/>
        </w:rPr>
        <w:t>渗透测试</w:t>
      </w:r>
      <w:r>
        <w:rPr>
          <w:rFonts w:hint="eastAsia" w:ascii="宋体" w:hAnsi="宋体" w:eastAsia="宋体" w:cs="宋体"/>
          <w:color w:val="auto"/>
          <w:kern w:val="28"/>
          <w:sz w:val="24"/>
          <w:szCs w:val="24"/>
          <w:highlight w:val="none"/>
        </w:rPr>
        <w:t>结果，应针对性的提出整改建议方案，根据提出的整改建议方案指导采购单位针对存在的问题进行整改，整改完成后提供全面问题复查，提供整改复核服务。</w:t>
      </w:r>
    </w:p>
    <w:p w14:paraId="0D782820">
      <w:pPr>
        <w:pStyle w:val="22"/>
        <w:spacing w:line="360" w:lineRule="auto"/>
        <w:ind w:firstLine="640"/>
        <w:rPr>
          <w:rFonts w:hint="eastAsia" w:ascii="宋体" w:hAnsi="宋体" w:eastAsia="宋体" w:cs="宋体"/>
          <w:color w:val="auto"/>
          <w:sz w:val="24"/>
          <w:szCs w:val="24"/>
          <w:highlight w:val="none"/>
        </w:rPr>
      </w:pPr>
      <w:r>
        <w:rPr>
          <w:rFonts w:hint="eastAsia" w:ascii="宋体" w:hAnsi="宋体" w:eastAsia="宋体" w:cs="宋体"/>
          <w:color w:val="auto"/>
          <w:kern w:val="28"/>
          <w:sz w:val="24"/>
          <w:szCs w:val="24"/>
          <w:highlight w:val="none"/>
        </w:rPr>
        <w:t>在整改实施过程中，服务单位应全力支持，负责技术把关、整改验收以及其他咨询工作。售后服务期限截至服务成果符合相关要求。如采购单位或主管部门对相关成果提出质疑，服务单位应根据采购单位要求提供无条件的到场服务直至相关成果满足相关要求。</w:t>
      </w:r>
    </w:p>
    <w:sectPr>
      <w:footerReference r:id="rId5" w:type="default"/>
      <w:pgSz w:w="11906" w:h="16839"/>
      <w:pgMar w:top="1201" w:right="1409" w:bottom="485" w:left="1425" w:header="0" w:footer="175" w:gutter="0"/>
      <w:pgNumType w:fmt="decimal"/>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F"/>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1AFBFBE">
    <w:pPr>
      <w:pStyle w:val="12"/>
      <w:spacing w:line="231" w:lineRule="auto"/>
      <w:ind w:left="4353"/>
    </w:pPr>
    <w:r>
      <w:rPr>
        <w:sz w:val="24"/>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D88DBF3">
                          <w:pPr>
                            <w:pStyle w:val="13"/>
                          </w:pPr>
                          <w:r>
                            <w:fldChar w:fldCharType="begin"/>
                          </w:r>
                          <w:r>
                            <w:instrText xml:space="preserve"> PAGE  \* MERGEFORMAT </w:instrText>
                          </w:r>
                          <w:r>
                            <w:fldChar w:fldCharType="separate"/>
                          </w:r>
                          <w:r>
                            <w:t>11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KVIPQyAgAAYQQAAA4AAABkcnMvZTJvRG9jLnhtbK1UzY7TMBC+I/EO&#10;lu80aRGrbt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ApUg9DICAABhBAAADgAAAAAAAAABACAAAAAfAQAAZHJzL2Uyb0RvYy54bWxQSwUG&#10;AAAAAAYABgBZAQAAwwUAAAAA&#10;">
              <v:fill on="f" focussize="0,0"/>
              <v:stroke on="f" weight="0.5pt"/>
              <v:imagedata o:title=""/>
              <o:lock v:ext="edit" aspectratio="f"/>
              <v:textbox inset="0mm,0mm,0mm,0mm" style="mso-fit-shape-to-text:t;">
                <w:txbxContent>
                  <w:p w14:paraId="3D88DBF3">
                    <w:pPr>
                      <w:pStyle w:val="13"/>
                    </w:pPr>
                    <w:r>
                      <w:fldChar w:fldCharType="begin"/>
                    </w:r>
                    <w:r>
                      <w:instrText xml:space="preserve"> PAGE  \* MERGEFORMAT </w:instrText>
                    </w:r>
                    <w:r>
                      <w:fldChar w:fldCharType="separate"/>
                    </w:r>
                    <w:r>
                      <w:t>11</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C545D2B"/>
    <w:multiLevelType w:val="multilevel"/>
    <w:tmpl w:val="5C545D2B"/>
    <w:lvl w:ilvl="0" w:tentative="0">
      <w:start w:val="1"/>
      <w:numFmt w:val="bullet"/>
      <w:lvlText w:val=""/>
      <w:lvlJc w:val="left"/>
      <w:pPr>
        <w:ind w:left="900" w:hanging="420"/>
      </w:pPr>
      <w:rPr>
        <w:rFonts w:hint="default" w:ascii="Wingdings" w:hAnsi="Wingdings"/>
      </w:rPr>
    </w:lvl>
    <w:lvl w:ilvl="1" w:tentative="0">
      <w:start w:val="1"/>
      <w:numFmt w:val="bullet"/>
      <w:lvlText w:val=""/>
      <w:lvlJc w:val="left"/>
      <w:pPr>
        <w:ind w:left="1320" w:hanging="420"/>
      </w:pPr>
      <w:rPr>
        <w:rFonts w:hint="default" w:ascii="Wingdings" w:hAnsi="Wingdings"/>
      </w:rPr>
    </w:lvl>
    <w:lvl w:ilvl="2" w:tentative="0">
      <w:start w:val="1"/>
      <w:numFmt w:val="bullet"/>
      <w:lvlText w:val=""/>
      <w:lvlJc w:val="left"/>
      <w:pPr>
        <w:ind w:left="1740" w:hanging="420"/>
      </w:pPr>
      <w:rPr>
        <w:rFonts w:hint="default" w:ascii="Wingdings" w:hAnsi="Wingdings"/>
      </w:rPr>
    </w:lvl>
    <w:lvl w:ilvl="3" w:tentative="0">
      <w:start w:val="1"/>
      <w:numFmt w:val="bullet"/>
      <w:lvlText w:val=""/>
      <w:lvlJc w:val="left"/>
      <w:pPr>
        <w:ind w:left="2160" w:hanging="420"/>
      </w:pPr>
      <w:rPr>
        <w:rFonts w:hint="default" w:ascii="Wingdings" w:hAnsi="Wingdings"/>
      </w:rPr>
    </w:lvl>
    <w:lvl w:ilvl="4" w:tentative="0">
      <w:start w:val="1"/>
      <w:numFmt w:val="bullet"/>
      <w:lvlText w:val=""/>
      <w:lvlJc w:val="left"/>
      <w:pPr>
        <w:ind w:left="2580" w:hanging="420"/>
      </w:pPr>
      <w:rPr>
        <w:rFonts w:hint="default" w:ascii="Wingdings" w:hAnsi="Wingdings"/>
      </w:rPr>
    </w:lvl>
    <w:lvl w:ilvl="5" w:tentative="0">
      <w:start w:val="1"/>
      <w:numFmt w:val="bullet"/>
      <w:lvlText w:val=""/>
      <w:lvlJc w:val="left"/>
      <w:pPr>
        <w:ind w:left="3000" w:hanging="420"/>
      </w:pPr>
      <w:rPr>
        <w:rFonts w:hint="default" w:ascii="Wingdings" w:hAnsi="Wingdings"/>
      </w:rPr>
    </w:lvl>
    <w:lvl w:ilvl="6" w:tentative="0">
      <w:start w:val="1"/>
      <w:numFmt w:val="bullet"/>
      <w:lvlText w:val=""/>
      <w:lvlJc w:val="left"/>
      <w:pPr>
        <w:ind w:left="3420" w:hanging="420"/>
      </w:pPr>
      <w:rPr>
        <w:rFonts w:hint="default" w:ascii="Wingdings" w:hAnsi="Wingdings"/>
      </w:rPr>
    </w:lvl>
    <w:lvl w:ilvl="7" w:tentative="0">
      <w:start w:val="1"/>
      <w:numFmt w:val="bullet"/>
      <w:lvlText w:val=""/>
      <w:lvlJc w:val="left"/>
      <w:pPr>
        <w:ind w:left="3840" w:hanging="420"/>
      </w:pPr>
      <w:rPr>
        <w:rFonts w:hint="default" w:ascii="Wingdings" w:hAnsi="Wingdings"/>
      </w:rPr>
    </w:lvl>
    <w:lvl w:ilvl="8" w:tentative="0">
      <w:start w:val="1"/>
      <w:numFmt w:val="bullet"/>
      <w:lvlText w:val=""/>
      <w:lvlJc w:val="left"/>
      <w:pPr>
        <w:ind w:left="4260" w:hanging="420"/>
      </w:pPr>
      <w:rPr>
        <w:rFonts w:hint="default" w:ascii="Wingdings" w:hAnsi="Wingdings"/>
      </w:rPr>
    </w:lvl>
  </w:abstractNum>
  <w:abstractNum w:abstractNumId="1">
    <w:nsid w:val="6A812C47"/>
    <w:multiLevelType w:val="multilevel"/>
    <w:tmpl w:val="6A812C47"/>
    <w:lvl w:ilvl="0" w:tentative="0">
      <w:start w:val="1"/>
      <w:numFmt w:val="bullet"/>
      <w:lvlText w:val=""/>
      <w:lvlJc w:val="left"/>
      <w:pPr>
        <w:ind w:left="900" w:hanging="420"/>
      </w:pPr>
      <w:rPr>
        <w:rFonts w:hint="default" w:ascii="Wingdings" w:hAnsi="Wingdings"/>
      </w:rPr>
    </w:lvl>
    <w:lvl w:ilvl="1" w:tentative="0">
      <w:start w:val="1"/>
      <w:numFmt w:val="bullet"/>
      <w:lvlText w:val=""/>
      <w:lvlJc w:val="left"/>
      <w:pPr>
        <w:ind w:left="1320" w:hanging="420"/>
      </w:pPr>
      <w:rPr>
        <w:rFonts w:hint="default" w:ascii="Wingdings" w:hAnsi="Wingdings"/>
      </w:rPr>
    </w:lvl>
    <w:lvl w:ilvl="2" w:tentative="0">
      <w:start w:val="1"/>
      <w:numFmt w:val="bullet"/>
      <w:lvlText w:val=""/>
      <w:lvlJc w:val="left"/>
      <w:pPr>
        <w:ind w:left="1740" w:hanging="420"/>
      </w:pPr>
      <w:rPr>
        <w:rFonts w:hint="default" w:ascii="Wingdings" w:hAnsi="Wingdings"/>
      </w:rPr>
    </w:lvl>
    <w:lvl w:ilvl="3" w:tentative="0">
      <w:start w:val="1"/>
      <w:numFmt w:val="bullet"/>
      <w:lvlText w:val=""/>
      <w:lvlJc w:val="left"/>
      <w:pPr>
        <w:ind w:left="2160" w:hanging="420"/>
      </w:pPr>
      <w:rPr>
        <w:rFonts w:hint="default" w:ascii="Wingdings" w:hAnsi="Wingdings"/>
      </w:rPr>
    </w:lvl>
    <w:lvl w:ilvl="4" w:tentative="0">
      <w:start w:val="1"/>
      <w:numFmt w:val="bullet"/>
      <w:lvlText w:val=""/>
      <w:lvlJc w:val="left"/>
      <w:pPr>
        <w:ind w:left="2580" w:hanging="420"/>
      </w:pPr>
      <w:rPr>
        <w:rFonts w:hint="default" w:ascii="Wingdings" w:hAnsi="Wingdings"/>
      </w:rPr>
    </w:lvl>
    <w:lvl w:ilvl="5" w:tentative="0">
      <w:start w:val="1"/>
      <w:numFmt w:val="bullet"/>
      <w:lvlText w:val=""/>
      <w:lvlJc w:val="left"/>
      <w:pPr>
        <w:ind w:left="3000" w:hanging="420"/>
      </w:pPr>
      <w:rPr>
        <w:rFonts w:hint="default" w:ascii="Wingdings" w:hAnsi="Wingdings"/>
      </w:rPr>
    </w:lvl>
    <w:lvl w:ilvl="6" w:tentative="0">
      <w:start w:val="1"/>
      <w:numFmt w:val="bullet"/>
      <w:lvlText w:val=""/>
      <w:lvlJc w:val="left"/>
      <w:pPr>
        <w:ind w:left="3420" w:hanging="420"/>
      </w:pPr>
      <w:rPr>
        <w:rFonts w:hint="default" w:ascii="Wingdings" w:hAnsi="Wingdings"/>
      </w:rPr>
    </w:lvl>
    <w:lvl w:ilvl="7" w:tentative="0">
      <w:start w:val="1"/>
      <w:numFmt w:val="bullet"/>
      <w:lvlText w:val=""/>
      <w:lvlJc w:val="left"/>
      <w:pPr>
        <w:ind w:left="3840" w:hanging="420"/>
      </w:pPr>
      <w:rPr>
        <w:rFonts w:hint="default" w:ascii="Wingdings" w:hAnsi="Wingdings"/>
      </w:rPr>
    </w:lvl>
    <w:lvl w:ilvl="8" w:tentative="0">
      <w:start w:val="1"/>
      <w:numFmt w:val="bullet"/>
      <w:lvlText w:val=""/>
      <w:lvlJc w:val="left"/>
      <w:pPr>
        <w:ind w:left="4260" w:hanging="420"/>
      </w:pPr>
      <w:rPr>
        <w:rFonts w:hint="default" w:ascii="Wingdings" w:hAnsi="Wingdings"/>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6458A1"/>
    <w:rsid w:val="03BD3D36"/>
    <w:rsid w:val="04912ACD"/>
    <w:rsid w:val="05EE467B"/>
    <w:rsid w:val="06ED1E86"/>
    <w:rsid w:val="078D3A1F"/>
    <w:rsid w:val="08DD16AC"/>
    <w:rsid w:val="0CC3642F"/>
    <w:rsid w:val="0D582484"/>
    <w:rsid w:val="0DF75186"/>
    <w:rsid w:val="143567BC"/>
    <w:rsid w:val="16702E8A"/>
    <w:rsid w:val="19F67B09"/>
    <w:rsid w:val="1A104432"/>
    <w:rsid w:val="1FB76DFB"/>
    <w:rsid w:val="21B77BBF"/>
    <w:rsid w:val="232A616E"/>
    <w:rsid w:val="245D5BE0"/>
    <w:rsid w:val="250F3174"/>
    <w:rsid w:val="25BB5D16"/>
    <w:rsid w:val="25C80CAC"/>
    <w:rsid w:val="28C96CBE"/>
    <w:rsid w:val="291470F2"/>
    <w:rsid w:val="2AD761FC"/>
    <w:rsid w:val="2AEB3C5A"/>
    <w:rsid w:val="2DF973A7"/>
    <w:rsid w:val="2FED506B"/>
    <w:rsid w:val="30CB78A0"/>
    <w:rsid w:val="318D450C"/>
    <w:rsid w:val="31E64E80"/>
    <w:rsid w:val="359D6D3A"/>
    <w:rsid w:val="35BC76F1"/>
    <w:rsid w:val="36BA5D97"/>
    <w:rsid w:val="39F94DC1"/>
    <w:rsid w:val="3A9E7428"/>
    <w:rsid w:val="3B247EB6"/>
    <w:rsid w:val="3BF53097"/>
    <w:rsid w:val="3D5F0FE7"/>
    <w:rsid w:val="3DF96700"/>
    <w:rsid w:val="3F991855"/>
    <w:rsid w:val="40E078CE"/>
    <w:rsid w:val="42C12B5E"/>
    <w:rsid w:val="42E24CD9"/>
    <w:rsid w:val="464C44CA"/>
    <w:rsid w:val="4703221F"/>
    <w:rsid w:val="47195E2A"/>
    <w:rsid w:val="4CED1064"/>
    <w:rsid w:val="53F92DE6"/>
    <w:rsid w:val="58EF39E7"/>
    <w:rsid w:val="59734829"/>
    <w:rsid w:val="5EBC7BE3"/>
    <w:rsid w:val="5FEC48FC"/>
    <w:rsid w:val="61380ADF"/>
    <w:rsid w:val="6142054C"/>
    <w:rsid w:val="61DD42C8"/>
    <w:rsid w:val="620852F1"/>
    <w:rsid w:val="644A5C5D"/>
    <w:rsid w:val="648C2963"/>
    <w:rsid w:val="695D4726"/>
    <w:rsid w:val="6B021335"/>
    <w:rsid w:val="6FE26507"/>
    <w:rsid w:val="74336ED8"/>
    <w:rsid w:val="751A0EF3"/>
    <w:rsid w:val="7AE77D42"/>
    <w:rsid w:val="7C266648"/>
    <w:rsid w:val="7D3D2A65"/>
    <w:rsid w:val="7DFF1847"/>
    <w:rsid w:val="7EB7626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semiHidden="0" w:name="heading 2"/>
    <w:lsdException w:qFormat="1"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iPriority="0" w:semiHidden="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qFormat="1" w:uiPriority="99" w:semiHidden="0" w:name="footnote text"/>
    <w:lsdException w:qFormat="1"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3">
    <w:name w:val="heading 2"/>
    <w:basedOn w:val="1"/>
    <w:next w:val="1"/>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paragraph" w:styleId="4">
    <w:name w:val="heading 3"/>
    <w:basedOn w:val="1"/>
    <w:next w:val="1"/>
    <w:unhideWhenUsed/>
    <w:qFormat/>
    <w:uiPriority w:val="0"/>
    <w:pPr>
      <w:keepNext/>
      <w:keepLines/>
      <w:spacing w:before="260" w:beforeLines="0" w:beforeAutospacing="0" w:after="260" w:afterLines="0" w:afterAutospacing="0" w:line="413" w:lineRule="auto"/>
      <w:outlineLvl w:val="2"/>
    </w:pPr>
    <w:rPr>
      <w:b/>
      <w:sz w:val="32"/>
    </w:rPr>
  </w:style>
  <w:style w:type="paragraph" w:styleId="5">
    <w:name w:val="heading 4"/>
    <w:basedOn w:val="1"/>
    <w:next w:val="1"/>
    <w:qFormat/>
    <w:uiPriority w:val="0"/>
    <w:pPr>
      <w:keepNext/>
      <w:keepLines/>
      <w:ind w:left="200" w:leftChars="200"/>
      <w:outlineLvl w:val="3"/>
    </w:pPr>
    <w:rPr>
      <w:rFonts w:ascii="Arial" w:hAnsi="Arial"/>
      <w:bCs/>
      <w:szCs w:val="28"/>
    </w:rPr>
  </w:style>
  <w:style w:type="paragraph" w:styleId="6">
    <w:name w:val="heading 5"/>
    <w:basedOn w:val="1"/>
    <w:next w:val="1"/>
    <w:qFormat/>
    <w:uiPriority w:val="0"/>
    <w:pPr>
      <w:keepNext/>
      <w:keepLines/>
      <w:spacing w:before="280" w:after="290" w:line="376" w:lineRule="auto"/>
      <w:outlineLvl w:val="4"/>
    </w:pPr>
    <w:rPr>
      <w:b/>
      <w:bCs/>
      <w:sz w:val="28"/>
      <w:szCs w:val="28"/>
    </w:rPr>
  </w:style>
  <w:style w:type="paragraph" w:styleId="7">
    <w:name w:val="heading 6"/>
    <w:basedOn w:val="1"/>
    <w:next w:val="1"/>
    <w:qFormat/>
    <w:uiPriority w:val="0"/>
    <w:pPr>
      <w:keepNext/>
      <w:keepLines/>
      <w:spacing w:before="240" w:after="64" w:line="320" w:lineRule="auto"/>
      <w:outlineLvl w:val="5"/>
    </w:pPr>
    <w:rPr>
      <w:rFonts w:ascii="Cambria" w:hAnsi="Cambria"/>
      <w:b/>
      <w:bCs/>
    </w:rPr>
  </w:style>
  <w:style w:type="paragraph" w:styleId="8">
    <w:name w:val="heading 7"/>
    <w:basedOn w:val="1"/>
    <w:next w:val="1"/>
    <w:unhideWhenUsed/>
    <w:qFormat/>
    <w:uiPriority w:val="0"/>
    <w:pPr>
      <w:keepNext/>
      <w:keepLines/>
      <w:spacing w:before="240" w:after="64" w:line="320" w:lineRule="atLeast"/>
      <w:outlineLvl w:val="6"/>
    </w:pPr>
    <w:rPr>
      <w:b/>
      <w:bCs/>
    </w:rPr>
  </w:style>
  <w:style w:type="character" w:default="1" w:styleId="18">
    <w:name w:val="Default Paragraph Font"/>
    <w:semiHidden/>
    <w:qFormat/>
    <w:uiPriority w:val="0"/>
  </w:style>
  <w:style w:type="table" w:default="1" w:styleId="16">
    <w:name w:val="Normal Table"/>
    <w:semiHidden/>
    <w:qFormat/>
    <w:uiPriority w:val="0"/>
    <w:tblPr>
      <w:tblCellMar>
        <w:top w:w="0" w:type="dxa"/>
        <w:left w:w="108" w:type="dxa"/>
        <w:bottom w:w="0" w:type="dxa"/>
        <w:right w:w="108" w:type="dxa"/>
      </w:tblCellMar>
    </w:tblPr>
  </w:style>
  <w:style w:type="paragraph" w:styleId="9">
    <w:name w:val="Normal Indent"/>
    <w:basedOn w:val="1"/>
    <w:next w:val="10"/>
    <w:qFormat/>
    <w:uiPriority w:val="99"/>
    <w:pPr>
      <w:spacing w:before="60"/>
      <w:ind w:firstLine="689"/>
      <w:jc w:val="center"/>
    </w:pPr>
    <w:rPr>
      <w:sz w:val="21"/>
    </w:rPr>
  </w:style>
  <w:style w:type="paragraph" w:styleId="10">
    <w:name w:val="caption"/>
    <w:basedOn w:val="1"/>
    <w:next w:val="1"/>
    <w:qFormat/>
    <w:uiPriority w:val="0"/>
    <w:rPr>
      <w:rFonts w:ascii="Arial" w:hAnsi="Arial" w:eastAsia="黑体"/>
      <w:sz w:val="20"/>
    </w:rPr>
  </w:style>
  <w:style w:type="paragraph" w:styleId="11">
    <w:name w:val="annotation text"/>
    <w:basedOn w:val="1"/>
    <w:qFormat/>
    <w:uiPriority w:val="0"/>
    <w:rPr>
      <w:kern w:val="0"/>
    </w:rPr>
  </w:style>
  <w:style w:type="paragraph" w:styleId="12">
    <w:name w:val="Body Text"/>
    <w:basedOn w:val="1"/>
    <w:semiHidden/>
    <w:qFormat/>
    <w:uiPriority w:val="0"/>
    <w:rPr>
      <w:rFonts w:ascii="宋体" w:hAnsi="宋体" w:eastAsia="宋体" w:cs="宋体"/>
      <w:sz w:val="24"/>
      <w:szCs w:val="24"/>
      <w:lang w:val="en-US" w:eastAsia="en-US" w:bidi="ar-SA"/>
    </w:rPr>
  </w:style>
  <w:style w:type="paragraph" w:styleId="13">
    <w:name w:val="footer"/>
    <w:basedOn w:val="1"/>
    <w:qFormat/>
    <w:uiPriority w:val="0"/>
    <w:pPr>
      <w:tabs>
        <w:tab w:val="center" w:pos="4153"/>
        <w:tab w:val="right" w:pos="8306"/>
      </w:tabs>
      <w:snapToGrid w:val="0"/>
      <w:jc w:val="left"/>
    </w:pPr>
    <w:rPr>
      <w:sz w:val="18"/>
    </w:rPr>
  </w:style>
  <w:style w:type="paragraph" w:styleId="14">
    <w:name w:val="footnote text"/>
    <w:basedOn w:val="1"/>
    <w:unhideWhenUsed/>
    <w:qFormat/>
    <w:uiPriority w:val="99"/>
    <w:rPr>
      <w:sz w:val="18"/>
      <w:szCs w:val="18"/>
    </w:rPr>
  </w:style>
  <w:style w:type="paragraph" w:styleId="15">
    <w:name w:val="Normal (Web)"/>
    <w:basedOn w:val="1"/>
    <w:qFormat/>
    <w:uiPriority w:val="99"/>
    <w:pPr>
      <w:spacing w:beforeAutospacing="1" w:afterAutospacing="1"/>
    </w:pPr>
    <w:rPr>
      <w:rFonts w:ascii="宋体" w:hAnsi="宋体" w:cs="宋体"/>
      <w:kern w:val="0"/>
    </w:rPr>
  </w:style>
  <w:style w:type="table" w:styleId="17">
    <w:name w:val="Table Grid"/>
    <w:basedOn w:val="1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19">
    <w:name w:val="Table Normal"/>
    <w:semiHidden/>
    <w:unhideWhenUsed/>
    <w:qFormat/>
    <w:uiPriority w:val="0"/>
    <w:tblPr>
      <w:tblCellMar>
        <w:top w:w="0" w:type="dxa"/>
        <w:left w:w="0" w:type="dxa"/>
        <w:bottom w:w="0" w:type="dxa"/>
        <w:right w:w="0" w:type="dxa"/>
      </w:tblCellMar>
    </w:tblPr>
  </w:style>
  <w:style w:type="paragraph" w:customStyle="1" w:styleId="20">
    <w:name w:val="Table Text"/>
    <w:basedOn w:val="1"/>
    <w:semiHidden/>
    <w:qFormat/>
    <w:uiPriority w:val="0"/>
    <w:rPr>
      <w:rFonts w:ascii="宋体" w:hAnsi="宋体" w:eastAsia="宋体" w:cs="宋体"/>
      <w:sz w:val="24"/>
      <w:szCs w:val="24"/>
      <w:lang w:val="en-US" w:eastAsia="en-US" w:bidi="ar-SA"/>
    </w:rPr>
  </w:style>
  <w:style w:type="paragraph" w:customStyle="1" w:styleId="21">
    <w:name w:val="d正文"/>
    <w:basedOn w:val="1"/>
    <w:qFormat/>
    <w:uiPriority w:val="0"/>
    <w:pPr>
      <w:adjustRightInd w:val="0"/>
      <w:snapToGrid w:val="0"/>
      <w:spacing w:after="120" w:line="360" w:lineRule="auto"/>
      <w:ind w:firstLine="560" w:firstLineChars="200"/>
    </w:pPr>
    <w:rPr>
      <w:rFonts w:hAnsi="仿宋_GB2312"/>
      <w:bCs/>
      <w:sz w:val="28"/>
      <w:lang w:val="zh-CN"/>
    </w:rPr>
  </w:style>
  <w:style w:type="paragraph" w:styleId="22">
    <w:name w:val="List Paragraph"/>
    <w:basedOn w:val="1"/>
    <w:qFormat/>
    <w:uiPriority w:val="34"/>
    <w:pPr>
      <w:ind w:firstLine="420"/>
    </w:pPr>
    <w:rPr>
      <w:rFonts w:ascii="Calibri" w:hAnsi="Calibri"/>
      <w:szCs w:val="22"/>
    </w:rPr>
  </w:style>
  <w:style w:type="paragraph" w:customStyle="1" w:styleId="23">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24">
    <w:name w:val="Body text|241"/>
    <w:basedOn w:val="1"/>
    <w:qFormat/>
    <w:uiPriority w:val="0"/>
    <w:pPr>
      <w:shd w:val="clear" w:color="auto" w:fill="FFFFFF"/>
      <w:spacing w:before="100" w:after="540" w:line="470" w:lineRule="exact"/>
      <w:ind w:hanging="120"/>
      <w:jc w:val="distribute"/>
    </w:pPr>
    <w:rPr>
      <w:rFonts w:ascii="宋体" w:hAnsi="宋体" w:cs="宋体"/>
      <w:sz w:val="22"/>
      <w:szCs w:val="22"/>
    </w:rPr>
  </w:style>
  <w:style w:type="paragraph" w:customStyle="1" w:styleId="25">
    <w:name w:val="my正文"/>
    <w:basedOn w:val="1"/>
    <w:qFormat/>
    <w:uiPriority w:val="0"/>
    <w:pPr>
      <w:jc w:val="both"/>
    </w:pPr>
    <w:rPr>
      <w:kern w:val="0"/>
      <w:szCs w:val="20"/>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1.png"/><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3804</Words>
  <Characters>4139</Characters>
  <Lines>0</Lines>
  <Paragraphs>0</Paragraphs>
  <TotalTime>0</TotalTime>
  <ScaleCrop>false</ScaleCrop>
  <LinksUpToDate>false</LinksUpToDate>
  <CharactersWithSpaces>4171</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2025-07-16T09:32:00Z</dcterms:created>
  <dc:creator>DELL</dc:creator>
  <cp:lastModifiedBy>一二</cp:lastModifiedBy>
  <dcterms:modified xsi:type="dcterms:W3CDTF">2025-08-28T04:27:40Z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eyJoZGlkIjoiMTJkMjEwYjJmYjE0MmEzOTcyYTljMWYwNDFiNTg4NGMiLCJ1c2VySWQiOiIxNjA4MjM2MDMzIn0=</vt:lpwstr>
  </property>
  <property fmtid="{D5CDD505-2E9C-101B-9397-08002B2CF9AE}" pid="4" name="ICV">
    <vt:lpwstr>44E7BD3327F44657AF4897DA979EDA29_12</vt:lpwstr>
  </property>
</Properties>
</file>