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BCBAB">
      <w:pPr>
        <w:pStyle w:val="6"/>
        <w:jc w:val="center"/>
        <w:outlineLvl w:val="1"/>
        <w:rPr>
          <w:rFonts w:hint="eastAsia" w:eastAsia="仿宋_GB2312"/>
          <w:color w:val="auto"/>
          <w:highlight w:val="none"/>
          <w:u w:val="none"/>
          <w:lang w:eastAsia="zh-CN"/>
        </w:rPr>
      </w:pPr>
      <w:r>
        <w:rPr>
          <w:rFonts w:ascii="仿宋_GB2312" w:hAnsi="仿宋_GB2312" w:eastAsia="仿宋_GB2312" w:cs="仿宋_GB2312"/>
          <w:b/>
          <w:color w:val="auto"/>
          <w:sz w:val="36"/>
          <w:highlight w:val="none"/>
          <w:u w:val="none"/>
        </w:rPr>
        <w:t>政府采购合同</w:t>
      </w:r>
      <w:r>
        <w:rPr>
          <w:rFonts w:hint="eastAsia" w:ascii="仿宋_GB2312" w:hAnsi="仿宋_GB2312" w:eastAsia="仿宋_GB2312" w:cs="仿宋_GB2312"/>
          <w:b/>
          <w:color w:val="auto"/>
          <w:sz w:val="36"/>
          <w:highlight w:val="none"/>
          <w:u w:val="none"/>
          <w:lang w:eastAsia="zh-CN"/>
        </w:rPr>
        <w:t>（格式）</w:t>
      </w:r>
    </w:p>
    <w:p w14:paraId="743F3732">
      <w:pPr>
        <w:rPr>
          <w:rFonts w:hint="eastAsia"/>
          <w:color w:val="auto"/>
          <w:highlight w:val="none"/>
          <w:u w:val="none"/>
        </w:rPr>
      </w:pPr>
      <w:r>
        <w:rPr>
          <w:color w:val="auto"/>
          <w:highlight w:val="none"/>
          <w:u w:val="none"/>
        </w:rPr>
        <w:t xml:space="preserve"> </w:t>
      </w:r>
    </w:p>
    <w:p w14:paraId="49A492B9">
      <w:pPr>
        <w:spacing w:line="480" w:lineRule="exact"/>
        <w:ind w:right="-150" w:rightChars="-44"/>
        <w:jc w:val="left"/>
        <w:rPr>
          <w:rFonts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 xml:space="preserve">采购人：               （以下简称甲方）    </w:t>
      </w:r>
    </w:p>
    <w:p w14:paraId="49812F4B">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中标方：               （以下简称乙方）</w:t>
      </w:r>
    </w:p>
    <w:p w14:paraId="232A341D">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 xml:space="preserve">    根据《中华人民共和国政府采购法》、《中华人民共和国民法典》之规定，本合同当事人在平等、自愿基础上，经协商一致，同意按下述条款和条件签署本合同(以下为合同基本格式，签约各方根据</w:t>
      </w:r>
      <w:r>
        <w:rPr>
          <w:rFonts w:hint="eastAsia" w:ascii="仿宋_GB2312" w:eastAsia="仿宋_GB2312"/>
          <w:color w:val="auto"/>
          <w:kern w:val="0"/>
          <w:sz w:val="28"/>
          <w:szCs w:val="28"/>
          <w:highlight w:val="none"/>
          <w:u w:val="none"/>
          <w:lang w:eastAsia="zh-CN"/>
        </w:rPr>
        <w:t>采购</w:t>
      </w:r>
      <w:r>
        <w:rPr>
          <w:rFonts w:hint="eastAsia" w:ascii="仿宋_GB2312" w:eastAsia="仿宋_GB2312"/>
          <w:color w:val="auto"/>
          <w:kern w:val="0"/>
          <w:sz w:val="28"/>
          <w:szCs w:val="28"/>
          <w:highlight w:val="none"/>
          <w:u w:val="none"/>
        </w:rPr>
        <w:t>项目具体情况对条款细化补充)。</w:t>
      </w:r>
    </w:p>
    <w:p w14:paraId="53131684">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第一条 项目名称、服务内容及合同价。</w:t>
      </w:r>
    </w:p>
    <w:p w14:paraId="49881C81">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第二条 交付地点（或服务地点）、时间（或服务期限、合同履行期限）。</w:t>
      </w:r>
    </w:p>
    <w:p w14:paraId="3BAEF836">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第三条 质量标准和要求：乙方所出售标的物的质量标准按照国家标准或行业标准或企业标准确定。没有国家标准、行业标准和企业标准的，按照通常标准或者符合合同目的的特定标准确定。</w:t>
      </w:r>
    </w:p>
    <w:p w14:paraId="171E133D">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第四条  权利瑕疵担保</w:t>
      </w:r>
    </w:p>
    <w:p w14:paraId="473D5863">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4．1 乙方保证对其出售的标的物享有合法的权利；</w:t>
      </w:r>
    </w:p>
    <w:p w14:paraId="0BEE9894">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4．2 乙方应保证在其出售的标的物上不存在任何未曾向甲方透露的担保物权，如抵押权、质押权、留置权等；</w:t>
      </w:r>
    </w:p>
    <w:p w14:paraId="5DAE1C0E">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4．3 乙方应保证其所出售的标的物没有侵犯任何第三人的知识产权和商业秘密等权利。</w:t>
      </w:r>
    </w:p>
    <w:p w14:paraId="268DE42D">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4．4 如甲方使用该标的物构成上述侵权的，则由乙方承担全部责任。</w:t>
      </w:r>
    </w:p>
    <w:p w14:paraId="1ABFEB4E">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第五条  甲方权利和义务</w:t>
      </w:r>
    </w:p>
    <w:p w14:paraId="6B4A8FEC">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第六条  乙方权利与义务</w:t>
      </w:r>
    </w:p>
    <w:p w14:paraId="3A6923F6">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第七条  验收要求（或考核要求）</w:t>
      </w:r>
    </w:p>
    <w:p w14:paraId="66FC2EE5">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第八条  付款</w:t>
      </w:r>
    </w:p>
    <w:p w14:paraId="3AF97991">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8．1 本合同以人民币付款。</w:t>
      </w:r>
    </w:p>
    <w:p w14:paraId="5522178A">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8．2 具体的付款条件、方式与期限</w:t>
      </w:r>
    </w:p>
    <w:p w14:paraId="202351B1">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第九条  合同转让和分包</w:t>
      </w:r>
    </w:p>
    <w:p w14:paraId="41DE51D6">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9. 1 乙方不得全部或部分转让合同。除甲方事先书面同意外，不得分包其应履行的合同义务。经采购人同意，中标、成交供应商可以依法采取分包方式履行合同。</w:t>
      </w:r>
    </w:p>
    <w:p w14:paraId="0DC406D3">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9.2政府采购合同分包履行的，中标、成交供应商就采购项目和分包项目向采购人负责，分包供应商就分包项目承担责任。</w:t>
      </w:r>
    </w:p>
    <w:p w14:paraId="5EF040A1">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第十条  违约责任</w:t>
      </w:r>
    </w:p>
    <w:p w14:paraId="1B276FB0">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第十一条 解决争议的方法</w:t>
      </w:r>
    </w:p>
    <w:p w14:paraId="537C0906">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11.1合同各方应通过友好协商，解决在执行本合同过程中所发生的或与本合同有关的一切争端。</w:t>
      </w:r>
    </w:p>
    <w:p w14:paraId="1851EE99">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11.2 如从协商开始十天内仍不能解决，可以向            提请调解。</w:t>
      </w:r>
    </w:p>
    <w:p w14:paraId="4B0D5C3F">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11.3调解不成则提交</w:t>
      </w:r>
      <w:r>
        <w:rPr>
          <w:rFonts w:hint="eastAsia" w:ascii="仿宋_GB2312" w:eastAsia="仿宋_GB2312"/>
          <w:color w:val="auto"/>
          <w:kern w:val="0"/>
          <w:sz w:val="28"/>
          <w:szCs w:val="28"/>
          <w:highlight w:val="none"/>
          <w:u w:val="none"/>
          <w:lang w:val="en-US" w:eastAsia="zh-CN"/>
        </w:rPr>
        <w:t xml:space="preserve">     </w:t>
      </w:r>
      <w:r>
        <w:rPr>
          <w:rFonts w:hint="eastAsia" w:ascii="仿宋_GB2312" w:eastAsia="仿宋_GB2312"/>
          <w:color w:val="auto"/>
          <w:kern w:val="0"/>
          <w:sz w:val="28"/>
          <w:szCs w:val="28"/>
          <w:highlight w:val="none"/>
          <w:u w:val="none"/>
        </w:rPr>
        <w:t>仲裁委员会根据其仲裁规则和程序进行仲裁，仲裁是终局的。</w:t>
      </w:r>
    </w:p>
    <w:p w14:paraId="2CFE915A">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11.4如仲裁事项不影响合同其它部分的履行，则在仲裁期间，除正在进行仲裁的部分外，本合同的其它部分应继续执行。</w:t>
      </w:r>
    </w:p>
    <w:p w14:paraId="7DAC6FD9">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第十二条  不可抗力</w:t>
      </w:r>
    </w:p>
    <w:p w14:paraId="6B990C45">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12．1 如果合同各方因不可抗力而导致合同实施延误或不能履行合同义务的话，不应该承担误期赔偿或不能履行合同义务的责任。</w:t>
      </w:r>
    </w:p>
    <w:p w14:paraId="2DFBD225">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12．2 本条所述的“不可抗力”系指那些双方不可预见、不可避免、不可克服的事件，但不包括双方的违约或疏忽。这些事件包括但不限于：战争、严重火灾、洪水、台风、地震、国家政策的重大变化，以及其它双方商定的其他事件。</w:t>
      </w:r>
    </w:p>
    <w:p w14:paraId="09133476">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12．3 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14:paraId="3E58112D">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第十三条  合同生效</w:t>
      </w:r>
    </w:p>
    <w:p w14:paraId="2001747E">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13．1本合同自双方签字及盖章之日起生效。</w:t>
      </w:r>
    </w:p>
    <w:p w14:paraId="665E0C7A">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13.2本合同一式四份，甲乙双方各一份，财政部门和海口市政府采购中心各存档一份。</w:t>
      </w:r>
    </w:p>
    <w:p w14:paraId="5360D315">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第十四条  合同附件</w:t>
      </w:r>
    </w:p>
    <w:p w14:paraId="494205BB">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14. 1 本合同附件包括：本项目的采购文件、中标（成交）方投标文件、中标（成交）通知书等，本合同附件与合同具有同等效力。</w:t>
      </w:r>
    </w:p>
    <w:p w14:paraId="6AF7553C">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14. 2  本合同格式未尽事宜可签订补充协议，补充协议具有同等法律效力。</w:t>
      </w:r>
    </w:p>
    <w:p w14:paraId="4A959813">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14.3  合同文件应能相互解释，互为说明。若合同文件之间有不明确或不一致之处，以合同约定次序在后者为准。</w:t>
      </w:r>
    </w:p>
    <w:p w14:paraId="191957ED">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签约各方：</w:t>
      </w:r>
    </w:p>
    <w:p w14:paraId="10F6C3AF">
      <w:pPr>
        <w:spacing w:line="480" w:lineRule="exact"/>
        <w:ind w:right="-150" w:rightChars="-44"/>
        <w:jc w:val="left"/>
        <w:rPr>
          <w:rFonts w:hint="eastAsia" w:ascii="仿宋_GB2312" w:eastAsia="仿宋_GB2312"/>
          <w:color w:val="auto"/>
          <w:kern w:val="0"/>
          <w:sz w:val="28"/>
          <w:szCs w:val="28"/>
          <w:highlight w:val="none"/>
          <w:u w:val="none"/>
        </w:rPr>
      </w:pPr>
      <w:r>
        <w:rPr>
          <w:rFonts w:hint="eastAsia" w:ascii="仿宋_GB2312" w:eastAsia="仿宋_GB2312"/>
          <w:color w:val="auto"/>
          <w:kern w:val="0"/>
          <w:sz w:val="28"/>
          <w:szCs w:val="28"/>
          <w:highlight w:val="none"/>
          <w:u w:val="none"/>
        </w:rPr>
        <w:t>签约时间：</w:t>
      </w:r>
    </w:p>
    <w:p w14:paraId="3C08C13C">
      <w:pPr>
        <w:rPr>
          <w:color w:val="auto"/>
          <w:highlight w:val="none"/>
          <w:u w:val="none"/>
        </w:rPr>
      </w:pPr>
    </w:p>
    <w:p w14:paraId="1AA26235">
      <w:pPr>
        <w:pStyle w:val="3"/>
        <w:rPr>
          <w:color w:val="auto"/>
          <w:highlight w:val="none"/>
          <w:u w:val="none"/>
        </w:rPr>
      </w:pPr>
    </w:p>
    <w:p w14:paraId="7B032D42">
      <w:pPr>
        <w:rPr>
          <w:color w:val="auto"/>
          <w:highlight w:val="none"/>
          <w:u w:val="none"/>
        </w:rPr>
      </w:pPr>
    </w:p>
    <w:p w14:paraId="66C5DE2D">
      <w:r>
        <w:rPr>
          <w:rFonts w:hint="eastAsia"/>
          <w:color w:val="auto"/>
          <w:highlight w:val="none"/>
          <w:u w:val="none"/>
          <w:lang w:val="en-US" w:eastAsia="zh-CN"/>
        </w:rPr>
        <w:t>合同文本仅作参考，以甲乙双方具体签订为准。</w:t>
      </w:r>
    </w:p>
    <w:p w14:paraId="62D17861">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CE2A64"/>
    <w:rsid w:val="2AB35D06"/>
    <w:rsid w:val="466C42E1"/>
    <w:rsid w:val="7D9B2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2"/>
    <w:basedOn w:val="1"/>
    <w:next w:val="1"/>
    <w:qFormat/>
    <w:uiPriority w:val="0"/>
    <w:pPr>
      <w:keepNext/>
      <w:keepLines/>
      <w:autoSpaceDE w:val="0"/>
      <w:autoSpaceDN w:val="0"/>
      <w:adjustRightInd w:val="0"/>
      <w:spacing w:before="360" w:after="260" w:line="360" w:lineRule="auto"/>
      <w:jc w:val="center"/>
      <w:textAlignment w:val="baseline"/>
      <w:outlineLvl w:val="1"/>
    </w:pPr>
    <w:rPr>
      <w:rFonts w:ascii="Arial" w:hAnsi="Arial" w:eastAsia="黑体"/>
      <w:b/>
      <w:spacing w:val="24"/>
      <w:kern w:val="0"/>
      <w:sz w:val="24"/>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ind w:firstLine="420"/>
    </w:pPr>
    <w:rPr>
      <w:rFonts w:ascii="宋体"/>
    </w:r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2025-03-31T01:43:00Z</dcterms:created>
  <dc:creator>Administrator</dc:creator>
  <cp:lastModifiedBy>中和德汇</cp:lastModifiedBy>
  <dcterms:modified xsi:type="dcterms:W3CDTF">2025-08-27T04:50:15Z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80DA72325AF24DD59B5012C1A78B4DF3_12</vt:lpwstr>
  </property>
  <property fmtid="{D5CDD505-2E9C-101B-9397-08002B2CF9AE}" pid="4" name="KSOTemplateDocerSaveRecord">
    <vt:lpwstr>eyJoZGlkIjoiZDhlZTAxZDNkNzEwYmIyNmFlNzYyZWNkMmY1MjQ3NjMiLCJ1c2VySWQiOiI0MjEyMzkwMjMifQ==</vt:lpwstr>
  </property>
</Properties>
</file>