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海南省重点森林防火应急道路防火宣传标识项目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ZX2025-120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海南省林业局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海南政鑫招标代理有限公司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海南省林业局</w:t>
      </w:r>
      <w:r>
        <w:rPr>
          <w:rFonts w:ascii="仿宋_GB2312" w:hAnsi="仿宋_GB2312" w:cs="仿宋_GB2312" w:eastAsia="仿宋_GB2312"/>
        </w:rPr>
        <w:t xml:space="preserve"> 委托， </w:t>
      </w:r>
      <w:r>
        <w:rPr>
          <w:rFonts w:ascii="仿宋_GB2312" w:hAnsi="仿宋_GB2312" w:cs="仿宋_GB2312" w:eastAsia="仿宋_GB2312"/>
        </w:rPr>
        <w:t>海南政鑫招标代理有限公司</w:t>
      </w:r>
      <w:r>
        <w:rPr>
          <w:rFonts w:ascii="仿宋_GB2312" w:hAnsi="仿宋_GB2312" w:cs="仿宋_GB2312" w:eastAsia="仿宋_GB2312"/>
        </w:rPr>
        <w:t xml:space="preserve"> 对 </w:t>
      </w:r>
      <w:r>
        <w:rPr>
          <w:rFonts w:ascii="仿宋_GB2312" w:hAnsi="仿宋_GB2312" w:cs="仿宋_GB2312" w:eastAsia="仿宋_GB2312"/>
        </w:rPr>
        <w:t>海南省重点森林防火应急道路防火宣传标识项目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ZX2025-120</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海南省重点森林防火应急道路防火宣传标识项目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5,857,828.00元</w:t>
      </w:r>
      <w:r>
        <w:rPr>
          <w:rFonts w:ascii="仿宋_GB2312" w:hAnsi="仿宋_GB2312" w:cs="仿宋_GB2312" w:eastAsia="仿宋_GB2312"/>
        </w:rPr>
        <w:t>伍佰捌拾伍万柒仟捌佰贰拾捌元整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自合同签订之日起至2025年11月底完成安装及验收</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1、无环保类行政处罚记录声明：参加政府采购活动前三年内，在经营活动中没有环保类行政处罚记录。（提供声明函，加盖公章）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1.本项目不收取投标保证金。 2.本项目采购信息指定发布媒体为：中国政府采购网，网址www.ccgp.gov.cn；中国政府采购网海南分网（海南省政府采购智慧云平台），网址https://ccgp-hainan.gov.cn/。 若出现上述指定媒体信息不一致情形，应以中国政府采购网海南分网（海南省政府采购智慧云平台）发布的为准。 3.有关本项目招标文件的补遗、澄清及变更信息以上述网站公告与下载为准，采购代理机构不再另行通知，招标文件与更正公告的内容相互矛盾时，以最后发出的更正公告内容为准。 4.投标人须在海南政府采购网(https://ccgp-hainan.gov.cn/maincms-web/)中的海南省政府采购智慧云平台进行注册并完善信息，然后下载参与投标项目电子招标文件（数据包）及其他文件。 5.电子标:必须办理数字证书CA锁，并使用数字证书进行签字和加密，投标截止时间前，必须登录系统上传加密的电子投标文件。本项目需使用蓝色CA锁，CA数字证书认证咨询电话：0898-66668096。 6.本项目为远程不见面开标，投标人远程参加开标会。远程参与开标流程的投标人需提前在海南省政府采购智慧云平台-服务专区中下载电子交易系统操作手册，并按照操作手册的要求参与开标会。投标人使用交易系统遇到问题可致电技术支持：4001691288。如因投标人自身原因造成无法正常参与开标过程的，不利后果由投标人自行承担。</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海南省林业局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海南省海口市美兰区海府路80号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0898-65329115</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海南政鑫招标代理有限公司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海南省海口市美兰区金坡路6号中鹏苑A幢第1层101房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570203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黄工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0898-65220359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采购包1：5,857,828.00元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从提交投标文件的截止之日起算的90天内有效。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代理服务费收费标准：参照《招标代理服务收费管理暂行办法》(计价格〔2002〕1980号)规定的取费标准下浮20%收取，本项目招标代理服务费金额为52691.20元，大写：伍万贰仟陆佰玖拾壹元贰角整。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1.所属行业依照《中小企业划型标准规定》（工信部联企业〔2011〕300 号）及《国民经济行业分类》（GB/T4754-2017）的有关规定执行，本项目采购标的对应的中小企业划分标准所属行业为：工业。 2.评标委员会的组建：3.1评标委员会由采购人代表1人和评审专家4人共5人以上单数组成，其中评审专家人数不少于成员总数的2/3。3.2评审专家：从海南省公共资源交易综合评标评审专家库中随机抽取。 3.开标时，投标人应当使用数字证书在解密时限内完成全部已投标采购包的投标文件在线解密，若出现系统异常情况，经采购人同意后工作人员可适当延长解密时长。如在开启过程中出现解密失败的情况,允许投标人导入备用投标文件继续开启，若导入的备用投标文件仍解密失败，投标人不再参与政府采购活动。</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联系人：黄工</w:t>
      </w:r>
    </w:p>
    <w:p>
      <w:pPr>
        <w:pStyle w:val="null3"/>
        <w:jc w:val="left"/>
      </w:pPr>
      <w:r>
        <w:rPr>
          <w:rFonts w:ascii="仿宋_GB2312" w:hAnsi="仿宋_GB2312" w:cs="仿宋_GB2312" w:eastAsia="仿宋_GB2312"/>
        </w:rPr>
        <w:t>联系电话：0898-65220359</w:t>
      </w:r>
    </w:p>
    <w:p>
      <w:pPr>
        <w:pStyle w:val="null3"/>
        <w:jc w:val="left"/>
      </w:pPr>
      <w:r>
        <w:rPr>
          <w:rFonts w:ascii="仿宋_GB2312" w:hAnsi="仿宋_GB2312" w:cs="仿宋_GB2312" w:eastAsia="仿宋_GB2312"/>
        </w:rPr>
        <w:t>地址：海南省海口市美兰区金坡路6号中鹏苑A幢第1层101房</w:t>
      </w:r>
    </w:p>
    <w:p>
      <w:pPr>
        <w:pStyle w:val="null3"/>
        <w:jc w:val="left"/>
      </w:pPr>
      <w:r>
        <w:rPr>
          <w:rFonts w:ascii="仿宋_GB2312" w:hAnsi="仿宋_GB2312" w:cs="仿宋_GB2312" w:eastAsia="仿宋_GB2312"/>
        </w:rPr>
        <w:t>邮编：570203</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1.项目名称：海南省重点森林防火应急道路防火宣传标识项目</w:t>
      </w:r>
    </w:p>
    <w:p>
      <w:pPr>
        <w:pStyle w:val="null3"/>
        <w:spacing w:before="180"/>
        <w:ind w:firstLine="480"/>
        <w:jc w:val="both"/>
      </w:pPr>
      <w:r>
        <w:rPr>
          <w:rFonts w:ascii="仿宋_GB2312" w:hAnsi="仿宋_GB2312" w:cs="仿宋_GB2312" w:eastAsia="仿宋_GB2312"/>
          <w:sz w:val="24"/>
        </w:rPr>
        <w:t>2.项目背景：海南省作为我国的热带生态大省，拥有得天独厚的森林资源，但同时也面临着严峻的森林防火挑战。近年来，随着气候变化和人类活动的增加，森林火灾的风险日益加剧。通过在海南热带雨林国家公园五指山、霸王岭、黎母山、鹦哥岭和吊罗山片区的森林防火应急道路制作和安装森林防火宣传标语字牌、宣传语音杆、警示标识牌和宣传标识牌，不断提升森林防火应急道路周边居民和管护站点等工作人员的森林防火意识，进一步完善海南热带雨林国家公园森林防火宣传基础设施。</w:t>
      </w:r>
    </w:p>
    <w:p>
      <w:pPr>
        <w:pStyle w:val="null3"/>
        <w:spacing w:before="180"/>
        <w:ind w:firstLine="480"/>
        <w:jc w:val="both"/>
      </w:pPr>
      <w:r>
        <w:rPr>
          <w:rFonts w:ascii="仿宋_GB2312" w:hAnsi="仿宋_GB2312" w:cs="仿宋_GB2312" w:eastAsia="仿宋_GB2312"/>
          <w:sz w:val="24"/>
        </w:rPr>
        <w:t>3.采购清单</w:t>
      </w:r>
    </w:p>
    <w:tbl>
      <w:tblPr>
        <w:tblW w:w="0" w:type="auto"/>
        <w:tblBorders>
          <w:top w:val="none" w:color="000000" w:sz="4"/>
          <w:left w:val="none" w:color="000000" w:sz="4"/>
          <w:bottom w:val="none" w:color="000000" w:sz="4"/>
          <w:right w:val="none" w:color="000000" w:sz="4"/>
          <w:insideH w:val="none"/>
          <w:insideV w:val="none"/>
        </w:tblBorders>
      </w:tblPr>
      <w:tblGrid>
        <w:gridCol w:w="983"/>
        <w:gridCol w:w="2868"/>
        <w:gridCol w:w="2103"/>
        <w:gridCol w:w="2308"/>
      </w:tblGrid>
      <w:tr>
        <w:tc>
          <w:tcPr>
            <w:tcW w:type="dxa" w:w="98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序号</w:t>
            </w:r>
          </w:p>
        </w:tc>
        <w:tc>
          <w:tcPr>
            <w:tcW w:type="dxa" w:w="286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标识牌类别</w:t>
            </w:r>
          </w:p>
        </w:tc>
        <w:tc>
          <w:tcPr>
            <w:tcW w:type="dxa" w:w="210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数量</w:t>
            </w:r>
          </w:p>
        </w:tc>
        <w:tc>
          <w:tcPr>
            <w:tcW w:type="dxa" w:w="230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单位</w:t>
            </w:r>
          </w:p>
        </w:tc>
      </w:tr>
      <w:tr>
        <w:tc>
          <w:tcPr>
            <w:tcW w:type="dxa" w:w="9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1</w:t>
            </w:r>
          </w:p>
        </w:tc>
        <w:tc>
          <w:tcPr>
            <w:tcW w:type="dxa" w:w="28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宣传栏</w:t>
            </w:r>
          </w:p>
        </w:tc>
        <w:tc>
          <w:tcPr>
            <w:tcW w:type="dxa" w:w="2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130</w:t>
            </w:r>
          </w:p>
        </w:tc>
        <w:tc>
          <w:tcPr>
            <w:tcW w:type="dxa" w:w="2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块</w:t>
            </w:r>
          </w:p>
        </w:tc>
      </w:tr>
      <w:tr>
        <w:tc>
          <w:tcPr>
            <w:tcW w:type="dxa" w:w="9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2</w:t>
            </w:r>
          </w:p>
        </w:tc>
        <w:tc>
          <w:tcPr>
            <w:tcW w:type="dxa" w:w="28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大字标语</w:t>
            </w:r>
          </w:p>
        </w:tc>
        <w:tc>
          <w:tcPr>
            <w:tcW w:type="dxa" w:w="2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130</w:t>
            </w:r>
          </w:p>
        </w:tc>
        <w:tc>
          <w:tcPr>
            <w:tcW w:type="dxa" w:w="2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套</w:t>
            </w:r>
          </w:p>
        </w:tc>
      </w:tr>
      <w:tr>
        <w:tc>
          <w:tcPr>
            <w:tcW w:type="dxa" w:w="9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3</w:t>
            </w:r>
          </w:p>
        </w:tc>
        <w:tc>
          <w:tcPr>
            <w:tcW w:type="dxa" w:w="28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警示牌</w:t>
            </w:r>
          </w:p>
        </w:tc>
        <w:tc>
          <w:tcPr>
            <w:tcW w:type="dxa" w:w="2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222</w:t>
            </w:r>
          </w:p>
        </w:tc>
        <w:tc>
          <w:tcPr>
            <w:tcW w:type="dxa" w:w="2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块</w:t>
            </w:r>
          </w:p>
        </w:tc>
      </w:tr>
      <w:tr>
        <w:tc>
          <w:tcPr>
            <w:tcW w:type="dxa" w:w="98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jc w:val="center"/>
            </w:pPr>
            <w:r>
              <w:rPr>
                <w:rFonts w:ascii="仿宋_GB2312" w:hAnsi="仿宋_GB2312" w:cs="仿宋_GB2312" w:eastAsia="仿宋_GB2312"/>
                <w:sz w:val="24"/>
              </w:rPr>
              <w:t>4</w:t>
            </w:r>
          </w:p>
        </w:tc>
        <w:tc>
          <w:tcPr>
            <w:tcW w:type="dxa" w:w="286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语音杆</w:t>
            </w:r>
          </w:p>
        </w:tc>
        <w:tc>
          <w:tcPr>
            <w:tcW w:type="dxa" w:w="2103"/>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130</w:t>
            </w:r>
          </w:p>
        </w:tc>
        <w:tc>
          <w:tcPr>
            <w:tcW w:type="dxa" w:w="230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20"/>
              <w:ind w:left="180" w:firstLine="720"/>
              <w:jc w:val="left"/>
            </w:pPr>
            <w:r>
              <w:rPr>
                <w:rFonts w:ascii="仿宋_GB2312" w:hAnsi="仿宋_GB2312" w:cs="仿宋_GB2312" w:eastAsia="仿宋_GB2312"/>
                <w:sz w:val="24"/>
              </w:rPr>
              <w:t>根</w:t>
            </w:r>
          </w:p>
        </w:tc>
      </w:tr>
    </w:tbl>
    <w:p>
      <w:pPr>
        <w:pStyle w:val="null3"/>
        <w:ind w:firstLine="720"/>
        <w:jc w:val="both"/>
      </w:pPr>
      <w:r>
        <w:rPr>
          <w:rFonts w:ascii="仿宋_GB2312" w:hAnsi="仿宋_GB2312" w:cs="仿宋_GB2312" w:eastAsia="仿宋_GB2312"/>
          <w:sz w:val="24"/>
          <w:b/>
        </w:rPr>
        <w:t>核心产品：语音杆</w:t>
      </w:r>
    </w:p>
    <w:p>
      <w:pPr>
        <w:pStyle w:val="null3"/>
        <w:jc w:val="both"/>
        <w:outlineLvl w:val="1"/>
      </w:pPr>
      <w:r>
        <w:rPr>
          <w:rFonts w:ascii="仿宋_GB2312" w:hAnsi="仿宋_GB2312" w:cs="仿宋_GB2312" w:eastAsia="仿宋_GB2312"/>
          <w:sz w:val="24"/>
          <w:b/>
        </w:rPr>
        <w:t>4.</w:t>
      </w:r>
      <w:r>
        <w:rPr>
          <w:rFonts w:ascii="仿宋_GB2312" w:hAnsi="仿宋_GB2312" w:cs="仿宋_GB2312" w:eastAsia="仿宋_GB2312"/>
          <w:sz w:val="24"/>
          <w:b/>
        </w:rPr>
        <w:t>实施原则</w:t>
      </w:r>
    </w:p>
    <w:p>
      <w:pPr>
        <w:pStyle w:val="null3"/>
        <w:ind w:firstLine="480"/>
        <w:jc w:val="both"/>
      </w:pPr>
      <w:r>
        <w:rPr>
          <w:rFonts w:ascii="仿宋_GB2312" w:hAnsi="仿宋_GB2312" w:cs="仿宋_GB2312" w:eastAsia="仿宋_GB2312"/>
          <w:sz w:val="24"/>
        </w:rPr>
        <w:t>以海南热带雨林国家公园五指山、霸王岭、黎母山、鹦哥岭和吊罗山片区</w:t>
      </w:r>
      <w:r>
        <w:rPr>
          <w:rFonts w:ascii="仿宋_GB2312" w:hAnsi="仿宋_GB2312" w:cs="仿宋_GB2312" w:eastAsia="仿宋_GB2312"/>
          <w:sz w:val="24"/>
        </w:rPr>
        <w:t>一般控制</w:t>
      </w:r>
      <w:r>
        <w:rPr>
          <w:rFonts w:ascii="仿宋_GB2312" w:hAnsi="仿宋_GB2312" w:cs="仿宋_GB2312" w:eastAsia="仿宋_GB2312"/>
          <w:sz w:val="24"/>
        </w:rPr>
        <w:t>内</w:t>
      </w:r>
      <w:r>
        <w:rPr>
          <w:rFonts w:ascii="仿宋_GB2312" w:hAnsi="仿宋_GB2312" w:cs="仿宋_GB2312" w:eastAsia="仿宋_GB2312"/>
          <w:sz w:val="24"/>
        </w:rPr>
        <w:t>2024年</w:t>
      </w:r>
      <w:r>
        <w:rPr>
          <w:rFonts w:ascii="仿宋_GB2312" w:hAnsi="仿宋_GB2312" w:cs="仿宋_GB2312" w:eastAsia="仿宋_GB2312"/>
          <w:sz w:val="24"/>
        </w:rPr>
        <w:t>新建森林防火应急道路为主，以</w:t>
      </w:r>
      <w:r>
        <w:rPr>
          <w:rFonts w:ascii="仿宋_GB2312" w:hAnsi="仿宋_GB2312" w:cs="仿宋_GB2312" w:eastAsia="仿宋_GB2312"/>
          <w:sz w:val="24"/>
        </w:rPr>
        <w:t>上述片区</w:t>
      </w:r>
      <w:r>
        <w:rPr>
          <w:rFonts w:ascii="仿宋_GB2312" w:hAnsi="仿宋_GB2312" w:cs="仿宋_GB2312" w:eastAsia="仿宋_GB2312"/>
          <w:sz w:val="24"/>
        </w:rPr>
        <w:t>原有防火应急道路和巡护</w:t>
      </w:r>
      <w:r>
        <w:rPr>
          <w:rFonts w:ascii="仿宋_GB2312" w:hAnsi="仿宋_GB2312" w:cs="仿宋_GB2312" w:eastAsia="仿宋_GB2312"/>
          <w:sz w:val="24"/>
        </w:rPr>
        <w:t>道</w:t>
      </w:r>
      <w:r>
        <w:rPr>
          <w:rFonts w:ascii="仿宋_GB2312" w:hAnsi="仿宋_GB2312" w:cs="仿宋_GB2312" w:eastAsia="仿宋_GB2312"/>
          <w:sz w:val="24"/>
        </w:rPr>
        <w:t>路为辅</w:t>
      </w:r>
      <w:r>
        <w:rPr>
          <w:rFonts w:ascii="仿宋_GB2312" w:hAnsi="仿宋_GB2312" w:cs="仿宋_GB2312" w:eastAsia="仿宋_GB2312"/>
          <w:sz w:val="24"/>
        </w:rPr>
        <w:t>；</w:t>
      </w:r>
      <w:r>
        <w:rPr>
          <w:rFonts w:ascii="仿宋_GB2312" w:hAnsi="仿宋_GB2312" w:cs="仿宋_GB2312" w:eastAsia="仿宋_GB2312"/>
          <w:sz w:val="24"/>
        </w:rPr>
        <w:t>以</w:t>
      </w:r>
      <w:r>
        <w:rPr>
          <w:rFonts w:ascii="仿宋_GB2312" w:hAnsi="仿宋_GB2312" w:cs="仿宋_GB2312" w:eastAsia="仿宋_GB2312"/>
          <w:sz w:val="24"/>
        </w:rPr>
        <w:t>森林防火应急道路</w:t>
      </w:r>
      <w:r>
        <w:rPr>
          <w:rFonts w:ascii="仿宋_GB2312" w:hAnsi="仿宋_GB2312" w:cs="仿宋_GB2312" w:eastAsia="仿宋_GB2312"/>
          <w:sz w:val="24"/>
        </w:rPr>
        <w:t>毗邻的村庄、连队、森工队等为主，以生产生活密度大、频次高的槟榔、香蕉、橡胶、松油等种植或收割以及交易的区域为辅，以管护站点为补充</w:t>
      </w:r>
      <w:r>
        <w:rPr>
          <w:rFonts w:ascii="仿宋_GB2312" w:hAnsi="仿宋_GB2312" w:cs="仿宋_GB2312" w:eastAsia="仿宋_GB2312"/>
          <w:sz w:val="24"/>
        </w:rPr>
        <w:t>。</w:t>
      </w:r>
      <w:r>
        <w:rPr>
          <w:rFonts w:ascii="仿宋_GB2312" w:hAnsi="仿宋_GB2312" w:cs="仿宋_GB2312" w:eastAsia="仿宋_GB2312"/>
          <w:sz w:val="24"/>
        </w:rPr>
        <w:t>在此基础上，结合</w:t>
      </w:r>
      <w:r>
        <w:rPr>
          <w:rFonts w:ascii="仿宋_GB2312" w:hAnsi="仿宋_GB2312" w:cs="仿宋_GB2312" w:eastAsia="仿宋_GB2312"/>
          <w:sz w:val="24"/>
        </w:rPr>
        <w:t>《森林防火宣传设施设置规范》：每</w:t>
      </w:r>
      <w:r>
        <w:rPr>
          <w:rFonts w:ascii="仿宋_GB2312" w:hAnsi="仿宋_GB2312" w:cs="仿宋_GB2312" w:eastAsia="仿宋_GB2312"/>
          <w:sz w:val="24"/>
        </w:rPr>
        <w:t>5公里不少于1个（套）的要求，参考各路段长短等具体情况，开展各片区、各路段标识牌的布点和分配。</w:t>
      </w:r>
    </w:p>
    <w:p>
      <w:pPr>
        <w:pStyle w:val="null3"/>
        <w:spacing w:after="255"/>
        <w:jc w:val="both"/>
        <w:outlineLvl w:val="1"/>
      </w:pPr>
      <w:r>
        <w:rPr>
          <w:rFonts w:ascii="仿宋_GB2312" w:hAnsi="仿宋_GB2312" w:cs="仿宋_GB2312" w:eastAsia="仿宋_GB2312"/>
          <w:sz w:val="24"/>
          <w:b/>
        </w:rPr>
        <w:t>5.实施内容：在海南热带雨林国家公园五指山、霸王岭、黎母山、鹦哥岭和吊罗山片区的森林防火应急道路制作和安装森林防火宣传标语字牌、宣传语音杆、警示标识牌和宣传栏。</w:t>
      </w:r>
    </w:p>
    <w:p>
      <w:pPr>
        <w:pStyle w:val="null3"/>
        <w:spacing w:before="150" w:after="150"/>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防火宣传标识设置类别与数量</w:t>
      </w:r>
    </w:p>
    <w:tbl>
      <w:tblPr>
        <w:tblW w:w="0" w:type="auto"/>
        <w:tblBorders>
          <w:top w:val="none" w:color="000000" w:sz="4"/>
          <w:left w:val="none" w:color="000000" w:sz="4"/>
          <w:bottom w:val="none" w:color="000000" w:sz="4"/>
          <w:right w:val="none" w:color="000000" w:sz="4"/>
          <w:insideH w:val="none"/>
          <w:insideV w:val="none"/>
        </w:tblBorders>
      </w:tblPr>
      <w:tblGrid>
        <w:gridCol w:w="847"/>
        <w:gridCol w:w="2133"/>
        <w:gridCol w:w="1341"/>
        <w:gridCol w:w="1341"/>
        <w:gridCol w:w="1341"/>
        <w:gridCol w:w="1285"/>
      </w:tblGrid>
      <w:tr>
        <w:tc>
          <w:tcPr>
            <w:tcW w:type="dxa" w:w="847"/>
            <w:vMerge w:val="restart"/>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color w:val="000000"/>
              </w:rPr>
              <w:t>序号</w:t>
            </w:r>
          </w:p>
        </w:tc>
        <w:tc>
          <w:tcPr>
            <w:tcW w:type="dxa" w:w="2133"/>
            <w:vMerge w:val="restart"/>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color w:val="000000"/>
              </w:rPr>
              <w:t>分</w:t>
            </w:r>
            <w:r>
              <w:rPr>
                <w:rFonts w:ascii="仿宋_GB2312" w:hAnsi="仿宋_GB2312" w:cs="仿宋_GB2312" w:eastAsia="仿宋_GB2312"/>
                <w:sz w:val="24"/>
                <w:b/>
                <w:color w:val="000000"/>
              </w:rPr>
              <w:t>局</w:t>
            </w:r>
          </w:p>
        </w:tc>
        <w:tc>
          <w:tcPr>
            <w:tcW w:type="dxa" w:w="5308"/>
            <w:gridSpan w:val="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color w:val="000000"/>
              </w:rPr>
              <w:t>标</w:t>
            </w:r>
            <w:r>
              <w:rPr>
                <w:rFonts w:ascii="仿宋_GB2312" w:hAnsi="仿宋_GB2312" w:cs="仿宋_GB2312" w:eastAsia="仿宋_GB2312"/>
                <w:sz w:val="24"/>
                <w:b/>
                <w:color w:val="000000"/>
              </w:rPr>
              <w:t>识</w:t>
            </w:r>
            <w:r>
              <w:rPr>
                <w:rFonts w:ascii="仿宋_GB2312" w:hAnsi="仿宋_GB2312" w:cs="仿宋_GB2312" w:eastAsia="仿宋_GB2312"/>
                <w:sz w:val="24"/>
                <w:b/>
                <w:color w:val="000000"/>
              </w:rPr>
              <w:t>牌</w:t>
            </w:r>
            <w:r>
              <w:rPr>
                <w:rFonts w:ascii="仿宋_GB2312" w:hAnsi="仿宋_GB2312" w:cs="仿宋_GB2312" w:eastAsia="仿宋_GB2312"/>
                <w:sz w:val="24"/>
                <w:b/>
                <w:color w:val="000000"/>
              </w:rPr>
              <w:t>类</w:t>
            </w:r>
            <w:r>
              <w:rPr>
                <w:rFonts w:ascii="仿宋_GB2312" w:hAnsi="仿宋_GB2312" w:cs="仿宋_GB2312" w:eastAsia="仿宋_GB2312"/>
                <w:sz w:val="24"/>
                <w:b/>
                <w:color w:val="000000"/>
              </w:rPr>
              <w:t>别</w:t>
            </w:r>
          </w:p>
        </w:tc>
      </w:tr>
      <w:tr>
        <w:tc>
          <w:tcPr>
            <w:tcW w:type="dxa" w:w="847"/>
            <w:vMerge/>
            <w:tcBorders>
              <w:top w:val="single" w:color="000000" w:sz="4"/>
              <w:left w:val="single" w:color="000000" w:sz="4"/>
              <w:bottom w:val="none" w:color="000000" w:sz="4"/>
              <w:right w:val="single" w:color="000000" w:sz="4"/>
            </w:tcBorders>
          </w:tcPr>
          <w:p/>
        </w:tc>
        <w:tc>
          <w:tcPr>
            <w:tcW w:type="dxa" w:w="2133"/>
            <w:vMerge/>
            <w:tcBorders>
              <w:top w:val="single" w:color="000000" w:sz="4"/>
              <w:left w:val="none" w:color="000000" w:sz="4"/>
              <w:bottom w:val="none" w:color="000000" w:sz="4"/>
              <w:right w:val="single" w:color="000000" w:sz="4"/>
            </w:tcBorders>
          </w:tcP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color w:val="000000"/>
              </w:rPr>
              <w:t>宣传栏</w:t>
            </w:r>
          </w:p>
        </w:tc>
        <w:tc>
          <w:tcPr>
            <w:tcW w:type="dxa" w:w="1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color w:val="000000"/>
              </w:rPr>
              <w:t>大字标语</w:t>
            </w:r>
          </w:p>
        </w:tc>
        <w:tc>
          <w:tcPr>
            <w:tcW w:type="dxa" w:w="13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color w:val="000000"/>
              </w:rPr>
              <w:t>警示牌</w:t>
            </w:r>
          </w:p>
        </w:tc>
        <w:tc>
          <w:tcPr>
            <w:tcW w:type="dxa" w:w="128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b/>
                <w:color w:val="000000"/>
              </w:rPr>
              <w:t>语音杆</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1</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黎母山</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22</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24</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35</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19</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2</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吊罗山</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39</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34</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55</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38</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3</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霸王岭</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26</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46</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24</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4</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五指山</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27</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23</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58</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30</w:t>
            </w:r>
          </w:p>
        </w:tc>
      </w:tr>
      <w:tr>
        <w:tc>
          <w:tcPr>
            <w:tcW w:type="dxa" w:w="84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5</w:t>
            </w:r>
          </w:p>
        </w:tc>
        <w:tc>
          <w:tcPr>
            <w:tcW w:type="dxa" w:w="213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鹦哥岭</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16</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23</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28</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rPr>
              <w:t>19</w:t>
            </w:r>
          </w:p>
        </w:tc>
      </w:tr>
      <w:tr>
        <w:tc>
          <w:tcPr>
            <w:tcW w:type="dxa" w:w="2980"/>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合计</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130</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130</w:t>
            </w:r>
          </w:p>
        </w:tc>
        <w:tc>
          <w:tcPr>
            <w:tcW w:type="dxa" w:w="13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222</w:t>
            </w:r>
          </w:p>
        </w:tc>
        <w:tc>
          <w:tcPr>
            <w:tcW w:type="dxa" w:w="128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24"/>
                <w:color w:val="000000"/>
              </w:rPr>
              <w:t>130</w:t>
            </w:r>
          </w:p>
        </w:tc>
      </w:tr>
    </w:tbl>
    <w:p>
      <w:pPr>
        <w:pStyle w:val="null3"/>
        <w:spacing w:before="150" w:after="150"/>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防火宣传标识设置内容分解</w:t>
      </w:r>
    </w:p>
    <w:tbl>
      <w:tblPr>
        <w:tblW w:w="0" w:type="auto"/>
        <w:tblInd w:type="dxa" w:w="75"/>
        <w:tblBorders>
          <w:top w:val="none" w:color="000000" w:sz="4"/>
          <w:left w:val="none" w:color="000000" w:sz="4"/>
          <w:bottom w:val="none" w:color="000000" w:sz="4"/>
          <w:right w:val="none" w:color="000000" w:sz="4"/>
          <w:insideH w:val="none"/>
          <w:insideV w:val="none"/>
        </w:tblBorders>
      </w:tblPr>
      <w:tblGrid>
        <w:gridCol w:w="1252"/>
        <w:gridCol w:w="5870"/>
        <w:gridCol w:w="1168"/>
      </w:tblGrid>
      <w:tr>
        <w:tc>
          <w:tcPr>
            <w:tcW w:type="dxa" w:w="125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类别</w:t>
            </w:r>
          </w:p>
        </w:tc>
        <w:tc>
          <w:tcPr>
            <w:tcW w:type="dxa" w:w="58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内容</w:t>
            </w:r>
          </w:p>
        </w:tc>
        <w:tc>
          <w:tcPr>
            <w:tcW w:type="dxa" w:w="1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备注</w:t>
            </w:r>
          </w:p>
        </w:tc>
      </w:tr>
      <w:tr>
        <w:tc>
          <w:tcPr>
            <w:tcW w:type="dxa" w:w="1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宣传栏</w:t>
            </w: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珍爱森林</w:t>
            </w:r>
            <w:r>
              <w:rPr>
                <w:rFonts w:ascii="仿宋_GB2312" w:hAnsi="仿宋_GB2312" w:cs="仿宋_GB2312" w:eastAsia="仿宋_GB2312"/>
                <w:sz w:val="24"/>
              </w:rPr>
              <w:t>防火于未燃</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不要让未成年人在林区内玩火</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不要在林区内上香烧纸、燃放烟花爆竹</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进山不带火</w:t>
            </w:r>
            <w:r>
              <w:rPr>
                <w:rFonts w:ascii="仿宋_GB2312" w:hAnsi="仿宋_GB2312" w:cs="仿宋_GB2312" w:eastAsia="仿宋_GB2312"/>
                <w:sz w:val="24"/>
              </w:rPr>
              <w:t>林区不吸烟</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不要在野外烧火取暖、烧烤食物</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国宝雨林下</w:t>
            </w:r>
            <w:r>
              <w:rPr>
                <w:rFonts w:ascii="仿宋_GB2312" w:hAnsi="仿宋_GB2312" w:cs="仿宋_GB2312" w:eastAsia="仿宋_GB2312"/>
                <w:sz w:val="24"/>
              </w:rPr>
              <w:t>防火责任大</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给自然留呼吸</w:t>
            </w:r>
            <w:r>
              <w:rPr>
                <w:rFonts w:ascii="仿宋_GB2312" w:hAnsi="仿宋_GB2312" w:cs="仿宋_GB2312" w:eastAsia="仿宋_GB2312"/>
                <w:sz w:val="24"/>
              </w:rPr>
              <w:t>给火种上枷锁</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雨林契约：只留足迹</w:t>
            </w:r>
            <w:r>
              <w:rPr>
                <w:rFonts w:ascii="仿宋_GB2312" w:hAnsi="仿宋_GB2312" w:cs="仿宋_GB2312" w:eastAsia="仿宋_GB2312"/>
                <w:sz w:val="24"/>
              </w:rPr>
              <w:t>不留火痕</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绿是雨林的</w:t>
            </w:r>
            <w:r>
              <w:rPr>
                <w:rFonts w:ascii="仿宋_GB2312" w:hAnsi="仿宋_GB2312" w:cs="仿宋_GB2312" w:eastAsia="仿宋_GB2312"/>
                <w:sz w:val="24"/>
              </w:rPr>
              <w:t>DNA 火是它的删除键</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海南蓝配雨林绿，别让烟火</w:t>
            </w:r>
            <w:r>
              <w:rPr>
                <w:rFonts w:ascii="仿宋_GB2312" w:hAnsi="仿宋_GB2312" w:cs="仿宋_GB2312" w:eastAsia="仿宋_GB2312"/>
                <w:sz w:val="24"/>
              </w:rPr>
              <w:t>“抢C位”！</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绿水青山代代传</w:t>
            </w:r>
            <w:r>
              <w:rPr>
                <w:rFonts w:ascii="仿宋_GB2312" w:hAnsi="仿宋_GB2312" w:cs="仿宋_GB2312" w:eastAsia="仿宋_GB2312"/>
                <w:sz w:val="24"/>
              </w:rPr>
              <w:t>防火常抓不放宽</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一点星星火</w:t>
            </w:r>
            <w:r>
              <w:rPr>
                <w:rFonts w:ascii="仿宋_GB2312" w:hAnsi="仿宋_GB2312" w:cs="仿宋_GB2312" w:eastAsia="仿宋_GB2312"/>
                <w:sz w:val="24"/>
              </w:rPr>
              <w:t>可毁万亩林</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拍照存美好，用火请忍住！</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10块</w:t>
            </w:r>
          </w:p>
        </w:tc>
      </w:tr>
      <w:tr>
        <w:tc>
          <w:tcPr>
            <w:tcW w:type="dxa" w:w="125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大字标语</w:t>
            </w: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珍爱森林</w:t>
            </w:r>
            <w:r>
              <w:rPr>
                <w:rFonts w:ascii="仿宋_GB2312" w:hAnsi="仿宋_GB2312" w:cs="仿宋_GB2312" w:eastAsia="仿宋_GB2312"/>
                <w:sz w:val="24"/>
              </w:rPr>
              <w:t>始于防火</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不要携带火种进山</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不要在林区吸烟</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不要在山上野炊</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牢记森林防火十不要</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山青水绿</w:t>
            </w:r>
            <w:r>
              <w:rPr>
                <w:rFonts w:ascii="仿宋_GB2312" w:hAnsi="仿宋_GB2312" w:cs="仿宋_GB2312" w:eastAsia="仿宋_GB2312"/>
                <w:sz w:val="24"/>
              </w:rPr>
              <w:t>烟火禁入</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全民防火</w:t>
            </w:r>
            <w:r>
              <w:rPr>
                <w:rFonts w:ascii="仿宋_GB2312" w:hAnsi="仿宋_GB2312" w:cs="仿宋_GB2312" w:eastAsia="仿宋_GB2312"/>
                <w:sz w:val="24"/>
              </w:rPr>
              <w:t>共享生态</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雨林国宝</w:t>
            </w:r>
            <w:r>
              <w:rPr>
                <w:rFonts w:ascii="仿宋_GB2312" w:hAnsi="仿宋_GB2312" w:cs="仿宋_GB2312" w:eastAsia="仿宋_GB2312"/>
                <w:sz w:val="24"/>
              </w:rPr>
              <w:t>无火长保</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10套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森林防火</w:t>
            </w:r>
            <w:r>
              <w:rPr>
                <w:rFonts w:ascii="仿宋_GB2312" w:hAnsi="仿宋_GB2312" w:cs="仿宋_GB2312" w:eastAsia="仿宋_GB2312"/>
                <w:sz w:val="24"/>
              </w:rPr>
              <w:t>人人有责</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15套</w:t>
            </w:r>
          </w:p>
        </w:tc>
      </w:tr>
      <w:tr>
        <w:tc>
          <w:tcPr>
            <w:tcW w:type="dxa" w:w="1252"/>
            <w:vMerge/>
            <w:tcBorders>
              <w:top w:val="none" w:color="000000" w:sz="4"/>
              <w:left w:val="single" w:color="000000" w:sz="4"/>
              <w:bottom w:val="single" w:color="000000" w:sz="4"/>
              <w:right w:val="single" w:color="000000" w:sz="4"/>
            </w:tcBorders>
          </w:tcP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进入林区</w:t>
            </w:r>
            <w:r>
              <w:rPr>
                <w:rFonts w:ascii="仿宋_GB2312" w:hAnsi="仿宋_GB2312" w:cs="仿宋_GB2312" w:eastAsia="仿宋_GB2312"/>
                <w:sz w:val="24"/>
              </w:rPr>
              <w:t>防火第一</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15套</w:t>
            </w:r>
          </w:p>
        </w:tc>
      </w:tr>
      <w:tr>
        <w:tc>
          <w:tcPr>
            <w:tcW w:type="dxa" w:w="125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警示牌</w:t>
            </w:r>
          </w:p>
        </w:tc>
        <w:tc>
          <w:tcPr>
            <w:tcW w:type="dxa" w:w="58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严禁烟火（图形）</w:t>
            </w:r>
            <w:r>
              <w:rPr>
                <w:rFonts w:ascii="仿宋_GB2312" w:hAnsi="仿宋_GB2312" w:cs="仿宋_GB2312" w:eastAsia="仿宋_GB2312"/>
                <w:sz w:val="24"/>
              </w:rPr>
              <w:t>禁止携带火种进山入林</w:t>
            </w:r>
          </w:p>
        </w:tc>
        <w:tc>
          <w:tcPr>
            <w:tcW w:type="dxa" w:w="1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222块</w:t>
            </w:r>
          </w:p>
        </w:tc>
      </w:tr>
    </w:tbl>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5,857,828.00</w:t>
      </w:r>
    </w:p>
    <w:p>
      <w:pPr>
        <w:pStyle w:val="null3"/>
        <w:jc w:val="left"/>
      </w:pPr>
      <w:r>
        <w:rPr>
          <w:rFonts w:ascii="仿宋_GB2312" w:hAnsi="仿宋_GB2312" w:cs="仿宋_GB2312" w:eastAsia="仿宋_GB2312"/>
        </w:rPr>
        <w:t>采购包最高限价（元）: 5,857,828.00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A02379900-其他政法、消防、检测设备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5,857,828.00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是</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宣传栏</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1,755,000.00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2</w:t>
            </w:r>
          </w:p>
        </w:tc>
        <w:tc>
          <w:tcPr>
            <w:tcW w:type="dxa" w:w="3046"/>
          </w:tcPr>
          <w:p>
            <w:pPr>
              <w:pStyle w:val="null3"/>
              <w:jc w:val="left"/>
            </w:pPr>
            <w:r>
              <w:rPr>
                <w:rFonts w:ascii="仿宋_GB2312" w:hAnsi="仿宋_GB2312" w:cs="仿宋_GB2312" w:eastAsia="仿宋_GB2312"/>
              </w:rPr>
              <w:t>大字标语</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1,560,000.00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3</w:t>
            </w:r>
          </w:p>
        </w:tc>
        <w:tc>
          <w:tcPr>
            <w:tcW w:type="dxa" w:w="3046"/>
          </w:tcPr>
          <w:p>
            <w:pPr>
              <w:pStyle w:val="null3"/>
              <w:jc w:val="left"/>
            </w:pPr>
            <w:r>
              <w:rPr>
                <w:rFonts w:ascii="仿宋_GB2312" w:hAnsi="仿宋_GB2312" w:cs="仿宋_GB2312" w:eastAsia="仿宋_GB2312"/>
              </w:rPr>
              <w:t>警示牌</w:t>
            </w:r>
          </w:p>
        </w:tc>
        <w:tc>
          <w:tcPr>
            <w:tcW w:type="dxa" w:w="554"/>
          </w:tcPr>
          <w:p>
            <w:pPr>
              <w:pStyle w:val="null3"/>
              <w:jc w:val="left"/>
            </w:pPr>
            <w:r>
              <w:rPr>
                <w:rFonts w:ascii="仿宋_GB2312" w:hAnsi="仿宋_GB2312" w:cs="仿宋_GB2312" w:eastAsia="仿宋_GB2312"/>
              </w:rPr>
              <w:t>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1,281,828.00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r>
        <w:tc>
          <w:tcPr>
            <w:tcW w:type="dxa" w:w="346"/>
          </w:tcPr>
          <w:p>
            <w:pPr>
              <w:pStyle w:val="null3"/>
              <w:jc w:val="left"/>
            </w:pPr>
            <w:r>
              <w:rPr>
                <w:rFonts w:ascii="仿宋_GB2312" w:hAnsi="仿宋_GB2312" w:cs="仿宋_GB2312" w:eastAsia="仿宋_GB2312"/>
              </w:rPr>
              <w:t>4</w:t>
            </w:r>
          </w:p>
        </w:tc>
        <w:tc>
          <w:tcPr>
            <w:tcW w:type="dxa" w:w="3046"/>
          </w:tcPr>
          <w:p>
            <w:pPr>
              <w:pStyle w:val="null3"/>
              <w:jc w:val="left"/>
            </w:pPr>
            <w:r>
              <w:rPr>
                <w:rFonts w:ascii="仿宋_GB2312" w:hAnsi="仿宋_GB2312" w:cs="仿宋_GB2312" w:eastAsia="仿宋_GB2312"/>
              </w:rPr>
              <w:t>语音杆</w:t>
            </w:r>
          </w:p>
        </w:tc>
        <w:tc>
          <w:tcPr>
            <w:tcW w:type="dxa" w:w="554"/>
          </w:tcPr>
          <w:p>
            <w:pPr>
              <w:pStyle w:val="null3"/>
              <w:jc w:val="left"/>
            </w:pPr>
            <w:r>
              <w:rPr>
                <w:rFonts w:ascii="仿宋_GB2312" w:hAnsi="仿宋_GB2312" w:cs="仿宋_GB2312" w:eastAsia="仿宋_GB2312"/>
              </w:rPr>
              <w:t>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1,261,000.00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标的名称：A02379900-其他政法、消防、检测设备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详见招标文件及附件</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、报价要求：报价包含标识牌等产品、安装施工及税点、劳务、交通以及其他相关费用，在项目实施过程中出现的任何遗漏，均由中标单位免费提供，采购人将不再支付任何费用。</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、项目实施地点（交付地点）：海南省森林防火应急道路防火宣传标识项目覆盖海南热带雨林国家公园五指山、霸王岭、黎母山、鹦哥岭和吊罗山五大片区。</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、合同履行期限（交付期）：自合同签订之日起至</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月底完成安装及验收。</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、质保期：一年，从验收合格之日起算。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、付款时间：</w:t>
            </w:r>
          </w:p>
          <w:p>
            <w:pPr>
              <w:pStyle w:val="null3"/>
              <w:jc w:val="both"/>
            </w:pPr>
            <w:r>
              <w:rPr>
                <w:rFonts w:ascii="仿宋_GB2312" w:hAnsi="仿宋_GB2312" w:cs="仿宋_GB2312" w:eastAsia="仿宋_GB2312"/>
                <w:sz w:val="21"/>
              </w:rPr>
              <w:t>①预付款：合同签订后，采购人凭中标人开具的正式有效发票在</w:t>
            </w:r>
            <w:r>
              <w:rPr>
                <w:rFonts w:ascii="仿宋_GB2312" w:hAnsi="仿宋_GB2312" w:cs="仿宋_GB2312" w:eastAsia="仿宋_GB2312"/>
                <w:sz w:val="21"/>
              </w:rPr>
              <w:t>3</w:t>
            </w:r>
            <w:r>
              <w:rPr>
                <w:rFonts w:ascii="仿宋_GB2312" w:hAnsi="仿宋_GB2312" w:cs="仿宋_GB2312" w:eastAsia="仿宋_GB2312"/>
                <w:sz w:val="21"/>
              </w:rPr>
              <w:t>个工作日内向中标人支付合同预付款，预付款为合同总金额的</w:t>
            </w:r>
            <w:r>
              <w:rPr>
                <w:rFonts w:ascii="仿宋_GB2312" w:hAnsi="仿宋_GB2312" w:cs="仿宋_GB2312" w:eastAsia="仿宋_GB2312"/>
                <w:sz w:val="21"/>
              </w:rPr>
              <w:t>50%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②合同进度款：所有货物进场完成签收后，中标人开具等额合法有效的发票，采购人凭中标人开具的正式有效发票在</w:t>
            </w:r>
            <w:r>
              <w:rPr>
                <w:rFonts w:ascii="仿宋_GB2312" w:hAnsi="仿宋_GB2312" w:cs="仿宋_GB2312" w:eastAsia="仿宋_GB2312"/>
                <w:sz w:val="21"/>
              </w:rPr>
              <w:t>3</w:t>
            </w:r>
            <w:r>
              <w:rPr>
                <w:rFonts w:ascii="仿宋_GB2312" w:hAnsi="仿宋_GB2312" w:cs="仿宋_GB2312" w:eastAsia="仿宋_GB2312"/>
                <w:sz w:val="21"/>
              </w:rPr>
              <w:t>个工作日内向中标人支付合同进度款，进度款为合同总金额的</w:t>
            </w:r>
            <w:r>
              <w:rPr>
                <w:rFonts w:ascii="仿宋_GB2312" w:hAnsi="仿宋_GB2312" w:cs="仿宋_GB2312" w:eastAsia="仿宋_GB2312"/>
                <w:sz w:val="21"/>
              </w:rPr>
              <w:t>30%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③项目完成安装并验收合格后，且收到中标人提交验收报告材料后，采购人在收到中标人开具的正式有效发票之日起</w:t>
            </w:r>
            <w:r>
              <w:rPr>
                <w:rFonts w:ascii="仿宋_GB2312" w:hAnsi="仿宋_GB2312" w:cs="仿宋_GB2312" w:eastAsia="仿宋_GB2312"/>
                <w:sz w:val="21"/>
              </w:rPr>
              <w:t>3</w:t>
            </w:r>
            <w:r>
              <w:rPr>
                <w:rFonts w:ascii="仿宋_GB2312" w:hAnsi="仿宋_GB2312" w:cs="仿宋_GB2312" w:eastAsia="仿宋_GB2312"/>
                <w:sz w:val="21"/>
              </w:rPr>
              <w:t>个工作日内向中标人支付合同总金额的</w:t>
            </w:r>
            <w:r>
              <w:rPr>
                <w:rFonts w:ascii="仿宋_GB2312" w:hAnsi="仿宋_GB2312" w:cs="仿宋_GB2312" w:eastAsia="仿宋_GB2312"/>
                <w:sz w:val="21"/>
              </w:rPr>
              <w:t>20%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、质量要求：合格。</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、验收要求：按照《海南省政府采购履约验收管理暂行办法》（琼财采规〔</w:t>
            </w:r>
            <w:r>
              <w:rPr>
                <w:rFonts w:ascii="仿宋_GB2312" w:hAnsi="仿宋_GB2312" w:cs="仿宋_GB2312" w:eastAsia="仿宋_GB2312"/>
                <w:sz w:val="21"/>
              </w:rPr>
              <w:t>2023</w:t>
            </w:r>
            <w:r>
              <w:rPr>
                <w:rFonts w:ascii="仿宋_GB2312" w:hAnsi="仿宋_GB2312" w:cs="仿宋_GB2312" w:eastAsia="仿宋_GB2312"/>
                <w:sz w:val="21"/>
              </w:rPr>
              <w:t>〕</w:t>
            </w:r>
            <w:r>
              <w:rPr>
                <w:rFonts w:ascii="仿宋_GB2312" w:hAnsi="仿宋_GB2312" w:cs="仿宋_GB2312" w:eastAsia="仿宋_GB2312"/>
                <w:sz w:val="21"/>
              </w:rPr>
              <w:t>16</w:t>
            </w:r>
            <w:r>
              <w:rPr>
                <w:rFonts w:ascii="仿宋_GB2312" w:hAnsi="仿宋_GB2312" w:cs="仿宋_GB2312" w:eastAsia="仿宋_GB2312"/>
                <w:sz w:val="21"/>
              </w:rPr>
              <w:t>号）、《海南省林业局（海南热带雨林国家公园管理局）政府采购管理办法（试行）》（琼林办〔</w:t>
            </w:r>
            <w:r>
              <w:rPr>
                <w:rFonts w:ascii="仿宋_GB2312" w:hAnsi="仿宋_GB2312" w:cs="仿宋_GB2312" w:eastAsia="仿宋_GB2312"/>
                <w:sz w:val="21"/>
              </w:rPr>
              <w:t>2024</w:t>
            </w: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号）等规定进行验收。</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、其他未尽事宜采购双方签订合同时另行约定。</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本招标文件第五章政府采购合同文本仅供参考，最终以双方签订的内容为准。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投标人无不良信用记录声明函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无环保类行政处罚记录声明</w:t>
            </w:r>
          </w:p>
        </w:tc>
        <w:tc>
          <w:tcPr>
            <w:tcW w:type="dxa" w:w="3322"/>
          </w:tcPr>
          <w:p>
            <w:pPr>
              <w:pStyle w:val="null3"/>
              <w:jc w:val="left"/>
            </w:pPr>
            <w:r>
              <w:rPr>
                <w:rFonts w:ascii="仿宋_GB2312" w:hAnsi="仿宋_GB2312" w:cs="仿宋_GB2312" w:eastAsia="仿宋_GB2312"/>
              </w:rPr>
              <w:t>参加政府采购活动前三年内，在经营活动中没有环保类行政处罚记录。（提供声明函，加盖公章）</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投标人无不良信用记录声明函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投标（响应）报价明细表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无环保类行政处罚记录声明函 开标（报价）一览表 中小企业声明函 商务应答表 自觉抵制政府采购领域商业贿赂行为承诺书 投标人无不良信用记录声明函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资格承诺函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技术部分64.00分</w:t>
            </w:r>
          </w:p>
          <w:p>
            <w:pPr>
              <w:pStyle w:val="null3"/>
              <w:jc w:val="both"/>
            </w:pPr>
            <w:r>
              <w:rPr>
                <w:rFonts w:ascii="仿宋_GB2312" w:hAnsi="仿宋_GB2312" w:cs="仿宋_GB2312" w:eastAsia="仿宋_GB2312"/>
              </w:rPr>
              <w:t>商务部分6.00分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项目实施方案</w:t>
            </w:r>
          </w:p>
        </w:tc>
        <w:tc>
          <w:tcPr>
            <w:tcW w:type="dxa" w:w="2492"/>
          </w:tcPr>
          <w:p>
            <w:pPr>
              <w:pStyle w:val="null3"/>
              <w:jc w:val="both"/>
            </w:pPr>
            <w:r>
              <w:rPr>
                <w:rFonts w:ascii="仿宋_GB2312" w:hAnsi="仿宋_GB2312" w:cs="仿宋_GB2312" w:eastAsia="仿宋_GB2312"/>
              </w:rPr>
              <w:t>投标人针对本项目提供的项目实施方案，内容包括但不限于：①组织机构、②供货计划、供货时间进度保障措施、③沟通汇报机制、④安装与运输、⑤安全文明施工措施、⑥验收方案、⑦应急预案等7项内容，每缺少1项扣3分，满分（21分）；以上7项内容，每项内容存在一处缺陷扣1分，每项内容因缺陷最多扣3分，不提供不得分。 注：内容缺陷是指内容不符合项目实际要求或不适用项目特性的情形、描述不详细、缺乏针对性、缺乏可操作性、缺少关键节点、套用其他项目方案、内容前后矛盾、不利于项目实施、科学原理错误及不可能实现的情形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质量保证措施</w:t>
            </w:r>
          </w:p>
        </w:tc>
        <w:tc>
          <w:tcPr>
            <w:tcW w:type="dxa" w:w="2492"/>
          </w:tcPr>
          <w:p>
            <w:pPr>
              <w:pStyle w:val="null3"/>
              <w:jc w:val="both"/>
            </w:pPr>
            <w:r>
              <w:rPr>
                <w:rFonts w:ascii="仿宋_GB2312" w:hAnsi="仿宋_GB2312" w:cs="仿宋_GB2312" w:eastAsia="仿宋_GB2312"/>
              </w:rPr>
              <w:t>根据投标人提交的质量保证措施进行综合评分，内容包括但不限于：①质量目标、②质量保证体系、③质量技术措施、④质量安全保障措施、⑤质量问题追溯与改进机制等5项内容，每缺少1项扣3分，满分（15分）；以上5项内容，每项内容存在一处缺陷扣1分，每项内容因缺陷最多扣3分，不提供不得分。 注：内容缺陷是指内容不符合项目实际要求或不适用项目特性的情形、描述不详细、缺乏针对性、缺乏可操作性、缺少关键节点、套用其他项目方案、内容前后矛盾、不利于项目实施、科学原理错误及不可能实现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售后服务方案</w:t>
            </w:r>
          </w:p>
        </w:tc>
        <w:tc>
          <w:tcPr>
            <w:tcW w:type="dxa" w:w="2492"/>
          </w:tcPr>
          <w:p>
            <w:pPr>
              <w:pStyle w:val="null3"/>
              <w:jc w:val="both"/>
            </w:pPr>
            <w:r>
              <w:rPr>
                <w:rFonts w:ascii="仿宋_GB2312" w:hAnsi="仿宋_GB2312" w:cs="仿宋_GB2312" w:eastAsia="仿宋_GB2312"/>
              </w:rPr>
              <w:t>根据投标人提交的售后服务方案进行综合评分，内容包括但不限于：①售后服务制度、②服务承诺、③售后服务流程及机构设置、④客户投诉与问题解决预案、⑤维修及更换等5项内容，每缺少1项扣4分，满分（20分）；以上5项内容，每项内容存在一处缺陷扣1分，每项内容因缺陷最多扣4分，不提供不得分。 注：内容缺陷是指内容不符合项目实际要求或不适用项目特性的情形、描述不详细、缺乏针对性、缺乏可操作性、缺少关键节点、套用其他项目方案、内容前后矛盾、不利于项目实施、科学原理错误及不可能实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培训方案</w:t>
            </w:r>
          </w:p>
        </w:tc>
        <w:tc>
          <w:tcPr>
            <w:tcW w:type="dxa" w:w="2492"/>
          </w:tcPr>
          <w:p>
            <w:pPr>
              <w:pStyle w:val="null3"/>
              <w:jc w:val="both"/>
            </w:pPr>
            <w:r>
              <w:rPr>
                <w:rFonts w:ascii="仿宋_GB2312" w:hAnsi="仿宋_GB2312" w:cs="仿宋_GB2312" w:eastAsia="仿宋_GB2312"/>
              </w:rPr>
              <w:t>根据投标人针对本项目编制培训方案进行综合评分，内容包括但不限于：①培训内容、②培训计划、③培训方式、④培训效果评估等4项内容，每缺少1项扣2分，满分（8分）；以上4项内容，每项内容存在一处缺陷扣1分，每项内容因缺陷最多扣2分，不提供不得分。 注：内容缺陷是指内容不符合项目实际要求或不适用项目特性的情形、描述不详细、缺乏针对性、缺乏可操作性、缺少关键节点、套用其他项目方案、内容前后矛盾、不利于项目实施、科学原理错误及不可能实现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类似业绩</w:t>
            </w:r>
          </w:p>
        </w:tc>
        <w:tc>
          <w:tcPr>
            <w:tcW w:type="dxa" w:w="2492"/>
          </w:tcPr>
          <w:p>
            <w:pPr>
              <w:pStyle w:val="null3"/>
              <w:jc w:val="both"/>
            </w:pPr>
            <w:r>
              <w:rPr>
                <w:rFonts w:ascii="仿宋_GB2312" w:hAnsi="仿宋_GB2312" w:cs="仿宋_GB2312" w:eastAsia="仿宋_GB2312"/>
              </w:rPr>
              <w:t>投标人提供2022年1月1日至今以来承接过的类似项目业绩，每提供一个得2分，本项满分6分。 证明材料：提供合同复印件，时间以合同签订时间为准，未提供不得分。（须提供合同的全部内容:包含合同首页、合同金额所在页、签字盖章页作为证明，否则不得分。）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中小企业声明函</w:t>
            </w:r>
          </w:p>
          <w:p>
            <w:pPr>
              <w:pStyle w:val="null3"/>
              <w:jc w:val="both"/>
            </w:pPr>
            <w:r>
              <w:rPr>
                <w:rFonts w:ascii="仿宋_GB2312" w:hAnsi="仿宋_GB2312" w:cs="仿宋_GB2312" w:eastAsia="仿宋_GB2312"/>
              </w:rPr>
              <w:t>残疾人福利性单位声明函</w:t>
            </w:r>
          </w:p>
          <w:p>
            <w:pPr>
              <w:pStyle w:val="null3"/>
              <w:jc w:val="both"/>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ZX2025-120</w:t>
      </w:r>
    </w:p>
    <w:p>
      <w:pPr>
        <w:pStyle w:val="null3"/>
        <w:jc w:val="left"/>
      </w:pPr>
      <w:r>
        <w:rPr>
          <w:rFonts w:ascii="仿宋_GB2312" w:hAnsi="仿宋_GB2312" w:cs="仿宋_GB2312" w:eastAsia="仿宋_GB2312"/>
        </w:rPr>
        <w:t>项目名称：</w:t>
      </w:r>
      <w:r>
        <w:rPr>
          <w:rFonts w:ascii="仿宋_GB2312" w:hAnsi="仿宋_GB2312" w:cs="仿宋_GB2312" w:eastAsia="仿宋_GB2312"/>
        </w:rPr>
        <w:t>海南省重点森林防火应急道路防火宣传标识项目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项目本身</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生产厂家</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规格型号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宣传栏</w:t>
            </w:r>
          </w:p>
        </w:tc>
        <w:tc>
          <w:tcPr>
            <w:tcW w:type="dxa" w:w="755"/>
          </w:tcPr>
          <w:p>
            <w:pPr>
              <w:pStyle w:val="null3"/>
              <w:jc w:val="left"/>
            </w:pPr>
            <w:r>
              <w:rPr>
                <w:rFonts w:ascii="仿宋_GB2312" w:hAnsi="仿宋_GB2312" w:cs="仿宋_GB2312" w:eastAsia="仿宋_GB2312"/>
              </w:rPr>
              <w:t xml:space="preserve"> 130.0000</w:t>
            </w:r>
          </w:p>
        </w:tc>
        <w:tc>
          <w:tcPr>
            <w:tcW w:type="dxa" w:w="755"/>
          </w:tcPr>
          <w:p>
            <w:pPr>
              <w:pStyle w:val="null3"/>
              <w:jc w:val="left"/>
            </w:pPr>
            <w:r>
              <w:rPr>
                <w:rFonts w:ascii="仿宋_GB2312" w:hAnsi="仿宋_GB2312" w:cs="仿宋_GB2312" w:eastAsia="仿宋_GB2312"/>
              </w:rPr>
              <w:t xml:space="preserve"> 块</w:t>
            </w:r>
          </w:p>
        </w:tc>
        <w:tc>
          <w:tcPr>
            <w:tcW w:type="dxa" w:w="755"/>
          </w:tcPr>
          <w:p>
            <w:pPr>
              <w:pStyle w:val="null3"/>
              <w:jc w:val="left"/>
            </w:pPr>
            <w:r>
              <w:rPr>
                <w:rFonts w:ascii="仿宋_GB2312" w:hAnsi="仿宋_GB2312" w:cs="仿宋_GB2312" w:eastAsia="仿宋_GB2312"/>
              </w:rPr>
              <w:t xml:space="preserve"> 1755000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2</w:t>
            </w:r>
          </w:p>
        </w:tc>
        <w:tc>
          <w:tcPr>
            <w:tcW w:type="dxa" w:w="755"/>
          </w:tcPr>
          <w:p>
            <w:pPr>
              <w:pStyle w:val="null3"/>
              <w:jc w:val="left"/>
            </w:pPr>
            <w:r>
              <w:rPr>
                <w:rFonts w:ascii="仿宋_GB2312" w:hAnsi="仿宋_GB2312" w:cs="仿宋_GB2312" w:eastAsia="仿宋_GB2312"/>
              </w:rPr>
              <w:t xml:space="preserve"> 大字标语</w:t>
            </w:r>
          </w:p>
        </w:tc>
        <w:tc>
          <w:tcPr>
            <w:tcW w:type="dxa" w:w="755"/>
          </w:tcPr>
          <w:p>
            <w:pPr>
              <w:pStyle w:val="null3"/>
              <w:jc w:val="left"/>
            </w:pPr>
            <w:r>
              <w:rPr>
                <w:rFonts w:ascii="仿宋_GB2312" w:hAnsi="仿宋_GB2312" w:cs="仿宋_GB2312" w:eastAsia="仿宋_GB2312"/>
              </w:rPr>
              <w:t xml:space="preserve"> 130.0000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1560000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3</w:t>
            </w:r>
          </w:p>
        </w:tc>
        <w:tc>
          <w:tcPr>
            <w:tcW w:type="dxa" w:w="755"/>
          </w:tcPr>
          <w:p>
            <w:pPr>
              <w:pStyle w:val="null3"/>
              <w:jc w:val="left"/>
            </w:pPr>
            <w:r>
              <w:rPr>
                <w:rFonts w:ascii="仿宋_GB2312" w:hAnsi="仿宋_GB2312" w:cs="仿宋_GB2312" w:eastAsia="仿宋_GB2312"/>
              </w:rPr>
              <w:t xml:space="preserve"> 警示牌</w:t>
            </w:r>
          </w:p>
        </w:tc>
        <w:tc>
          <w:tcPr>
            <w:tcW w:type="dxa" w:w="755"/>
          </w:tcPr>
          <w:p>
            <w:pPr>
              <w:pStyle w:val="null3"/>
              <w:jc w:val="left"/>
            </w:pPr>
            <w:r>
              <w:rPr>
                <w:rFonts w:ascii="仿宋_GB2312" w:hAnsi="仿宋_GB2312" w:cs="仿宋_GB2312" w:eastAsia="仿宋_GB2312"/>
              </w:rPr>
              <w:t xml:space="preserve"> 222.0000</w:t>
            </w:r>
          </w:p>
        </w:tc>
        <w:tc>
          <w:tcPr>
            <w:tcW w:type="dxa" w:w="755"/>
          </w:tcPr>
          <w:p>
            <w:pPr>
              <w:pStyle w:val="null3"/>
              <w:jc w:val="left"/>
            </w:pPr>
            <w:r>
              <w:rPr>
                <w:rFonts w:ascii="仿宋_GB2312" w:hAnsi="仿宋_GB2312" w:cs="仿宋_GB2312" w:eastAsia="仿宋_GB2312"/>
              </w:rPr>
              <w:t xml:space="preserve"> 块</w:t>
            </w:r>
          </w:p>
        </w:tc>
        <w:tc>
          <w:tcPr>
            <w:tcW w:type="dxa" w:w="755"/>
          </w:tcPr>
          <w:p>
            <w:pPr>
              <w:pStyle w:val="null3"/>
              <w:jc w:val="left"/>
            </w:pPr>
            <w:r>
              <w:rPr>
                <w:rFonts w:ascii="仿宋_GB2312" w:hAnsi="仿宋_GB2312" w:cs="仿宋_GB2312" w:eastAsia="仿宋_GB2312"/>
              </w:rPr>
              <w:t xml:space="preserve"> 1281828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r>
        <w:tc>
          <w:tcPr>
            <w:tcW w:type="dxa" w:w="755"/>
          </w:tcPr>
          <w:p>
            <w:pPr>
              <w:pStyle w:val="null3"/>
              <w:jc w:val="left"/>
            </w:pPr>
            <w:r>
              <w:rPr>
                <w:rFonts w:ascii="仿宋_GB2312" w:hAnsi="仿宋_GB2312" w:cs="仿宋_GB2312" w:eastAsia="仿宋_GB2312"/>
              </w:rPr>
              <w:t xml:space="preserve"> 4</w:t>
            </w:r>
          </w:p>
        </w:tc>
        <w:tc>
          <w:tcPr>
            <w:tcW w:type="dxa" w:w="755"/>
          </w:tcPr>
          <w:p>
            <w:pPr>
              <w:pStyle w:val="null3"/>
              <w:jc w:val="left"/>
            </w:pPr>
            <w:r>
              <w:rPr>
                <w:rFonts w:ascii="仿宋_GB2312" w:hAnsi="仿宋_GB2312" w:cs="仿宋_GB2312" w:eastAsia="仿宋_GB2312"/>
              </w:rPr>
              <w:t xml:space="preserve"> 语音杆</w:t>
            </w:r>
          </w:p>
        </w:tc>
        <w:tc>
          <w:tcPr>
            <w:tcW w:type="dxa" w:w="755"/>
          </w:tcPr>
          <w:p>
            <w:pPr>
              <w:pStyle w:val="null3"/>
              <w:jc w:val="left"/>
            </w:pPr>
            <w:r>
              <w:rPr>
                <w:rFonts w:ascii="仿宋_GB2312" w:hAnsi="仿宋_GB2312" w:cs="仿宋_GB2312" w:eastAsia="仿宋_GB2312"/>
              </w:rPr>
              <w:t xml:space="preserve"> 130.0000</w:t>
            </w:r>
          </w:p>
        </w:tc>
        <w:tc>
          <w:tcPr>
            <w:tcW w:type="dxa" w:w="755"/>
          </w:tcPr>
          <w:p>
            <w:pPr>
              <w:pStyle w:val="null3"/>
              <w:jc w:val="left"/>
            </w:pPr>
            <w:r>
              <w:rPr>
                <w:rFonts w:ascii="仿宋_GB2312" w:hAnsi="仿宋_GB2312" w:cs="仿宋_GB2312" w:eastAsia="仿宋_GB2312"/>
              </w:rPr>
              <w:t xml:space="preserve"> 根</w:t>
            </w:r>
          </w:p>
        </w:tc>
        <w:tc>
          <w:tcPr>
            <w:tcW w:type="dxa" w:w="755"/>
          </w:tcPr>
          <w:p>
            <w:pPr>
              <w:pStyle w:val="null3"/>
              <w:jc w:val="left"/>
            </w:pPr>
            <w:r>
              <w:rPr>
                <w:rFonts w:ascii="仿宋_GB2312" w:hAnsi="仿宋_GB2312" w:cs="仿宋_GB2312" w:eastAsia="仿宋_GB2312"/>
              </w:rPr>
              <w:t xml:space="preserve"> 1261000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ind w:firstLine="960"/>
        <w:jc w:val="left"/>
      </w:pPr>
      <w:r>
        <w:rPr>
          <w:rFonts w:ascii="仿宋_GB2312" w:hAnsi="仿宋_GB2312" w:cs="仿宋_GB2312" w:eastAsia="仿宋_GB2312"/>
        </w:rPr>
        <w:t>详见附件：投标人无不良信用记录声明函</w:t>
      </w:r>
    </w:p>
    <w:p>
      <w:pPr>
        <w:pStyle w:val="null3"/>
        <w:ind w:firstLine="960"/>
        <w:jc w:val="left"/>
      </w:pPr>
      <w:r>
        <w:rPr>
          <w:rFonts w:ascii="仿宋_GB2312" w:hAnsi="仿宋_GB2312" w:cs="仿宋_GB2312" w:eastAsia="仿宋_GB2312"/>
        </w:rPr>
        <w:t>详见附件：无环保类行政处罚记录声明函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