
<file path=[Content_Types].xml><?xml version="1.0" encoding="utf-8"?>
<Types xmlns="http://schemas.openxmlformats.org/package/2006/content-types">
  <Default ContentType="image/png" Extension="png"/>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（服务类）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省电子凭证会计数据标准化平台建设项目(第二次)</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HNGP2025-39R</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海南省财政科技服务中心</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海南省政府采购中心</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递交的投标文件撤回后，视为未成功递交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海南省财政科技服务中心</w:t>
      </w:r>
      <w:r>
        <w:rPr>
          <w:rFonts w:ascii="仿宋_GB2312" w:hAnsi="仿宋_GB2312" w:cs="仿宋_GB2312" w:eastAsia="仿宋_GB2312"/>
        </w:rPr>
        <w:t xml:space="preserve"> 委托， </w:t>
      </w:r>
      <w:r>
        <w:rPr>
          <w:rFonts w:ascii="仿宋_GB2312" w:hAnsi="仿宋_GB2312" w:cs="仿宋_GB2312" w:eastAsia="仿宋_GB2312"/>
        </w:rPr>
        <w:t>海南省政府采购中心</w:t>
      </w:r>
      <w:r>
        <w:rPr>
          <w:rFonts w:ascii="仿宋_GB2312" w:hAnsi="仿宋_GB2312" w:cs="仿宋_GB2312" w:eastAsia="仿宋_GB2312"/>
        </w:rPr>
        <w:t xml:space="preserve"> 对 </w:t>
      </w:r>
      <w:r>
        <w:rPr>
          <w:rFonts w:ascii="仿宋_GB2312" w:hAnsi="仿宋_GB2312" w:cs="仿宋_GB2312" w:eastAsia="仿宋_GB2312"/>
        </w:rPr>
        <w:t>省电子凭证会计数据标准化平台建设项目(第二次)</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HNGP2025-39R</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省电子凭证会计数据标准化平台建设项目(第二次)</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1,573,875.00元</w:t>
      </w:r>
      <w:r>
        <w:rPr>
          <w:rFonts w:ascii="仿宋_GB2312" w:hAnsi="仿宋_GB2312" w:cs="仿宋_GB2312" w:eastAsia="仿宋_GB2312"/>
        </w:rPr>
        <w:t>壹佰伍拾柒万叁仟捌佰柒拾伍元整</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详见“第三章 采购需求 ”</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详见“第三章 采购需求 ”</w:t>
      </w:r>
    </w:p>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详见“第三章 采购需求 ”</w:t>
      </w:r>
    </w:p>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详见“第三章 采购需求 ”</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属于专门面向中小企业采购，预留比例为100%。</w:t>
      </w:r>
    </w:p>
    <w:p>
      <w:pPr>
        <w:pStyle w:val="null3"/>
        <w:jc w:val="left"/>
      </w:pPr>
      <w:r>
        <w:rPr>
          <w:rFonts w:ascii="仿宋_GB2312" w:hAnsi="仿宋_GB2312" w:cs="仿宋_GB2312" w:eastAsia="仿宋_GB2312"/>
        </w:rPr>
        <w:t>采购包2：不属于专门面向中小企业采购。</w:t>
      </w:r>
    </w:p>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属于专门面向中小企业采购，预留比例为100%。</w:t>
      </w:r>
    </w:p>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属于专门面向中小企业采购，预留比例为100%。</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1、参加政府采购活动前三年内，无环保类行政处罚记录。：提供无环保类行政处罚记录声明函，加盖公章。</w:t>
      </w:r>
    </w:p>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1、参加政府采购活动前三年内，无环保类行政处罚记录。：提供无环保类行政处罚记录声明函，加盖公章。</w:t>
      </w:r>
    </w:p>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1、参加政府采购活动前三年内，无环保类行政处罚记录。：提供无环保类行政处罚记录声明函，加盖公章。</w:t>
      </w:r>
    </w:p>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1、参加政府采购活动前三年内，无环保类行政处罚记录。：提供无环保类行政处罚记录声明函，加盖公章。</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请投标人（供应商）详阅本文件中《政府采购电子招标投标活动须知》，并自行在海南省政府采购智慧云平台-下载专区查看相应的系统操作指南，严格按照操作指南要求进行系统操作。技术支持电话：4001691288</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海南省财政科技服务中心</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海南省海口市龙华滨海大道109号财政大厦</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 xml:space="preserve"> 570100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省财政科技服务中心</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0898-68531553</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海南省政府采购中心</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海口市美兰区国兴大道9-1号会展中心</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 xml:space="preserve"> 570100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马先生</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 xml:space="preserve"> 0898-66529805</w:t>
      </w:r>
    </w:p>
    <w:p>
      <w:pPr>
        <w:pStyle w:val="null3"/>
        <w:jc w:val="left"/>
        <w:outlineLvl w:val="2"/>
      </w:pPr>
      <w:r>
        <w:rPr>
          <w:rFonts w:ascii="仿宋_GB2312" w:hAnsi="仿宋_GB2312" w:cs="仿宋_GB2312" w:eastAsia="仿宋_GB2312"/>
          <w:sz w:val="28"/>
          <w:b/>
        </w:rPr>
        <w:t>九、采购信息发布媒体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采购包1：721,775.00元</w:t>
            </w:r>
          </w:p>
          <w:p>
            <w:pPr>
              <w:pStyle w:val="null3"/>
              <w:jc w:val="left"/>
            </w:pPr>
            <w:r>
              <w:rPr>
                <w:rFonts w:ascii="仿宋_GB2312" w:hAnsi="仿宋_GB2312" w:cs="仿宋_GB2312" w:eastAsia="仿宋_GB2312"/>
              </w:rPr>
              <w:t>采购包2：481,700.00元</w:t>
            </w:r>
          </w:p>
          <w:p>
            <w:pPr>
              <w:pStyle w:val="null3"/>
              <w:jc w:val="left"/>
            </w:pPr>
            <w:r>
              <w:rPr>
                <w:rFonts w:ascii="仿宋_GB2312" w:hAnsi="仿宋_GB2312" w:cs="仿宋_GB2312" w:eastAsia="仿宋_GB2312"/>
              </w:rPr>
              <w:t>采购包3：250,400.00元</w:t>
            </w:r>
          </w:p>
          <w:p>
            <w:pPr>
              <w:pStyle w:val="null3"/>
              <w:jc w:val="left"/>
            </w:pPr>
            <w:r>
              <w:rPr>
                <w:rFonts w:ascii="仿宋_GB2312" w:hAnsi="仿宋_GB2312" w:cs="仿宋_GB2312" w:eastAsia="仿宋_GB2312"/>
              </w:rPr>
              <w:t>采购包4：120,000.00元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p>
          <w:p>
            <w:pPr>
              <w:pStyle w:val="null3"/>
              <w:jc w:val="left"/>
            </w:pPr>
            <w:r>
              <w:rPr>
                <w:rFonts w:ascii="仿宋_GB2312" w:hAnsi="仿宋_GB2312" w:cs="仿宋_GB2312" w:eastAsia="仿宋_GB2312"/>
              </w:rPr>
              <w:t>采购包2：综合评分法</w:t>
            </w:r>
          </w:p>
          <w:p>
            <w:pPr>
              <w:pStyle w:val="null3"/>
              <w:jc w:val="left"/>
            </w:pPr>
            <w:r>
              <w:rPr>
                <w:rFonts w:ascii="仿宋_GB2312" w:hAnsi="仿宋_GB2312" w:cs="仿宋_GB2312" w:eastAsia="仿宋_GB2312"/>
              </w:rPr>
              <w:t>采购包3：综合评分法</w:t>
            </w:r>
          </w:p>
          <w:p>
            <w:pPr>
              <w:pStyle w:val="null3"/>
              <w:jc w:val="left"/>
            </w:pPr>
            <w:r>
              <w:rPr>
                <w:rFonts w:ascii="仿宋_GB2312" w:hAnsi="仿宋_GB2312" w:cs="仿宋_GB2312" w:eastAsia="仿宋_GB2312"/>
              </w:rPr>
              <w:t>采购包4：综合评分法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采购包2：不接受</w:t>
            </w:r>
          </w:p>
          <w:p>
            <w:pPr>
              <w:pStyle w:val="null3"/>
              <w:jc w:val="left"/>
            </w:pPr>
            <w:r>
              <w:rPr>
                <w:rFonts w:ascii="仿宋_GB2312" w:hAnsi="仿宋_GB2312" w:cs="仿宋_GB2312" w:eastAsia="仿宋_GB2312"/>
              </w:rPr>
              <w:t>采购包3：不接受</w:t>
            </w:r>
          </w:p>
          <w:p>
            <w:pPr>
              <w:pStyle w:val="null3"/>
              <w:jc w:val="left"/>
            </w:pPr>
            <w:r>
              <w:rPr>
                <w:rFonts w:ascii="仿宋_GB2312" w:hAnsi="仿宋_GB2312" w:cs="仿宋_GB2312" w:eastAsia="仿宋_GB2312"/>
              </w:rPr>
              <w:t>采购包4：不接受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p>
            <w:pPr>
              <w:pStyle w:val="null3"/>
              <w:jc w:val="left"/>
            </w:pPr>
            <w:r>
              <w:rPr>
                <w:rFonts w:ascii="仿宋_GB2312" w:hAnsi="仿宋_GB2312" w:cs="仿宋_GB2312" w:eastAsia="仿宋_GB2312"/>
              </w:rPr>
              <w:t>采购包2：不缴纳</w:t>
            </w:r>
          </w:p>
          <w:p>
            <w:pPr>
              <w:pStyle w:val="null3"/>
              <w:jc w:val="left"/>
            </w:pPr>
            <w:r>
              <w:rPr>
                <w:rFonts w:ascii="仿宋_GB2312" w:hAnsi="仿宋_GB2312" w:cs="仿宋_GB2312" w:eastAsia="仿宋_GB2312"/>
              </w:rPr>
              <w:t>采购包3：不缴纳</w:t>
            </w:r>
          </w:p>
          <w:p>
            <w:pPr>
              <w:pStyle w:val="null3"/>
              <w:jc w:val="left"/>
            </w:pPr>
            <w:r>
              <w:rPr>
                <w:rFonts w:ascii="仿宋_GB2312" w:hAnsi="仿宋_GB2312" w:cs="仿宋_GB2312" w:eastAsia="仿宋_GB2312"/>
              </w:rPr>
              <w:t>采购包4：不缴纳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l 投标有效期为从递交投标文件的截止之日起60个日历日，有效期短于此规定的投标文件将被视为无效。 2在特殊情况下，采购中心可于投标有效期满之前，征得投标人同意延长投标有效期，要求与答复均应以书面形式进行。投标人可以拒绝接受这一要求而放弃报价，投标保证金将尽快无息退还。同意这一要求的投标人，无需也不允许修改其投标文件，但须相应延长投标有效期。受投标有效期制约的所有权利和义务均应延长至新的有效期。</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代理服务费收费标准：本项目收取代理服务费 代理服务费用收取对象：中标/成交供应商 代理服务费收费标准：本项目收取代理服务费 代理服务费用收取对象：中标/成交供应商 代理服务费收费标准：本项目收取代理服务费 代理服务费用收取对象：中标/成交供应商 代理服务费收费标准：本项目收取代理服务费 代理服务费用收取对象：中标/成交供应商 代理服务费收费标准：1.本项目向中标人收取服务费。参照《海南省物价局关于降低部分招标代理服务收费标准的通知》（琼价费管[2011]225号）标准的80%收取。费用由海南省公共资源交易服务中心收取并向中标人出具代理服务费票据。 缴纳方式：以公对公转账方式将服务费缴入指定账户（账号将另行通知）。 2.投标人中标后，须按招标文件的规定缴纳中标服务费，否则，采购中心将不向其发出中标通知书。 3.不论招标结果如何，投标人应自行承担其准备和参加本次采购活动所涉及的一切费用。</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（2）中国政府采购网海南分网（海南省政府采购智慧云平台），网址https://ccgp-hainan.gov.cn/。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p>
            <w:pPr>
              <w:pStyle w:val="null3"/>
              <w:jc w:val="left"/>
            </w:pPr>
            <w:r>
              <w:rPr>
                <w:rFonts w:ascii="仿宋_GB2312" w:hAnsi="仿宋_GB2312" w:cs="仿宋_GB2312" w:eastAsia="仿宋_GB2312"/>
              </w:rPr>
              <w:t>采购包2：不允许分包；</w:t>
            </w:r>
          </w:p>
          <w:p>
            <w:pPr>
              <w:pStyle w:val="null3"/>
              <w:jc w:val="left"/>
            </w:pPr>
            <w:r>
              <w:rPr>
                <w:rFonts w:ascii="仿宋_GB2312" w:hAnsi="仿宋_GB2312" w:cs="仿宋_GB2312" w:eastAsia="仿宋_GB2312"/>
              </w:rPr>
              <w:t>采购包3：不允许分包；</w:t>
            </w:r>
          </w:p>
          <w:p>
            <w:pPr>
              <w:pStyle w:val="null3"/>
              <w:jc w:val="left"/>
            </w:pPr>
            <w:r>
              <w:rPr>
                <w:rFonts w:ascii="仿宋_GB2312" w:hAnsi="仿宋_GB2312" w:cs="仿宋_GB2312" w:eastAsia="仿宋_GB2312"/>
              </w:rPr>
              <w:t>采购包4：不允许分包；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p>
            <w:pPr>
              <w:pStyle w:val="null3"/>
              <w:jc w:val="left"/>
            </w:pPr>
            <w:r>
              <w:rPr>
                <w:rFonts w:ascii="仿宋_GB2312" w:hAnsi="仿宋_GB2312" w:cs="仿宋_GB2312" w:eastAsia="仿宋_GB2312"/>
              </w:rPr>
              <w:t>采购包2：3名</w:t>
            </w:r>
          </w:p>
          <w:p>
            <w:pPr>
              <w:pStyle w:val="null3"/>
              <w:jc w:val="left"/>
            </w:pPr>
            <w:r>
              <w:rPr>
                <w:rFonts w:ascii="仿宋_GB2312" w:hAnsi="仿宋_GB2312" w:cs="仿宋_GB2312" w:eastAsia="仿宋_GB2312"/>
              </w:rPr>
              <w:t>采购包3：3名</w:t>
            </w:r>
          </w:p>
          <w:p>
            <w:pPr>
              <w:pStyle w:val="null3"/>
              <w:jc w:val="left"/>
            </w:pPr>
            <w:r>
              <w:rPr>
                <w:rFonts w:ascii="仿宋_GB2312" w:hAnsi="仿宋_GB2312" w:cs="仿宋_GB2312" w:eastAsia="仿宋_GB2312"/>
              </w:rPr>
              <w:t>采购包4：3名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p>
            <w:pPr>
              <w:pStyle w:val="null3"/>
              <w:jc w:val="left"/>
            </w:pPr>
            <w:r>
              <w:rPr>
                <w:rFonts w:ascii="仿宋_GB2312" w:hAnsi="仿宋_GB2312" w:cs="仿宋_GB2312" w:eastAsia="仿宋_GB2312"/>
              </w:rPr>
              <w:t>采购包2：1名</w:t>
            </w:r>
          </w:p>
          <w:p>
            <w:pPr>
              <w:pStyle w:val="null3"/>
              <w:jc w:val="left"/>
            </w:pPr>
            <w:r>
              <w:rPr>
                <w:rFonts w:ascii="仿宋_GB2312" w:hAnsi="仿宋_GB2312" w:cs="仿宋_GB2312" w:eastAsia="仿宋_GB2312"/>
              </w:rPr>
              <w:t>采购包3：1名</w:t>
            </w:r>
          </w:p>
          <w:p>
            <w:pPr>
              <w:pStyle w:val="null3"/>
              <w:jc w:val="left"/>
            </w:pPr>
            <w:r>
              <w:rPr>
                <w:rFonts w:ascii="仿宋_GB2312" w:hAnsi="仿宋_GB2312" w:cs="仿宋_GB2312" w:eastAsia="仿宋_GB2312"/>
              </w:rPr>
              <w:t>采购包4：1名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1.投标人（供应商）如对采购文件中“供应商资格要求”、“采购需求”及“详细评审标准”部分有质疑的，应直接向采购人提出。 2.本项目包1、包3、包4属于非专门面向中小企业，原因是专门面向中小企业采购无法确保充分供应、充分竞争，或者存在可能影响政府采购目标实现的情形，因此不专门面向中小企业。同时，本项目对小微型企业的投标报价给予一定比例的扣除（具体比例详见“评标办法”），用扣除后的价格参加评审；本项目包2、包6、包8属于专门面向中小企业；本项目包5、包7属于专门面向小微企业。3.本项目评审过程中如有价格修正、澄清、谈判/磋商/协商(二次报价)等环节，供应商需要按照海南省政府采购智慧云平台操作要求进行线上响应，不存在人为通知供应商上述所需响应的环节.根据《电子交易操作手册(供应商)》第四章评审中“供应商应当在项目评审过程中，在评审等候大厅关注评审委员会工作动态，及时做好响应评审有关准备”之规定，如供应商未在评审委员会设置的响应时间内进行线上响应，产生的一切后果由供应商自行承担。4.投标人使用智慧云平台系统遇到问题可致电技术支持：4001691288。</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（6）将中标项目转包给他人，或者在投标文件中未说明，且未经采购代理机构和采购单位同意，将中标项目分包给他人的。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在规定期限内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4.6.2.1电子版投标文件，投标人应使用CA数字证书，对投标文件中须盖章的部位加盖电子印章。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（2）经检查CA数字证书中的证书无效的投标文件；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答复主体：采购单位</w:t>
      </w:r>
    </w:p>
    <w:p>
      <w:pPr>
        <w:pStyle w:val="null3"/>
        <w:jc w:val="left"/>
      </w:pPr>
      <w:r>
        <w:rPr>
          <w:rFonts w:ascii="仿宋_GB2312" w:hAnsi="仿宋_GB2312" w:cs="仿宋_GB2312" w:eastAsia="仿宋_GB2312"/>
        </w:rPr>
        <w:t>联系人：省财政科技服务中心</w:t>
      </w:r>
    </w:p>
    <w:p>
      <w:pPr>
        <w:pStyle w:val="null3"/>
        <w:jc w:val="left"/>
      </w:pPr>
      <w:r>
        <w:rPr>
          <w:rFonts w:ascii="仿宋_GB2312" w:hAnsi="仿宋_GB2312" w:cs="仿宋_GB2312" w:eastAsia="仿宋_GB2312"/>
        </w:rPr>
        <w:t>联系电话：0898-68531553</w:t>
      </w:r>
    </w:p>
    <w:p>
      <w:pPr>
        <w:pStyle w:val="null3"/>
        <w:jc w:val="left"/>
      </w:pPr>
      <w:r>
        <w:rPr>
          <w:rFonts w:ascii="仿宋_GB2312" w:hAnsi="仿宋_GB2312" w:cs="仿宋_GB2312" w:eastAsia="仿宋_GB2312"/>
        </w:rPr>
        <w:t>地址：海南省海口市龙华滨海大道109号财政大厦</w:t>
      </w:r>
    </w:p>
    <w:p>
      <w:pPr>
        <w:pStyle w:val="null3"/>
        <w:jc w:val="left"/>
      </w:pPr>
      <w:r>
        <w:rPr>
          <w:rFonts w:ascii="仿宋_GB2312" w:hAnsi="仿宋_GB2312" w:cs="仿宋_GB2312" w:eastAsia="仿宋_GB2312"/>
        </w:rPr>
        <w:t>邮编：570100</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联系人：马先生</w:t>
      </w:r>
    </w:p>
    <w:p>
      <w:pPr>
        <w:pStyle w:val="null3"/>
        <w:jc w:val="left"/>
      </w:pPr>
      <w:r>
        <w:rPr>
          <w:rFonts w:ascii="仿宋_GB2312" w:hAnsi="仿宋_GB2312" w:cs="仿宋_GB2312" w:eastAsia="仿宋_GB2312"/>
        </w:rPr>
        <w:t>联系电话：0898-66529805</w:t>
      </w:r>
    </w:p>
    <w:p>
      <w:pPr>
        <w:pStyle w:val="null3"/>
        <w:jc w:val="left"/>
      </w:pPr>
      <w:r>
        <w:rPr>
          <w:rFonts w:ascii="仿宋_GB2312" w:hAnsi="仿宋_GB2312" w:cs="仿宋_GB2312" w:eastAsia="仿宋_GB2312"/>
        </w:rPr>
        <w:t>地址：海口市美兰区大英山西二街政务二期大楼二楼208室（原省政府政务服务中心大楼北侧）</w:t>
      </w:r>
    </w:p>
    <w:p>
      <w:pPr>
        <w:pStyle w:val="null3"/>
        <w:jc w:val="left"/>
      </w:pPr>
      <w:r>
        <w:rPr>
          <w:rFonts w:ascii="仿宋_GB2312" w:hAnsi="仿宋_GB2312" w:cs="仿宋_GB2312" w:eastAsia="仿宋_GB2312"/>
        </w:rPr>
        <w:t>邮编：570100</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b/>
        </w:rPr>
        <w:t>省电子凭证会计数据标准化平台建设项目</w:t>
      </w:r>
    </w:p>
    <w:p>
      <w:pPr>
        <w:pStyle w:val="null3"/>
        <w:ind w:firstLine="480"/>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721,775.00</w:t>
      </w:r>
    </w:p>
    <w:p>
      <w:pPr>
        <w:pStyle w:val="null3"/>
        <w:jc w:val="left"/>
      </w:pPr>
      <w:r>
        <w:rPr>
          <w:rFonts w:ascii="仿宋_GB2312" w:hAnsi="仿宋_GB2312" w:cs="仿宋_GB2312" w:eastAsia="仿宋_GB2312"/>
        </w:rPr>
        <w:t>采购包最高限价（元）: 721,775.00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公务报账子系统升级改造</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721,775.00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软件和信息技术服务业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采购包预算金额（元）: 481,700.00</w:t>
      </w:r>
    </w:p>
    <w:p>
      <w:pPr>
        <w:pStyle w:val="null3"/>
        <w:jc w:val="left"/>
      </w:pPr>
      <w:r>
        <w:rPr>
          <w:rFonts w:ascii="仿宋_GB2312" w:hAnsi="仿宋_GB2312" w:cs="仿宋_GB2312" w:eastAsia="仿宋_GB2312"/>
        </w:rPr>
        <w:t>采购包最高限价（元）: 481,700.00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非税收入征缴信息管理子系统升级改造</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481,700.00</w:t>
            </w:r>
          </w:p>
        </w:tc>
        <w:tc>
          <w:tcPr>
            <w:tcW w:type="dxa" w:w="831"/>
          </w:tcPr>
          <w:p>
            <w:pPr>
              <w:pStyle w:val="null3"/>
              <w:jc w:val="left"/>
            </w:pPr>
            <w:r>
              <w:rPr>
                <w:rFonts w:ascii="仿宋_GB2312" w:hAnsi="仿宋_GB2312" w:cs="仿宋_GB2312" w:eastAsia="仿宋_GB2312"/>
              </w:rPr>
              <w:t>套</w:t>
            </w:r>
          </w:p>
        </w:tc>
        <w:tc>
          <w:tcPr>
            <w:tcW w:type="dxa" w:w="831"/>
          </w:tcPr>
          <w:p>
            <w:pPr>
              <w:pStyle w:val="null3"/>
              <w:jc w:val="left"/>
            </w:pPr>
            <w:r>
              <w:rPr>
                <w:rFonts w:ascii="仿宋_GB2312" w:hAnsi="仿宋_GB2312" w:cs="仿宋_GB2312" w:eastAsia="仿宋_GB2312"/>
              </w:rPr>
              <w:t>软件和信息技术服务业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采购包预算金额（元）: 250,400.00</w:t>
      </w:r>
    </w:p>
    <w:p>
      <w:pPr>
        <w:pStyle w:val="null3"/>
        <w:jc w:val="left"/>
      </w:pPr>
      <w:r>
        <w:rPr>
          <w:rFonts w:ascii="仿宋_GB2312" w:hAnsi="仿宋_GB2312" w:cs="仿宋_GB2312" w:eastAsia="仿宋_GB2312"/>
        </w:rPr>
        <w:t>采购包最高限价（元）: 250,400.00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安全服务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250,400.00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软件和信息技术服务业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采购包预算金额（元）: 120,000.00</w:t>
      </w:r>
    </w:p>
    <w:p>
      <w:pPr>
        <w:pStyle w:val="null3"/>
        <w:jc w:val="left"/>
      </w:pPr>
      <w:r>
        <w:rPr>
          <w:rFonts w:ascii="仿宋_GB2312" w:hAnsi="仿宋_GB2312" w:cs="仿宋_GB2312" w:eastAsia="仿宋_GB2312"/>
        </w:rPr>
        <w:t>采购包最高限价（元）: 120,000.00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商用密码应用安全性评估服务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120,000.00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软件和信息技术服务业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C16010302-行业应用软件开发服务</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721,775.00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C16010302-行业应用软件开发服务</w:t>
            </w:r>
          </w:p>
        </w:tc>
        <w:tc>
          <w:tcPr>
            <w:tcW w:type="dxa" w:w="554"/>
          </w:tcPr>
          <w:p>
            <w:pPr>
              <w:pStyle w:val="null3"/>
              <w:jc w:val="left"/>
            </w:pPr>
            <w:r>
              <w:rPr>
                <w:rFonts w:ascii="仿宋_GB2312" w:hAnsi="仿宋_GB2312" w:cs="仿宋_GB2312" w:eastAsia="仿宋_GB2312"/>
              </w:rPr>
              <w:t>套</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481,700.00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C16070400-安全运维服务</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250,400.00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C16060000-测试评估认证服务</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120,000.00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标的名称：公务报账子系统升级改造</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因云平台系统格式不支持原因，采购包</w:t>
            </w:r>
            <w:r>
              <w:rPr>
                <w:rFonts w:ascii="仿宋_GB2312" w:hAnsi="仿宋_GB2312" w:cs="仿宋_GB2312" w:eastAsia="仿宋_GB2312"/>
                <w:sz w:val="21"/>
              </w:rPr>
              <w:t>1“技术和服务要求”详见附件：采购包1  技术和服务要求</w:t>
            </w:r>
          </w:p>
        </w:tc>
      </w:tr>
    </w:tbl>
    <w:p>
      <w:pPr>
        <w:pStyle w:val="null3"/>
        <w:jc w:val="left"/>
      </w:pPr>
      <w:r>
        <w:rPr>
          <w:rFonts w:ascii="仿宋_GB2312" w:hAnsi="仿宋_GB2312" w:cs="仿宋_GB2312" w:eastAsia="仿宋_GB2312"/>
        </w:rPr>
        <w:t>采购包2：</w:t>
      </w:r>
    </w:p>
    <w:p>
      <w:pPr>
        <w:pStyle w:val="null3"/>
        <w:jc w:val="left"/>
      </w:pPr>
      <w:r>
        <w:rPr>
          <w:rFonts w:ascii="仿宋_GB2312" w:hAnsi="仿宋_GB2312" w:cs="仿宋_GB2312" w:eastAsia="仿宋_GB2312"/>
        </w:rPr>
        <w:t>标的名称：非税收入征缴信息管理子系统升级改造</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因云平台系统格式不支持原因，采购包</w:t>
            </w:r>
            <w:r>
              <w:rPr>
                <w:rFonts w:ascii="仿宋_GB2312" w:hAnsi="仿宋_GB2312" w:cs="仿宋_GB2312" w:eastAsia="仿宋_GB2312"/>
                <w:sz w:val="21"/>
              </w:rPr>
              <w:t>2“技术和服务要求”详见附件：采购包2  技术和服务要求</w:t>
            </w:r>
          </w:p>
        </w:tc>
      </w:tr>
    </w:tbl>
    <w:p>
      <w:pPr>
        <w:pStyle w:val="null3"/>
        <w:jc w:val="left"/>
      </w:pPr>
      <w:r>
        <w:rPr>
          <w:rFonts w:ascii="仿宋_GB2312" w:hAnsi="仿宋_GB2312" w:cs="仿宋_GB2312" w:eastAsia="仿宋_GB2312"/>
        </w:rPr>
        <w:t>采购包3：</w:t>
      </w:r>
    </w:p>
    <w:p>
      <w:pPr>
        <w:pStyle w:val="null3"/>
        <w:jc w:val="left"/>
      </w:pPr>
      <w:r>
        <w:rPr>
          <w:rFonts w:ascii="仿宋_GB2312" w:hAnsi="仿宋_GB2312" w:cs="仿宋_GB2312" w:eastAsia="仿宋_GB2312"/>
        </w:rPr>
        <w:t>标的名称：安全服务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553"/>
            </w:tblGrid>
            <w:tr>
              <w:tc>
                <w:tcPr>
                  <w:tcW w:type="dxa" w:w="25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95"/>
                    <w:ind w:left="15"/>
                    <w:jc w:val="both"/>
                  </w:pPr>
                  <w:r>
                    <w:rPr>
                      <w:rFonts w:ascii="仿宋_GB2312" w:hAnsi="仿宋_GB2312" w:cs="仿宋_GB2312" w:eastAsia="仿宋_GB2312"/>
                      <w:sz w:val="28"/>
                      <w:b/>
                    </w:rPr>
                    <w:t>一、项目概述</w:t>
                  </w:r>
                </w:p>
                <w:p>
                  <w:pPr>
                    <w:pStyle w:val="null3"/>
                    <w:jc w:val="both"/>
                  </w:pPr>
                  <w:r>
                    <w:rPr>
                      <w:rFonts w:ascii="仿宋_GB2312" w:hAnsi="仿宋_GB2312" w:cs="仿宋_GB2312" w:eastAsia="仿宋_GB2312"/>
                      <w:sz w:val="24"/>
                      <w:b/>
                      <w:color w:val="000000"/>
                    </w:rPr>
                    <w:t>采购内容：含渗透测试服务、代码审计服务、网络安全等级保护测评服务。</w:t>
                  </w:r>
                </w:p>
                <w:p>
                  <w:pPr>
                    <w:pStyle w:val="null3"/>
                    <w:spacing w:before="195"/>
                    <w:ind w:left="15"/>
                    <w:jc w:val="both"/>
                  </w:pPr>
                  <w:r>
                    <w:rPr>
                      <w:rFonts w:ascii="仿宋_GB2312" w:hAnsi="仿宋_GB2312" w:cs="仿宋_GB2312" w:eastAsia="仿宋_GB2312"/>
                      <w:sz w:val="28"/>
                      <w:b/>
                    </w:rPr>
                    <w:t>二、服务内容</w:t>
                  </w:r>
                </w:p>
                <w:p>
                  <w:pPr>
                    <w:pStyle w:val="null3"/>
                    <w:ind w:firstLine="480"/>
                    <w:jc w:val="both"/>
                  </w:pPr>
                  <w:r>
                    <w:rPr>
                      <w:rFonts w:ascii="仿宋_GB2312" w:hAnsi="仿宋_GB2312" w:cs="仿宋_GB2312" w:eastAsia="仿宋_GB2312"/>
                      <w:sz w:val="24"/>
                      <w:b/>
                      <w:color w:val="000000"/>
                    </w:rPr>
                    <w:t>1.等级保护测评服务</w:t>
                  </w:r>
                </w:p>
                <w:p>
                  <w:pPr>
                    <w:pStyle w:val="null3"/>
                    <w:ind w:firstLine="480"/>
                    <w:jc w:val="both"/>
                  </w:pPr>
                  <w:r>
                    <w:rPr>
                      <w:rFonts w:ascii="仿宋_GB2312" w:hAnsi="仿宋_GB2312" w:cs="仿宋_GB2312" w:eastAsia="仿宋_GB2312"/>
                      <w:sz w:val="24"/>
                      <w:color w:val="000000"/>
                    </w:rPr>
                    <w:t>根据国家及海南省信息化的相关要求，本项目需要对新建的电子凭证汇聚子系统提供等级保护定级服务。在系统完成第一次等级保护测评服务后并且系统尚未竣工验收前的期间，需每年配合完成</w:t>
                  </w:r>
                  <w:r>
                    <w:rPr>
                      <w:rFonts w:ascii="仿宋_GB2312" w:hAnsi="仿宋_GB2312" w:cs="仿宋_GB2312" w:eastAsia="仿宋_GB2312"/>
                      <w:sz w:val="24"/>
                      <w:color w:val="000000"/>
                    </w:rPr>
                    <w:t>1次等级保护测评服务并且出具报告。</w:t>
                  </w:r>
                </w:p>
                <w:p>
                  <w:pPr>
                    <w:pStyle w:val="null3"/>
                    <w:ind w:firstLine="480"/>
                    <w:jc w:val="both"/>
                  </w:pPr>
                  <w:r>
                    <w:rPr>
                      <w:rFonts w:ascii="仿宋_GB2312" w:hAnsi="仿宋_GB2312" w:cs="仿宋_GB2312" w:eastAsia="仿宋_GB2312"/>
                      <w:sz w:val="24"/>
                      <w:b/>
                      <w:color w:val="000000"/>
                    </w:rPr>
                    <w:t>2.渗透测试服务</w:t>
                  </w:r>
                </w:p>
                <w:p>
                  <w:pPr>
                    <w:pStyle w:val="null3"/>
                    <w:ind w:firstLine="480"/>
                    <w:jc w:val="both"/>
                  </w:pPr>
                  <w:r>
                    <w:rPr>
                      <w:rFonts w:ascii="仿宋_GB2312" w:hAnsi="仿宋_GB2312" w:cs="仿宋_GB2312" w:eastAsia="仿宋_GB2312"/>
                      <w:sz w:val="24"/>
                      <w:color w:val="000000"/>
                    </w:rPr>
                    <w:t>渗透测试能够在可控的前提下进行最贴近于真实情况的漏洞发掘，弥补了仅仅使用安全产品对系统分析的不足，通过渗透测试可以以攻击者的角度发现一些隐性存在的安全漏洞和风险点，有助于海南省财政信息化网络安全基础设施建设需求和网络安全等级保护工作需求。</w:t>
                  </w:r>
                </w:p>
                <w:p>
                  <w:pPr>
                    <w:pStyle w:val="null3"/>
                    <w:ind w:firstLine="480"/>
                    <w:jc w:val="both"/>
                  </w:pPr>
                  <w:r>
                    <w:rPr>
                      <w:rFonts w:ascii="仿宋_GB2312" w:hAnsi="仿宋_GB2312" w:cs="仿宋_GB2312" w:eastAsia="仿宋_GB2312"/>
                      <w:sz w:val="24"/>
                      <w:b/>
                      <w:color w:val="000000"/>
                    </w:rPr>
                    <w:t>3.代码审计服务</w:t>
                  </w:r>
                </w:p>
                <w:p>
                  <w:pPr>
                    <w:pStyle w:val="null3"/>
                    <w:ind w:firstLine="480"/>
                    <w:jc w:val="both"/>
                  </w:pPr>
                  <w:r>
                    <w:rPr>
                      <w:rFonts w:ascii="仿宋_GB2312" w:hAnsi="仿宋_GB2312" w:cs="仿宋_GB2312" w:eastAsia="仿宋_GB2312"/>
                      <w:sz w:val="24"/>
                      <w:color w:val="000000"/>
                    </w:rPr>
                    <w:t>通过代码审计检查源代码中的缺点和错误信息，分析并找到这些问题引发的安全漏洞，并提供代码修订措施和建议。从而让管理人员了解其系统所面临的威胁。</w:t>
                  </w:r>
                </w:p>
                <w:p>
                  <w:pPr>
                    <w:pStyle w:val="null3"/>
                    <w:spacing w:before="195"/>
                    <w:ind w:left="15"/>
                    <w:jc w:val="both"/>
                  </w:pPr>
                  <w:r>
                    <w:rPr>
                      <w:rFonts w:ascii="仿宋_GB2312" w:hAnsi="仿宋_GB2312" w:cs="仿宋_GB2312" w:eastAsia="仿宋_GB2312"/>
                      <w:sz w:val="28"/>
                      <w:b/>
                    </w:rPr>
                    <w:t>三、服务周期</w:t>
                  </w:r>
                </w:p>
                <w:p>
                  <w:pPr>
                    <w:pStyle w:val="null3"/>
                    <w:ind w:firstLine="480"/>
                    <w:jc w:val="both"/>
                  </w:pPr>
                  <w:r>
                    <w:rPr>
                      <w:rFonts w:ascii="仿宋_GB2312" w:hAnsi="仿宋_GB2312" w:cs="仿宋_GB2312" w:eastAsia="仿宋_GB2312"/>
                      <w:sz w:val="24"/>
                    </w:rPr>
                    <w:t>本项目安全服务周期自签订合同之日起，至建设项目完成竣工验收。</w:t>
                  </w:r>
                </w:p>
                <w:p>
                  <w:pPr>
                    <w:pStyle w:val="null3"/>
                    <w:spacing w:before="195"/>
                    <w:ind w:left="15"/>
                    <w:jc w:val="both"/>
                  </w:pPr>
                  <w:r>
                    <w:rPr>
                      <w:rFonts w:ascii="仿宋_GB2312" w:hAnsi="仿宋_GB2312" w:cs="仿宋_GB2312" w:eastAsia="仿宋_GB2312"/>
                      <w:sz w:val="28"/>
                      <w:b/>
                    </w:rPr>
                    <w:t>四、服务要求</w:t>
                  </w:r>
                </w:p>
                <w:p>
                  <w:pPr>
                    <w:pStyle w:val="null3"/>
                    <w:ind w:left="480"/>
                    <w:jc w:val="both"/>
                  </w:pPr>
                  <w:r>
                    <w:rPr>
                      <w:rFonts w:ascii="仿宋_GB2312" w:hAnsi="仿宋_GB2312" w:cs="仿宋_GB2312" w:eastAsia="仿宋_GB2312"/>
                      <w:sz w:val="32"/>
                      <w:b/>
                      <w:color w:val="000000"/>
                    </w:rPr>
                    <w:t>4.1等保测评服务</w:t>
                  </w:r>
                </w:p>
                <w:p>
                  <w:pPr>
                    <w:pStyle w:val="null3"/>
                    <w:ind w:left="480"/>
                    <w:jc w:val="both"/>
                  </w:pPr>
                  <w:r>
                    <w:rPr>
                      <w:rFonts w:ascii="仿宋_GB2312" w:hAnsi="仿宋_GB2312" w:cs="仿宋_GB2312" w:eastAsia="仿宋_GB2312"/>
                      <w:sz w:val="28"/>
                      <w:b/>
                      <w:color w:val="000000"/>
                    </w:rPr>
                    <w:t>4.1.1服务概述</w:t>
                  </w:r>
                </w:p>
                <w:p>
                  <w:pPr>
                    <w:pStyle w:val="null3"/>
                    <w:ind w:firstLine="480"/>
                    <w:jc w:val="left"/>
                  </w:pPr>
                  <w:r>
                    <w:rPr>
                      <w:rFonts w:ascii="仿宋_GB2312" w:hAnsi="仿宋_GB2312" w:cs="仿宋_GB2312" w:eastAsia="仿宋_GB2312"/>
                      <w:sz w:val="24"/>
                    </w:rPr>
                    <w:t>在实施安全保护过程中，首先利用《信息安全技术信息系统安全等级保护定级指南》（</w:t>
                  </w:r>
                  <w:r>
                    <w:rPr>
                      <w:rFonts w:ascii="仿宋_GB2312" w:hAnsi="仿宋_GB2312" w:cs="仿宋_GB2312" w:eastAsia="仿宋_GB2312"/>
                      <w:sz w:val="24"/>
                    </w:rPr>
                    <w:t>GB/T222402020）简称“《定级指南》”确定电子凭证汇聚子系统的安全保护等级，然后根据《信息安全技术网络安全等级保护基本要求》系列标准选择安全控制措施，随后利用《信息安全技术信息系统安全等级保护实施指南》简称“《实施指南》”或其他相关标准确定其特殊安全需求进行电子凭证汇聚子系统的安全规划和建设工作，此后利用《信息安全技术网络安全等级保护测评过程指南》简称“《测评过程指南》”来规范测评过程和各项活动，利用《信息安全技术网络安全等级保护测评要求》系列标准来判断安全控制措施的有效性。同时，等级保护整个实施过程又是由《实施指南》来指导的。</w:t>
                  </w:r>
                </w:p>
                <w:p>
                  <w:pPr>
                    <w:pStyle w:val="null3"/>
                    <w:ind w:firstLine="480"/>
                    <w:jc w:val="left"/>
                  </w:pPr>
                  <w:r>
                    <w:rPr>
                      <w:rFonts w:ascii="仿宋_GB2312" w:hAnsi="仿宋_GB2312" w:cs="仿宋_GB2312" w:eastAsia="仿宋_GB2312"/>
                      <w:sz w:val="24"/>
                    </w:rPr>
                    <w:t>在等级保护的相关标准中，《测评要求》系列标准是《基本要求》系列标准的姊妹篇《测评要求》针对《基本要求》中各要求项提供了具体测评方法、步骤和判断依据等，是为了确认电子凭证汇聚子系统是否按照《基本要求》中的不同等级的技术和管理要求实施的，而《测评过程指南》则是规定了开展这些测评活动的基本过程</w:t>
                  </w:r>
                  <w:r>
                    <w:rPr>
                      <w:rFonts w:ascii="仿宋_GB2312" w:hAnsi="仿宋_GB2312" w:cs="仿宋_GB2312" w:eastAsia="仿宋_GB2312"/>
                      <w:sz w:val="24"/>
                    </w:rPr>
                    <w:t>包括过程、任务及产品等以指导用户对《测评要求》的正确使用。</w:t>
                  </w:r>
                </w:p>
                <w:p>
                  <w:pPr>
                    <w:pStyle w:val="null3"/>
                    <w:ind w:firstLine="480"/>
                    <w:jc w:val="left"/>
                  </w:pPr>
                  <w:r>
                    <w:rPr>
                      <w:rFonts w:ascii="仿宋_GB2312" w:hAnsi="仿宋_GB2312" w:cs="仿宋_GB2312" w:eastAsia="仿宋_GB2312"/>
                      <w:sz w:val="24"/>
                    </w:rPr>
                    <w:t>按照《海南省信息化条例》关于</w:t>
                  </w:r>
                  <w:r>
                    <w:rPr>
                      <w:rFonts w:ascii="仿宋_GB2312" w:hAnsi="仿宋_GB2312" w:cs="仿宋_GB2312" w:eastAsia="仿宋_GB2312"/>
                      <w:sz w:val="24"/>
                    </w:rPr>
                    <w:t>“信息网络与信息系统的主管单位或者运行单位应当根据国家有关规定，确定本单位信息网络和信息系统的安全等级，并进行相应的信息安全系统建设。”和“使用财政性资金建设以及关系国计民生、社会稳定的信息网络和信息系统投入使用前，应当按照国家和本省有关规定进行信息安全测评。”的要求以及国家信息系统等级保护测评相关规定，必须对已建系统进行信息系统等级保护测评，并按照测评结果对信息系统安全问题进行整改，以确保信息系统正常运行。</w:t>
                  </w:r>
                </w:p>
                <w:p>
                  <w:pPr>
                    <w:pStyle w:val="null3"/>
                    <w:ind w:firstLine="480"/>
                    <w:jc w:val="left"/>
                  </w:pPr>
                  <w:r>
                    <w:rPr>
                      <w:rFonts w:ascii="仿宋_GB2312" w:hAnsi="仿宋_GB2312" w:cs="仿宋_GB2312" w:eastAsia="仿宋_GB2312"/>
                      <w:sz w:val="24"/>
                    </w:rPr>
                    <w:t>为履行网络安全主体责任，省财政厅系统的网络安全主管部门，按照网络安全等级保护制度和行业法规标准的要求，开展系统网络安全等级保护建设工作，以建立、健全单位网络安全防护体系，提升系统整体网络安全防护能力，满足第三级系统网络安全等级保护的能力要求。</w:t>
                  </w:r>
                </w:p>
                <w:p>
                  <w:pPr>
                    <w:pStyle w:val="null3"/>
                    <w:ind w:left="480"/>
                    <w:jc w:val="both"/>
                  </w:pPr>
                  <w:r>
                    <w:rPr>
                      <w:rFonts w:ascii="仿宋_GB2312" w:hAnsi="仿宋_GB2312" w:cs="仿宋_GB2312" w:eastAsia="仿宋_GB2312"/>
                      <w:sz w:val="28"/>
                      <w:b/>
                      <w:color w:val="000000"/>
                    </w:rPr>
                    <w:t>4.1.2服务对象</w:t>
                  </w:r>
                </w:p>
                <w:p>
                  <w:pPr>
                    <w:pStyle w:val="null3"/>
                    <w:ind w:firstLine="480"/>
                    <w:jc w:val="left"/>
                  </w:pPr>
                  <w:r>
                    <w:rPr>
                      <w:rFonts w:ascii="仿宋_GB2312" w:hAnsi="仿宋_GB2312" w:cs="仿宋_GB2312" w:eastAsia="仿宋_GB2312"/>
                      <w:sz w:val="24"/>
                    </w:rPr>
                    <w:t>根据国家及海南省信息化的相关要求，本项目需要对新建的电子凭证汇聚子系统提供等级保护定级。</w:t>
                  </w:r>
                </w:p>
                <w:tbl>
                  <w:tblPr>
                    <w:tblBorders>
                      <w:top w:val="none" w:color="000000" w:sz="4"/>
                      <w:left w:val="none" w:color="000000" w:sz="4"/>
                      <w:bottom w:val="none" w:color="000000" w:sz="4"/>
                      <w:right w:val="none" w:color="000000" w:sz="4"/>
                      <w:insideH w:val="none"/>
                      <w:insideV w:val="none"/>
                    </w:tblBorders>
                  </w:tblPr>
                  <w:tblGrid>
                    <w:gridCol w:w="235"/>
                    <w:gridCol w:w="1079"/>
                    <w:gridCol w:w="429"/>
                    <w:gridCol w:w="595"/>
                  </w:tblGrid>
                  <w:tr>
                    <w:tc>
                      <w:tcPr>
                        <w:tcW w:type="dxa" w:w="23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编号</w:t>
                        </w:r>
                      </w:p>
                    </w:tc>
                    <w:tc>
                      <w:tcPr>
                        <w:tcW w:type="dxa" w:w="107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定级系统名称</w:t>
                        </w:r>
                      </w:p>
                    </w:tc>
                    <w:tc>
                      <w:tcPr>
                        <w:tcW w:type="dxa" w:w="42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安全等级</w:t>
                        </w:r>
                      </w:p>
                    </w:tc>
                    <w:tc>
                      <w:tcPr>
                        <w:tcW w:type="dxa" w:w="59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color w:val="000000"/>
                          </w:rPr>
                          <w:t>备注</w:t>
                        </w:r>
                      </w:p>
                    </w:tc>
                  </w:tr>
                  <w:tr>
                    <w:tc>
                      <w:tcPr>
                        <w:tcW w:type="dxa" w:w="23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10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电子凭证汇聚子系统</w:t>
                        </w:r>
                      </w:p>
                    </w:tc>
                    <w:tc>
                      <w:tcPr>
                        <w:tcW w:type="dxa" w:w="42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5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pPr>
                    <w:pStyle w:val="null3"/>
                    <w:jc w:val="both"/>
                  </w:pPr>
                  <w:r>
                    <w:rPr>
                      <w:rFonts w:ascii="仿宋_GB2312" w:hAnsi="仿宋_GB2312" w:cs="仿宋_GB2312" w:eastAsia="仿宋_GB2312"/>
                      <w:sz w:val="28"/>
                      <w:b/>
                      <w:color w:val="000000"/>
                    </w:rPr>
                    <w:t>4.1.3测评作用和目的</w:t>
                  </w:r>
                </w:p>
                <w:p>
                  <w:pPr>
                    <w:pStyle w:val="null3"/>
                    <w:ind w:firstLine="480"/>
                    <w:jc w:val="left"/>
                  </w:pPr>
                  <w:r>
                    <w:rPr>
                      <w:rFonts w:ascii="仿宋_GB2312" w:hAnsi="仿宋_GB2312" w:cs="仿宋_GB2312" w:eastAsia="仿宋_GB2312"/>
                      <w:sz w:val="24"/>
                    </w:rPr>
                    <w:t>通过进行测评，能够对信息系统体系能力的分析与确认；发现存在的安全隐患；帮助运营使用单位认识不足，及时改进；有效提升其防护水平；遵循国家有关规定的要求，对信息系统安全建设进行符合性测评。三级系统每年至少开展一次等级测评。</w:t>
                  </w:r>
                </w:p>
                <w:p>
                  <w:pPr>
                    <w:pStyle w:val="null3"/>
                    <w:ind w:left="480"/>
                    <w:jc w:val="both"/>
                  </w:pPr>
                  <w:r>
                    <w:rPr>
                      <w:rFonts w:ascii="仿宋_GB2312" w:hAnsi="仿宋_GB2312" w:cs="仿宋_GB2312" w:eastAsia="仿宋_GB2312"/>
                      <w:sz w:val="28"/>
                      <w:b/>
                      <w:color w:val="000000"/>
                    </w:rPr>
                    <w:t>4.1.4测评工作规范</w:t>
                  </w:r>
                </w:p>
                <w:p>
                  <w:pPr>
                    <w:pStyle w:val="null3"/>
                    <w:ind w:firstLine="480"/>
                    <w:jc w:val="left"/>
                  </w:pPr>
                  <w:r>
                    <w:rPr>
                      <w:rFonts w:ascii="仿宋_GB2312" w:hAnsi="仿宋_GB2312" w:cs="仿宋_GB2312" w:eastAsia="仿宋_GB2312"/>
                      <w:sz w:val="24"/>
                    </w:rPr>
                    <w:t>等级测评工作中，应遵循以下规范和原则。</w:t>
                  </w:r>
                </w:p>
                <w:p>
                  <w:pPr>
                    <w:pStyle w:val="null3"/>
                    <w:ind w:firstLine="480"/>
                    <w:jc w:val="left"/>
                  </w:pPr>
                  <w:r>
                    <w:rPr>
                      <w:rFonts w:ascii="仿宋_GB2312" w:hAnsi="仿宋_GB2312" w:cs="仿宋_GB2312" w:eastAsia="仿宋_GB2312"/>
                      <w:sz w:val="24"/>
                    </w:rPr>
                    <w:t>①标准性原则：测评工作的开展、方案的设计和具体实施均需依据我国等级保护的相关标准进行。</w:t>
                  </w:r>
                </w:p>
                <w:p>
                  <w:pPr>
                    <w:pStyle w:val="null3"/>
                    <w:ind w:firstLine="480"/>
                    <w:jc w:val="left"/>
                  </w:pPr>
                  <w:r>
                    <w:rPr>
                      <w:rFonts w:ascii="仿宋_GB2312" w:hAnsi="仿宋_GB2312" w:cs="仿宋_GB2312" w:eastAsia="仿宋_GB2312"/>
                      <w:sz w:val="24"/>
                    </w:rPr>
                    <w:t>②规范性原则：为用户提供规范的服务，工作中的过程和文档需具有良好的规范性，可以便于项目的跟踪和控制。</w:t>
                  </w:r>
                </w:p>
                <w:p>
                  <w:pPr>
                    <w:pStyle w:val="null3"/>
                    <w:ind w:firstLine="480"/>
                    <w:jc w:val="left"/>
                  </w:pPr>
                  <w:r>
                    <w:rPr>
                      <w:rFonts w:ascii="仿宋_GB2312" w:hAnsi="仿宋_GB2312" w:cs="仿宋_GB2312" w:eastAsia="仿宋_GB2312"/>
                      <w:sz w:val="24"/>
                    </w:rPr>
                    <w:t>③可控性原则：测评过程和所使用的工具具备可控性，测评项目采用的工具都经过多次测评项目考验，或者是根据具体要求和组织的具体网络特点定制的，具有良好的可控性。</w:t>
                  </w:r>
                </w:p>
                <w:p>
                  <w:pPr>
                    <w:pStyle w:val="null3"/>
                    <w:ind w:firstLine="480"/>
                    <w:jc w:val="left"/>
                  </w:pPr>
                  <w:r>
                    <w:rPr>
                      <w:rFonts w:ascii="仿宋_GB2312" w:hAnsi="仿宋_GB2312" w:cs="仿宋_GB2312" w:eastAsia="仿宋_GB2312"/>
                      <w:sz w:val="24"/>
                    </w:rPr>
                    <w:t>④整体性原则：测评服务从组织的实际需求出发，从业务角度进行测评，而不是局限于网络、主机等单个的安全层面，涉及安全管理和业务运营，保障整体性和全面性。</w:t>
                  </w:r>
                </w:p>
                <w:p>
                  <w:pPr>
                    <w:pStyle w:val="null3"/>
                    <w:ind w:firstLine="480"/>
                    <w:jc w:val="left"/>
                  </w:pPr>
                  <w:r>
                    <w:rPr>
                      <w:rFonts w:ascii="仿宋_GB2312" w:hAnsi="仿宋_GB2312" w:cs="仿宋_GB2312" w:eastAsia="仿宋_GB2312"/>
                      <w:sz w:val="24"/>
                    </w:rPr>
                    <w:t>⑤最小影响原则：测评工作具备充分的计划性，不对现有的运行和业务的正常提供产生显著影响，尽可能小地影响系统和网络的正常运行。</w:t>
                  </w:r>
                </w:p>
                <w:p>
                  <w:pPr>
                    <w:pStyle w:val="null3"/>
                    <w:ind w:firstLine="480"/>
                    <w:jc w:val="left"/>
                  </w:pPr>
                  <w:r>
                    <w:rPr>
                      <w:rFonts w:ascii="仿宋_GB2312" w:hAnsi="仿宋_GB2312" w:cs="仿宋_GB2312" w:eastAsia="仿宋_GB2312"/>
                      <w:sz w:val="24"/>
                    </w:rPr>
                    <w:t>⑥保密性原则：从公司、人员、过程三方面进行保密控制——测评公司与甲方双方签署保密协议，不得利用测评中的任何数据进行其他有损甲方利益的活动；人员保密，公司内部签订保密协议；在测评过程中对测评数据严格保密。</w:t>
                  </w:r>
                </w:p>
                <w:p>
                  <w:pPr>
                    <w:pStyle w:val="null3"/>
                    <w:ind w:firstLine="480"/>
                    <w:jc w:val="left"/>
                  </w:pPr>
                  <w:r>
                    <w:rPr>
                      <w:rFonts w:ascii="仿宋_GB2312" w:hAnsi="仿宋_GB2312" w:cs="仿宋_GB2312" w:eastAsia="仿宋_GB2312"/>
                      <w:sz w:val="24"/>
                    </w:rPr>
                    <w:t>⑦个性化原则：根据被测信息系统的实际业务需求、功能需求以及对应的安全建设情况，开展针对性较强的测评工作。</w:t>
                  </w:r>
                </w:p>
                <w:p>
                  <w:pPr>
                    <w:pStyle w:val="null3"/>
                    <w:ind w:left="480"/>
                    <w:jc w:val="both"/>
                  </w:pPr>
                  <w:r>
                    <w:rPr>
                      <w:rFonts w:ascii="仿宋_GB2312" w:hAnsi="仿宋_GB2312" w:cs="仿宋_GB2312" w:eastAsia="仿宋_GB2312"/>
                      <w:sz w:val="28"/>
                      <w:b/>
                      <w:color w:val="000000"/>
                    </w:rPr>
                    <w:t>4.1.5等保测评服务内容和流程</w:t>
                  </w:r>
                </w:p>
                <w:p>
                  <w:pPr>
                    <w:pStyle w:val="null3"/>
                    <w:ind w:firstLine="480"/>
                    <w:jc w:val="left"/>
                  </w:pPr>
                  <w:r>
                    <w:rPr>
                      <w:rFonts w:ascii="仿宋_GB2312" w:hAnsi="仿宋_GB2312" w:cs="仿宋_GB2312" w:eastAsia="仿宋_GB2312"/>
                      <w:sz w:val="24"/>
                    </w:rPr>
                    <w:t>（一）测评内容</w:t>
                  </w:r>
                </w:p>
                <w:p>
                  <w:pPr>
                    <w:pStyle w:val="null3"/>
                    <w:ind w:firstLine="480"/>
                    <w:jc w:val="left"/>
                  </w:pPr>
                  <w:r>
                    <w:rPr>
                      <w:rFonts w:ascii="仿宋_GB2312" w:hAnsi="仿宋_GB2312" w:cs="仿宋_GB2312" w:eastAsia="仿宋_GB2312"/>
                      <w:sz w:val="24"/>
                    </w:rPr>
                    <w:t>委托符合国家要求的专业机构依据《信息系统安全等级保护基本要求》，落实物理安全、网络安全、主机安全、应用安全和数据安全等安全保护技术措施，落实安全管理制度、安全管理机构、人员安全管理、系统建设管理和系统运维管理等安全保护管理措施，具体内容如下图所示：</w:t>
                  </w:r>
                  <w:r>
                    <w:drawing>
                      <wp:inline distT="0" distR="0" distB="0" distL="0">
                        <wp:extent cx="1483995" cy="1469702"/>
                        <wp:docPr id="1" name="Drawing 1" descr="img"/>
                        <a:graphic xmlns:a="http://schemas.openxmlformats.org/drawingml/2006/main">
                          <a:graphicData uri="http://schemas.openxmlformats.org/drawingml/2006/picture">
                            <pic:pic xmlns:pic="http://schemas.openxmlformats.org/drawingml/2006/picture">
                              <pic:nvPicPr>
                                <pic:cNvPr id="0" name="Picture 1" descr="img"/>
                                <pic:cNvPicPr>
                                  <a:picLocks noChangeAspect="true"/>
                                </pic:cNvPicPr>
                              </pic:nvPicPr>
                              <pic:blipFill>
                                <a:blip r:embed="rId5"/>
                                <a:stretch>
                                  <a:fillRect/>
                                </a:stretch>
                              </pic:blipFill>
                              <pic:spPr>
                                <a:xfrm>
                                  <a:off x="0" y="0"/>
                                  <a:ext cx="1483995" cy="1469702"/>
                                </a:xfrm>
                                <a:prstGeom prst="rect">
                                  <a:avLst/>
                                </a:prstGeom>
                              </pic:spPr>
                            </pic:pic>
                          </a:graphicData>
                        </a:graphic>
                      </wp:inline>
                    </w:drawing>
                  </w:r>
                </w:p>
                <w:p>
                  <w:pPr>
                    <w:pStyle w:val="null3"/>
                    <w:ind w:firstLine="480"/>
                    <w:jc w:val="center"/>
                  </w:pPr>
                  <w:r>
                    <w:rPr>
                      <w:rFonts w:ascii="仿宋_GB2312" w:hAnsi="仿宋_GB2312" w:cs="仿宋_GB2312" w:eastAsia="仿宋_GB2312"/>
                      <w:sz w:val="24"/>
                    </w:rPr>
                    <w:t>测评内容</w:t>
                  </w:r>
                </w:p>
                <w:p>
                  <w:pPr>
                    <w:pStyle w:val="null3"/>
                    <w:ind w:firstLine="480"/>
                    <w:jc w:val="left"/>
                  </w:pPr>
                  <w:r>
                    <w:rPr>
                      <w:rFonts w:ascii="仿宋_GB2312" w:hAnsi="仿宋_GB2312" w:cs="仿宋_GB2312" w:eastAsia="仿宋_GB2312"/>
                      <w:sz w:val="24"/>
                    </w:rPr>
                    <w:t>（二）测评流程</w:t>
                  </w:r>
                </w:p>
                <w:p>
                  <w:pPr>
                    <w:pStyle w:val="null3"/>
                    <w:ind w:firstLine="480"/>
                    <w:jc w:val="left"/>
                  </w:pPr>
                  <w:r>
                    <w:rPr>
                      <w:rFonts w:ascii="仿宋_GB2312" w:hAnsi="仿宋_GB2312" w:cs="仿宋_GB2312" w:eastAsia="仿宋_GB2312"/>
                      <w:sz w:val="24"/>
                    </w:rPr>
                    <w:t>对信息系统等级保护测评实施的基本流程见图：</w:t>
                  </w:r>
                  <w:r>
                    <w:drawing>
                      <wp:inline distT="0" distR="0" distB="0" distL="0">
                        <wp:extent cx="1483995" cy="2813407"/>
                        <wp:docPr id="2" name="Drawing 2" descr="img"/>
                        <a:graphic xmlns:a="http://schemas.openxmlformats.org/drawingml/2006/main">
                          <a:graphicData uri="http://schemas.openxmlformats.org/drawingml/2006/picture">
                            <pic:pic xmlns:pic="http://schemas.openxmlformats.org/drawingml/2006/picture">
                              <pic:nvPicPr>
                                <pic:cNvPr id="0" name="Picture 2" descr="img"/>
                                <pic:cNvPicPr>
                                  <a:picLocks noChangeAspect="true"/>
                                </pic:cNvPicPr>
                              </pic:nvPicPr>
                              <pic:blipFill>
                                <a:blip r:embed="rId6"/>
                                <a:stretch>
                                  <a:fillRect/>
                                </a:stretch>
                              </pic:blipFill>
                              <pic:spPr>
                                <a:xfrm>
                                  <a:off x="0" y="0"/>
                                  <a:ext cx="1483995" cy="2813407"/>
                                </a:xfrm>
                                <a:prstGeom prst="rect">
                                  <a:avLst/>
                                </a:prstGeom>
                              </pic:spPr>
                            </pic:pic>
                          </a:graphicData>
                        </a:graphic>
                      </wp:inline>
                    </w:drawing>
                  </w:r>
                </w:p>
                <w:p>
                  <w:pPr>
                    <w:pStyle w:val="null3"/>
                    <w:jc w:val="left"/>
                  </w:pPr>
                  <w:r>
                    <w:rPr>
                      <w:rFonts w:ascii="仿宋_GB2312" w:hAnsi="仿宋_GB2312" w:cs="仿宋_GB2312" w:eastAsia="仿宋_GB2312"/>
                      <w:sz w:val="24"/>
                      <w:color w:val="000000"/>
                    </w:rPr>
                    <w:t>测评流程</w:t>
                  </w:r>
                </w:p>
                <w:p>
                  <w:pPr>
                    <w:pStyle w:val="null3"/>
                    <w:ind w:firstLine="480"/>
                    <w:jc w:val="left"/>
                  </w:pPr>
                  <w:r>
                    <w:rPr>
                      <w:rFonts w:ascii="仿宋_GB2312" w:hAnsi="仿宋_GB2312" w:cs="仿宋_GB2312" w:eastAsia="仿宋_GB2312"/>
                      <w:sz w:val="24"/>
                    </w:rPr>
                    <w:t>为确保等级测评工作的顺利开展，应首先明确等级测评的工作流程，然后按工作流程中的活动内容有序地开展等级测评工作。由于不同安全保护等级信息系统的重要程度不同，安全保护力度不同，从国家等级保护的角度出发，等级测评的关注角度也应有所差异。</w:t>
                  </w:r>
                </w:p>
                <w:p>
                  <w:pPr>
                    <w:pStyle w:val="null3"/>
                    <w:ind w:firstLine="480"/>
                    <w:jc w:val="left"/>
                  </w:pPr>
                  <w:r>
                    <w:rPr>
                      <w:rFonts w:ascii="仿宋_GB2312" w:hAnsi="仿宋_GB2312" w:cs="仿宋_GB2312" w:eastAsia="仿宋_GB2312"/>
                      <w:sz w:val="24"/>
                    </w:rPr>
                    <w:t>等级测评过程可以分为四个活动内容：测评准备活动、方案编制活动、现场测评活动和报告编制活动，而测评双方之间的沟通与洽谈应贯穿整个等级测评过程。在方案编制活动中，测评对象确定和测评指标确定两个任务可以并行。</w:t>
                  </w:r>
                </w:p>
                <w:p>
                  <w:pPr>
                    <w:pStyle w:val="null3"/>
                    <w:ind w:firstLine="480"/>
                    <w:jc w:val="left"/>
                  </w:pPr>
                  <w:r>
                    <w:rPr>
                      <w:rFonts w:ascii="仿宋_GB2312" w:hAnsi="仿宋_GB2312" w:cs="仿宋_GB2312" w:eastAsia="仿宋_GB2312"/>
                      <w:sz w:val="24"/>
                    </w:rPr>
                    <w:t>1．测评准备活动</w:t>
                  </w:r>
                </w:p>
                <w:p>
                  <w:pPr>
                    <w:pStyle w:val="null3"/>
                    <w:ind w:firstLine="480"/>
                    <w:jc w:val="left"/>
                  </w:pPr>
                  <w:r>
                    <w:rPr>
                      <w:rFonts w:ascii="仿宋_GB2312" w:hAnsi="仿宋_GB2312" w:cs="仿宋_GB2312" w:eastAsia="仿宋_GB2312"/>
                      <w:sz w:val="24"/>
                    </w:rPr>
                    <w:t>测评准备活动包括：项目启动、信息收集和分析、工具和表单准备三项任务。在测评准备活动中，测评机构主要完成：</w:t>
                  </w:r>
                  <w:r>
                    <w:rPr>
                      <w:rFonts w:ascii="仿宋_GB2312" w:hAnsi="仿宋_GB2312" w:cs="仿宋_GB2312" w:eastAsia="仿宋_GB2312"/>
                      <w:sz w:val="24"/>
                    </w:rPr>
                    <w:t>1）启动测评项目，组建测评项目组；2）通过收集和分析被测系统的相关资料信息，掌握被测系统的大体情况；3）并准备测评工具和表单等测评所需的相关资料，为编制测评方案打下良好的基础。</w:t>
                  </w:r>
                </w:p>
                <w:p>
                  <w:pPr>
                    <w:pStyle w:val="null3"/>
                    <w:jc w:val="left"/>
                  </w:pPr>
                  <w:r>
                    <w:rPr>
                      <w:rFonts w:ascii="仿宋_GB2312" w:hAnsi="仿宋_GB2312" w:cs="仿宋_GB2312" w:eastAsia="仿宋_GB2312"/>
                      <w:sz w:val="24"/>
                      <w:color w:val="000000"/>
                    </w:rPr>
                    <w:t>测评准备活动</w:t>
                  </w:r>
                </w:p>
                <w:tbl>
                  <w:tblPr>
                    <w:tblBorders>
                      <w:top w:val="none" w:color="000000" w:sz="4"/>
                      <w:left w:val="none" w:color="000000" w:sz="4"/>
                      <w:bottom w:val="none" w:color="000000" w:sz="4"/>
                      <w:right w:val="none" w:color="000000" w:sz="4"/>
                      <w:insideH w:val="none"/>
                      <w:insideV w:val="none"/>
                    </w:tblBorders>
                  </w:tblPr>
                  <w:tblGrid>
                    <w:gridCol w:w="431"/>
                    <w:gridCol w:w="946"/>
                    <w:gridCol w:w="960"/>
                  </w:tblGrid>
                  <w:tr>
                    <w:tc>
                      <w:tcPr>
                        <w:tcW w:type="dxa" w:w="431"/>
                        <w:tcBorders>
                          <w:top w:val="single" w:color="000000" w:sz="4"/>
                          <w:left w:val="single" w:color="000000" w:sz="4"/>
                          <w:bottom w:val="inset" w:color="000000" w:sz="4"/>
                          <w:right w:val="single" w:color="000000" w:sz="4"/>
                        </w:tcBorders>
                        <w:shd w:fill="D9D9D9"/>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项目内容</w:t>
                        </w:r>
                      </w:p>
                    </w:tc>
                    <w:tc>
                      <w:tcPr>
                        <w:tcW w:type="dxa" w:w="946"/>
                        <w:tcBorders>
                          <w:top w:val="single" w:color="000000" w:sz="4"/>
                          <w:left w:val="none" w:color="000000" w:sz="4"/>
                          <w:bottom w:val="inset" w:color="000000" w:sz="4"/>
                          <w:right w:val="single" w:color="000000" w:sz="4"/>
                        </w:tcBorders>
                        <w:shd w:fill="D9D9D9"/>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工作内容</w:t>
                        </w:r>
                      </w:p>
                    </w:tc>
                    <w:tc>
                      <w:tcPr>
                        <w:tcW w:type="dxa" w:w="960"/>
                        <w:tcBorders>
                          <w:top w:val="single" w:color="000000" w:sz="4"/>
                          <w:left w:val="none" w:color="000000" w:sz="4"/>
                          <w:bottom w:val="inset" w:color="000000" w:sz="4"/>
                          <w:right w:val="single" w:color="000000" w:sz="4"/>
                        </w:tcBorders>
                        <w:shd w:fill="D9D9D9"/>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输出成果</w:t>
                        </w:r>
                      </w:p>
                    </w:tc>
                  </w:tr>
                  <w:tr>
                    <w:tc>
                      <w:tcPr>
                        <w:tcW w:type="dxa" w:w="431"/>
                        <w:vMerge w:val="restart"/>
                        <w:tcBorders>
                          <w:top w:val="none" w:color="000000" w:sz="4"/>
                          <w:left w:val="single" w:color="000000" w:sz="4"/>
                          <w:bottom w:val="inset"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项目启动</w:t>
                        </w:r>
                      </w:p>
                    </w:tc>
                    <w:tc>
                      <w:tcPr>
                        <w:tcW w:type="dxa" w:w="946"/>
                        <w:tcBorders>
                          <w:top w:val="none" w:color="000000" w:sz="4"/>
                          <w:left w:val="none" w:color="000000" w:sz="4"/>
                          <w:bottom w:val="inset"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1.组建测评项目组</w:t>
                        </w:r>
                      </w:p>
                    </w:tc>
                    <w:tc>
                      <w:tcPr>
                        <w:tcW w:type="dxa" w:w="960"/>
                        <w:vMerge w:val="restart"/>
                        <w:tcBorders>
                          <w:top w:val="none" w:color="000000" w:sz="4"/>
                          <w:left w:val="none" w:color="000000" w:sz="4"/>
                          <w:bottom w:val="inset"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向用户提交《项目实施计划书》</w:t>
                        </w:r>
                      </w:p>
                    </w:tc>
                  </w:tr>
                  <w:tr>
                    <w:tc>
                      <w:tcPr>
                        <w:tcW w:type="dxa" w:w="431"/>
                        <w:vMerge/>
                        <w:tcBorders>
                          <w:top w:val="none" w:color="000000" w:sz="4"/>
                          <w:left w:val="single" w:color="000000" w:sz="4"/>
                          <w:bottom w:val="inset" w:color="000000" w:sz="4"/>
                          <w:right w:val="single" w:color="000000" w:sz="4"/>
                        </w:tcBorders>
                      </w:tcPr>
                      <w:p/>
                    </w:tc>
                    <w:tc>
                      <w:tcPr>
                        <w:tcW w:type="dxa" w:w="946"/>
                        <w:tcBorders>
                          <w:top w:val="none" w:color="000000" w:sz="4"/>
                          <w:left w:val="none" w:color="000000" w:sz="4"/>
                          <w:bottom w:val="inset"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2.编制《项目计划书》</w:t>
                        </w:r>
                      </w:p>
                    </w:tc>
                    <w:tc>
                      <w:tcPr>
                        <w:tcW w:type="dxa" w:w="960"/>
                        <w:vMerge/>
                        <w:tcBorders>
                          <w:top w:val="none" w:color="000000" w:sz="4"/>
                          <w:left w:val="none" w:color="000000" w:sz="4"/>
                          <w:bottom w:val="inset" w:color="000000" w:sz="4"/>
                          <w:right w:val="single" w:color="000000" w:sz="4"/>
                        </w:tcBorders>
                      </w:tcPr>
                      <w:p/>
                    </w:tc>
                  </w:tr>
                  <w:tr>
                    <w:tc>
                      <w:tcPr>
                        <w:tcW w:type="dxa" w:w="431"/>
                        <w:vMerge/>
                        <w:tcBorders>
                          <w:top w:val="none" w:color="000000" w:sz="4"/>
                          <w:left w:val="single" w:color="000000" w:sz="4"/>
                          <w:bottom w:val="inset" w:color="000000" w:sz="4"/>
                          <w:right w:val="single" w:color="000000" w:sz="4"/>
                        </w:tcBorders>
                      </w:tcPr>
                      <w:p/>
                    </w:tc>
                    <w:tc>
                      <w:tcPr>
                        <w:tcW w:type="dxa" w:w="946"/>
                        <w:tcBorders>
                          <w:top w:val="none" w:color="000000" w:sz="4"/>
                          <w:left w:val="none" w:color="000000" w:sz="4"/>
                          <w:bottom w:val="inset"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3.确定测评委托单位应提供的资料</w:t>
                        </w:r>
                      </w:p>
                    </w:tc>
                    <w:tc>
                      <w:tcPr>
                        <w:tcW w:type="dxa" w:w="960"/>
                        <w:vMerge/>
                        <w:tcBorders>
                          <w:top w:val="none" w:color="000000" w:sz="4"/>
                          <w:left w:val="none" w:color="000000" w:sz="4"/>
                          <w:bottom w:val="inset" w:color="000000" w:sz="4"/>
                          <w:right w:val="single" w:color="000000" w:sz="4"/>
                        </w:tcBorders>
                      </w:tcPr>
                      <w:p/>
                    </w:tc>
                  </w:tr>
                  <w:tr>
                    <w:tc>
                      <w:tcPr>
                        <w:tcW w:type="dxa" w:w="431"/>
                        <w:vMerge w:val="restart"/>
                        <w:tcBorders>
                          <w:top w:val="none" w:color="000000" w:sz="4"/>
                          <w:left w:val="single" w:color="000000" w:sz="4"/>
                          <w:bottom w:val="inset"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信息收集分析</w:t>
                        </w:r>
                      </w:p>
                    </w:tc>
                    <w:tc>
                      <w:tcPr>
                        <w:tcW w:type="dxa" w:w="946"/>
                        <w:tcBorders>
                          <w:top w:val="none" w:color="000000" w:sz="4"/>
                          <w:left w:val="none" w:color="000000" w:sz="4"/>
                          <w:bottom w:val="inset"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定级报告分析</w:t>
                        </w:r>
                      </w:p>
                    </w:tc>
                    <w:tc>
                      <w:tcPr>
                        <w:tcW w:type="dxa" w:w="960"/>
                        <w:vMerge w:val="restart"/>
                        <w:tcBorders>
                          <w:top w:val="none" w:color="000000" w:sz="4"/>
                          <w:left w:val="none" w:color="000000" w:sz="4"/>
                          <w:bottom w:val="inset"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《系统基本情况调研表》</w:t>
                        </w:r>
                      </w:p>
                    </w:tc>
                  </w:tr>
                  <w:tr>
                    <w:tc>
                      <w:tcPr>
                        <w:tcW w:type="dxa" w:w="431"/>
                        <w:vMerge/>
                        <w:tcBorders>
                          <w:top w:val="none" w:color="000000" w:sz="4"/>
                          <w:left w:val="single" w:color="000000" w:sz="4"/>
                          <w:bottom w:val="inset" w:color="000000" w:sz="4"/>
                          <w:right w:val="single" w:color="000000" w:sz="4"/>
                        </w:tcBorders>
                      </w:tcPr>
                      <w:p/>
                    </w:tc>
                    <w:tc>
                      <w:tcPr>
                        <w:tcW w:type="dxa" w:w="946"/>
                        <w:tcBorders>
                          <w:top w:val="none" w:color="000000" w:sz="4"/>
                          <w:left w:val="none" w:color="000000" w:sz="4"/>
                          <w:bottom w:val="inset"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1.整理调查表单</w:t>
                        </w:r>
                      </w:p>
                    </w:tc>
                    <w:tc>
                      <w:tcPr>
                        <w:tcW w:type="dxa" w:w="960"/>
                        <w:vMerge/>
                        <w:tcBorders>
                          <w:top w:val="none" w:color="000000" w:sz="4"/>
                          <w:left w:val="none" w:color="000000" w:sz="4"/>
                          <w:bottom w:val="inset" w:color="000000" w:sz="4"/>
                          <w:right w:val="single" w:color="000000" w:sz="4"/>
                        </w:tcBorders>
                      </w:tcPr>
                      <w:p/>
                    </w:tc>
                  </w:tr>
                  <w:tr>
                    <w:tc>
                      <w:tcPr>
                        <w:tcW w:type="dxa" w:w="431"/>
                        <w:vMerge/>
                        <w:tcBorders>
                          <w:top w:val="none" w:color="000000" w:sz="4"/>
                          <w:left w:val="single" w:color="000000" w:sz="4"/>
                          <w:bottom w:val="inset" w:color="000000" w:sz="4"/>
                          <w:right w:val="single" w:color="000000" w:sz="4"/>
                        </w:tcBorders>
                      </w:tcPr>
                      <w:p/>
                    </w:tc>
                    <w:tc>
                      <w:tcPr>
                        <w:tcW w:type="dxa" w:w="946"/>
                        <w:tcBorders>
                          <w:top w:val="none" w:color="000000" w:sz="4"/>
                          <w:left w:val="none" w:color="000000" w:sz="4"/>
                          <w:bottom w:val="inset"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2.发放调查表单给测评委托单位</w:t>
                        </w:r>
                      </w:p>
                    </w:tc>
                    <w:tc>
                      <w:tcPr>
                        <w:tcW w:type="dxa" w:w="960"/>
                        <w:vMerge/>
                        <w:tcBorders>
                          <w:top w:val="none" w:color="000000" w:sz="4"/>
                          <w:left w:val="none" w:color="000000" w:sz="4"/>
                          <w:bottom w:val="inset" w:color="000000" w:sz="4"/>
                          <w:right w:val="single" w:color="000000" w:sz="4"/>
                        </w:tcBorders>
                      </w:tcPr>
                      <w:p/>
                    </w:tc>
                  </w:tr>
                  <w:tr>
                    <w:tc>
                      <w:tcPr>
                        <w:tcW w:type="dxa" w:w="431"/>
                        <w:vMerge/>
                        <w:tcBorders>
                          <w:top w:val="none" w:color="000000" w:sz="4"/>
                          <w:left w:val="single" w:color="000000" w:sz="4"/>
                          <w:bottom w:val="inset" w:color="000000" w:sz="4"/>
                          <w:right w:val="single" w:color="000000" w:sz="4"/>
                        </w:tcBorders>
                      </w:tcPr>
                      <w:p/>
                    </w:tc>
                    <w:tc>
                      <w:tcPr>
                        <w:tcW w:type="dxa" w:w="946"/>
                        <w:tcBorders>
                          <w:top w:val="none" w:color="000000" w:sz="4"/>
                          <w:left w:val="none" w:color="000000" w:sz="4"/>
                          <w:bottom w:val="inset"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3.协助测评委托单位填写调查表</w:t>
                        </w:r>
                      </w:p>
                    </w:tc>
                    <w:tc>
                      <w:tcPr>
                        <w:tcW w:type="dxa" w:w="960"/>
                        <w:vMerge/>
                        <w:tcBorders>
                          <w:top w:val="none" w:color="000000" w:sz="4"/>
                          <w:left w:val="none" w:color="000000" w:sz="4"/>
                          <w:bottom w:val="inset" w:color="000000" w:sz="4"/>
                          <w:right w:val="single" w:color="000000" w:sz="4"/>
                        </w:tcBorders>
                      </w:tcPr>
                      <w:p/>
                    </w:tc>
                  </w:tr>
                  <w:tr>
                    <w:tc>
                      <w:tcPr>
                        <w:tcW w:type="dxa" w:w="431"/>
                        <w:vMerge/>
                        <w:tcBorders>
                          <w:top w:val="none" w:color="000000" w:sz="4"/>
                          <w:left w:val="single" w:color="000000" w:sz="4"/>
                          <w:bottom w:val="inset" w:color="000000" w:sz="4"/>
                          <w:right w:val="single" w:color="000000" w:sz="4"/>
                        </w:tcBorders>
                      </w:tcPr>
                      <w:p/>
                    </w:tc>
                    <w:tc>
                      <w:tcPr>
                        <w:tcW w:type="dxa" w:w="946"/>
                        <w:tcBorders>
                          <w:top w:val="none" w:color="000000" w:sz="4"/>
                          <w:left w:val="none" w:color="000000" w:sz="4"/>
                          <w:bottom w:val="inset"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4.收回调查结果</w:t>
                        </w:r>
                      </w:p>
                    </w:tc>
                    <w:tc>
                      <w:tcPr>
                        <w:tcW w:type="dxa" w:w="960"/>
                        <w:vMerge/>
                        <w:tcBorders>
                          <w:top w:val="none" w:color="000000" w:sz="4"/>
                          <w:left w:val="none" w:color="000000" w:sz="4"/>
                          <w:bottom w:val="inset" w:color="000000" w:sz="4"/>
                          <w:right w:val="single" w:color="000000" w:sz="4"/>
                        </w:tcBorders>
                      </w:tcPr>
                      <w:p/>
                    </w:tc>
                  </w:tr>
                  <w:tr>
                    <w:tc>
                      <w:tcPr>
                        <w:tcW w:type="dxa" w:w="431"/>
                        <w:vMerge/>
                        <w:tcBorders>
                          <w:top w:val="none" w:color="000000" w:sz="4"/>
                          <w:left w:val="single" w:color="000000" w:sz="4"/>
                          <w:bottom w:val="inset" w:color="000000" w:sz="4"/>
                          <w:right w:val="single" w:color="000000" w:sz="4"/>
                        </w:tcBorders>
                      </w:tcPr>
                      <w:p/>
                    </w:tc>
                    <w:tc>
                      <w:tcPr>
                        <w:tcW w:type="dxa" w:w="946"/>
                        <w:tcBorders>
                          <w:top w:val="none" w:color="000000" w:sz="4"/>
                          <w:left w:val="none" w:color="000000" w:sz="4"/>
                          <w:bottom w:val="inset"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5.分析调查结查</w:t>
                        </w:r>
                      </w:p>
                    </w:tc>
                    <w:tc>
                      <w:tcPr>
                        <w:tcW w:type="dxa" w:w="960"/>
                        <w:vMerge/>
                        <w:tcBorders>
                          <w:top w:val="none" w:color="000000" w:sz="4"/>
                          <w:left w:val="none" w:color="000000" w:sz="4"/>
                          <w:bottom w:val="inset" w:color="000000" w:sz="4"/>
                          <w:right w:val="single" w:color="000000" w:sz="4"/>
                        </w:tcBorders>
                      </w:tcPr>
                      <w:p/>
                    </w:tc>
                  </w:tr>
                  <w:tr>
                    <w:tc>
                      <w:tcPr>
                        <w:tcW w:type="dxa" w:w="431"/>
                        <w:vMerge w:val="restart"/>
                        <w:tcBorders>
                          <w:top w:val="none" w:color="000000" w:sz="4"/>
                          <w:left w:val="single" w:color="000000" w:sz="4"/>
                          <w:bottom w:val="inset"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工具和表单准备</w:t>
                        </w:r>
                      </w:p>
                    </w:tc>
                    <w:tc>
                      <w:tcPr>
                        <w:tcW w:type="dxa" w:w="946"/>
                        <w:tcBorders>
                          <w:top w:val="none" w:color="000000" w:sz="4"/>
                          <w:left w:val="none" w:color="000000" w:sz="4"/>
                          <w:bottom w:val="inset"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1.调试测评工具</w:t>
                        </w:r>
                      </w:p>
                    </w:tc>
                    <w:tc>
                      <w:tcPr>
                        <w:tcW w:type="dxa" w:w="960"/>
                        <w:vMerge w:val="restart"/>
                        <w:tcBorders>
                          <w:top w:val="none" w:color="000000" w:sz="4"/>
                          <w:left w:val="none" w:color="000000" w:sz="4"/>
                          <w:bottom w:val="inset"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确定测评工具《现场测评记录表》</w:t>
                        </w:r>
                      </w:p>
                    </w:tc>
                  </w:tr>
                  <w:tr>
                    <w:tc>
                      <w:tcPr>
                        <w:tcW w:type="dxa" w:w="431"/>
                        <w:vMerge/>
                        <w:tcBorders>
                          <w:top w:val="none" w:color="000000" w:sz="4"/>
                          <w:left w:val="single" w:color="000000" w:sz="4"/>
                          <w:bottom w:val="inset" w:color="000000" w:sz="4"/>
                          <w:right w:val="single" w:color="000000" w:sz="4"/>
                        </w:tcBorders>
                      </w:tcPr>
                      <w:p/>
                    </w:tc>
                    <w:tc>
                      <w:tcPr>
                        <w:tcW w:type="dxa" w:w="946"/>
                        <w:tcBorders>
                          <w:top w:val="none" w:color="000000" w:sz="4"/>
                          <w:left w:val="none" w:color="000000" w:sz="4"/>
                          <w:bottom w:val="inset"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2.模拟被测系统搭建测评环境</w:t>
                        </w:r>
                      </w:p>
                    </w:tc>
                    <w:tc>
                      <w:tcPr>
                        <w:tcW w:type="dxa" w:w="960"/>
                        <w:vMerge/>
                        <w:tcBorders>
                          <w:top w:val="none" w:color="000000" w:sz="4"/>
                          <w:left w:val="none" w:color="000000" w:sz="4"/>
                          <w:bottom w:val="inset" w:color="000000" w:sz="4"/>
                          <w:right w:val="single" w:color="000000" w:sz="4"/>
                        </w:tcBorders>
                      </w:tcPr>
                      <w:p/>
                    </w:tc>
                  </w:tr>
                  <w:tr>
                    <w:tc>
                      <w:tcPr>
                        <w:tcW w:type="dxa" w:w="431"/>
                        <w:vMerge/>
                        <w:tcBorders>
                          <w:top w:val="none" w:color="000000" w:sz="4"/>
                          <w:left w:val="single" w:color="000000" w:sz="4"/>
                          <w:bottom w:val="inset" w:color="000000" w:sz="4"/>
                          <w:right w:val="single" w:color="000000" w:sz="4"/>
                        </w:tcBorders>
                      </w:tcPr>
                      <w:p/>
                    </w:tc>
                    <w:tc>
                      <w:tcPr>
                        <w:tcW w:type="dxa" w:w="946"/>
                        <w:tcBorders>
                          <w:top w:val="none" w:color="000000" w:sz="4"/>
                          <w:left w:val="none" w:color="000000" w:sz="4"/>
                          <w:bottom w:val="inset"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3.模拟测评</w:t>
                        </w:r>
                      </w:p>
                    </w:tc>
                    <w:tc>
                      <w:tcPr>
                        <w:tcW w:type="dxa" w:w="960"/>
                        <w:vMerge/>
                        <w:tcBorders>
                          <w:top w:val="none" w:color="000000" w:sz="4"/>
                          <w:left w:val="none" w:color="000000" w:sz="4"/>
                          <w:bottom w:val="inset" w:color="000000" w:sz="4"/>
                          <w:right w:val="single" w:color="000000" w:sz="4"/>
                        </w:tcBorders>
                      </w:tcPr>
                      <w:p/>
                    </w:tc>
                  </w:tr>
                  <w:tr>
                    <w:tc>
                      <w:tcPr>
                        <w:tcW w:type="dxa" w:w="431"/>
                        <w:vMerge/>
                        <w:tcBorders>
                          <w:top w:val="none" w:color="000000" w:sz="4"/>
                          <w:left w:val="single" w:color="000000" w:sz="4"/>
                          <w:bottom w:val="inset" w:color="000000" w:sz="4"/>
                          <w:right w:val="single" w:color="000000" w:sz="4"/>
                        </w:tcBorders>
                      </w:tcPr>
                      <w:p/>
                    </w:tc>
                    <w:tc>
                      <w:tcPr>
                        <w:tcW w:type="dxa" w:w="94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1"/>
                            <w:color w:val="000000"/>
                          </w:rPr>
                          <w:t>4.准备打印表单</w:t>
                        </w:r>
                      </w:p>
                    </w:tc>
                    <w:tc>
                      <w:tcPr>
                        <w:tcW w:type="dxa" w:w="960"/>
                        <w:vMerge/>
                        <w:tcBorders>
                          <w:top w:val="none" w:color="000000" w:sz="4"/>
                          <w:left w:val="none" w:color="000000" w:sz="4"/>
                          <w:bottom w:val="inset" w:color="000000" w:sz="4"/>
                          <w:right w:val="single" w:color="000000" w:sz="4"/>
                        </w:tcBorders>
                      </w:tcPr>
                      <w:p/>
                    </w:tc>
                  </w:tr>
                </w:tbl>
                <w:p>
                  <w:pPr>
                    <w:pStyle w:val="null3"/>
                    <w:ind w:firstLine="480"/>
                    <w:jc w:val="left"/>
                  </w:pPr>
                  <w:r>
                    <w:rPr>
                      <w:rFonts w:ascii="仿宋_GB2312" w:hAnsi="仿宋_GB2312" w:cs="仿宋_GB2312" w:eastAsia="仿宋_GB2312"/>
                      <w:sz w:val="24"/>
                    </w:rPr>
                    <w:t>2．方案编制活动</w:t>
                  </w:r>
                </w:p>
                <w:p>
                  <w:pPr>
                    <w:pStyle w:val="null3"/>
                    <w:ind w:firstLine="480"/>
                    <w:jc w:val="left"/>
                  </w:pPr>
                  <w:r>
                    <w:rPr>
                      <w:rFonts w:ascii="仿宋_GB2312" w:hAnsi="仿宋_GB2312" w:cs="仿宋_GB2312" w:eastAsia="仿宋_GB2312"/>
                      <w:sz w:val="24"/>
                    </w:rPr>
                    <w:t>方案编制活动包括：测评对象确定和测评指标确定、测评内容确定、工具测试方法确定、测评指导书开发和测评方案编制四项任务。在方案编制活动中，测评机构主要完成确定测评对象和测评指标，选择测评工具接入点，从而进一步确定测评实施内容，并从已有的测评指导书中选择本次需要用到的测评指导书或开发相应的测评指导书，最后根据上述情况编制测评实施方案。</w:t>
                  </w:r>
                </w:p>
                <w:p>
                  <w:pPr>
                    <w:pStyle w:val="null3"/>
                    <w:ind w:firstLine="480"/>
                    <w:jc w:val="left"/>
                  </w:pPr>
                  <w:r>
                    <w:rPr>
                      <w:rFonts w:ascii="仿宋_GB2312" w:hAnsi="仿宋_GB2312" w:cs="仿宋_GB2312" w:eastAsia="仿宋_GB2312"/>
                      <w:sz w:val="24"/>
                    </w:rPr>
                    <w:t>3.现场测评活动</w:t>
                  </w:r>
                </w:p>
                <w:p>
                  <w:pPr>
                    <w:pStyle w:val="null3"/>
                    <w:ind w:firstLine="480"/>
                    <w:jc w:val="left"/>
                  </w:pPr>
                  <w:r>
                    <w:rPr>
                      <w:rFonts w:ascii="仿宋_GB2312" w:hAnsi="仿宋_GB2312" w:cs="仿宋_GB2312" w:eastAsia="仿宋_GB2312"/>
                      <w:sz w:val="24"/>
                    </w:rPr>
                    <w:t>现场测评活动包括：现场测评准备、现场测评和结果记录、结果确认和资料归还三项任务。在现场测评活动中，测评机构首先应与测评委托单位就测评方案达成一致意见，并进一步确定测评配合人员，完成测评指导书各项测评内容，获取足够的测评证据。</w:t>
                  </w:r>
                </w:p>
                <w:p>
                  <w:pPr>
                    <w:pStyle w:val="null3"/>
                    <w:ind w:firstLine="480"/>
                    <w:jc w:val="left"/>
                  </w:pPr>
                  <w:r>
                    <w:rPr>
                      <w:rFonts w:ascii="仿宋_GB2312" w:hAnsi="仿宋_GB2312" w:cs="仿宋_GB2312" w:eastAsia="仿宋_GB2312"/>
                      <w:sz w:val="24"/>
                    </w:rPr>
                    <w:t>4.报告编制活动</w:t>
                  </w:r>
                </w:p>
                <w:p>
                  <w:pPr>
                    <w:pStyle w:val="null3"/>
                    <w:ind w:firstLine="480"/>
                    <w:jc w:val="left"/>
                  </w:pPr>
                  <w:r>
                    <w:rPr>
                      <w:rFonts w:ascii="仿宋_GB2312" w:hAnsi="仿宋_GB2312" w:cs="仿宋_GB2312" w:eastAsia="仿宋_GB2312"/>
                      <w:sz w:val="24"/>
                    </w:rPr>
                    <w:t>报告编制活动包括：单项测评结果判定、单元测评结果判定、整体测评、风险分析、等级测评结论形成和测评报告编制六项任务。报告编制活动中，测评人员通过分析现场测评获得的测评证据和资料，判定单项测评结果及单元测评结果，进行整体测评和风险分析，形成等级测评结论，并完成最终的《信息系统等级测评报告》。</w:t>
                  </w:r>
                </w:p>
                <w:p>
                  <w:pPr>
                    <w:pStyle w:val="null3"/>
                    <w:ind w:left="480"/>
                    <w:jc w:val="both"/>
                  </w:pPr>
                  <w:r>
                    <w:rPr>
                      <w:rFonts w:ascii="仿宋_GB2312" w:hAnsi="仿宋_GB2312" w:cs="仿宋_GB2312" w:eastAsia="仿宋_GB2312"/>
                      <w:sz w:val="28"/>
                      <w:b/>
                      <w:color w:val="000000"/>
                    </w:rPr>
                    <w:t>4.1.6服务成果</w:t>
                  </w:r>
                </w:p>
                <w:p>
                  <w:pPr>
                    <w:pStyle w:val="null3"/>
                    <w:ind w:firstLine="480"/>
                    <w:jc w:val="left"/>
                  </w:pPr>
                  <w:r>
                    <w:rPr>
                      <w:rFonts w:ascii="仿宋_GB2312" w:hAnsi="仿宋_GB2312" w:cs="仿宋_GB2312" w:eastAsia="仿宋_GB2312"/>
                      <w:sz w:val="24"/>
                    </w:rPr>
                    <w:t>等保测评服务主要包括一下服务成果（不限于）：</w:t>
                  </w:r>
                </w:p>
                <w:p>
                  <w:pPr>
                    <w:pStyle w:val="null3"/>
                    <w:ind w:firstLine="480"/>
                    <w:jc w:val="left"/>
                  </w:pPr>
                  <w:r>
                    <w:rPr>
                      <w:rFonts w:ascii="仿宋_GB2312" w:hAnsi="仿宋_GB2312" w:cs="仿宋_GB2312" w:eastAsia="仿宋_GB2312"/>
                      <w:sz w:val="24"/>
                    </w:rPr>
                    <w:t>《等级保护测评实施方案（资产收集、测评表）》</w:t>
                  </w:r>
                </w:p>
                <w:p>
                  <w:pPr>
                    <w:pStyle w:val="null3"/>
                    <w:ind w:firstLine="480"/>
                    <w:jc w:val="left"/>
                  </w:pPr>
                  <w:r>
                    <w:rPr>
                      <w:rFonts w:ascii="仿宋_GB2312" w:hAnsi="仿宋_GB2312" w:cs="仿宋_GB2312" w:eastAsia="仿宋_GB2312"/>
                      <w:sz w:val="24"/>
                    </w:rPr>
                    <w:t>《等级保护测评差距分析报告》</w:t>
                  </w:r>
                </w:p>
                <w:p>
                  <w:pPr>
                    <w:pStyle w:val="null3"/>
                    <w:ind w:firstLine="480"/>
                    <w:jc w:val="left"/>
                  </w:pPr>
                  <w:r>
                    <w:rPr>
                      <w:rFonts w:ascii="仿宋_GB2312" w:hAnsi="仿宋_GB2312" w:cs="仿宋_GB2312" w:eastAsia="仿宋_GB2312"/>
                      <w:sz w:val="24"/>
                    </w:rPr>
                    <w:t>《等级保护测评安全整改方案》</w:t>
                  </w:r>
                </w:p>
                <w:p>
                  <w:pPr>
                    <w:pStyle w:val="null3"/>
                    <w:ind w:firstLine="480"/>
                    <w:jc w:val="left"/>
                  </w:pPr>
                  <w:r>
                    <w:rPr>
                      <w:rFonts w:ascii="仿宋_GB2312" w:hAnsi="仿宋_GB2312" w:cs="仿宋_GB2312" w:eastAsia="仿宋_GB2312"/>
                      <w:sz w:val="24"/>
                    </w:rPr>
                    <w:t>《等级保护测评安全整改报告》</w:t>
                  </w:r>
                </w:p>
                <w:p>
                  <w:pPr>
                    <w:pStyle w:val="null3"/>
                    <w:ind w:left="480"/>
                    <w:jc w:val="both"/>
                  </w:pPr>
                  <w:r>
                    <w:rPr>
                      <w:rFonts w:ascii="仿宋_GB2312" w:hAnsi="仿宋_GB2312" w:cs="仿宋_GB2312" w:eastAsia="仿宋_GB2312"/>
                      <w:sz w:val="28"/>
                      <w:b/>
                      <w:color w:val="0000FF"/>
                      <w:u w:val="single"/>
                    </w:rPr>
                    <w:t>4.1.</w:t>
                  </w:r>
                  <w:r>
                    <w:rPr>
                      <w:rFonts w:ascii="仿宋_GB2312" w:hAnsi="仿宋_GB2312" w:cs="仿宋_GB2312" w:eastAsia="仿宋_GB2312"/>
                      <w:sz w:val="28"/>
                      <w:b/>
                      <w:color w:val="0000FF"/>
                      <w:u w:val="single"/>
                    </w:rPr>
                    <w:t>7</w:t>
                  </w:r>
                  <w:r>
                    <w:rPr>
                      <w:rFonts w:ascii="仿宋_GB2312" w:hAnsi="仿宋_GB2312" w:cs="仿宋_GB2312" w:eastAsia="仿宋_GB2312"/>
                      <w:sz w:val="28"/>
                      <w:b/>
                      <w:color w:val="0000FF"/>
                      <w:u w:val="single"/>
                    </w:rPr>
                    <w:t>服务</w:t>
                  </w:r>
                  <w:r>
                    <w:rPr>
                      <w:rFonts w:ascii="仿宋_GB2312" w:hAnsi="仿宋_GB2312" w:cs="仿宋_GB2312" w:eastAsia="仿宋_GB2312"/>
                      <w:sz w:val="28"/>
                      <w:b/>
                      <w:color w:val="0000FF"/>
                      <w:u w:val="single"/>
                    </w:rPr>
                    <w:t>次数</w:t>
                  </w:r>
                </w:p>
                <w:p>
                  <w:pPr>
                    <w:pStyle w:val="null3"/>
                    <w:ind w:firstLine="480"/>
                    <w:jc w:val="left"/>
                  </w:pPr>
                  <w:r>
                    <w:rPr>
                      <w:rFonts w:ascii="仿宋_GB2312" w:hAnsi="仿宋_GB2312" w:cs="仿宋_GB2312" w:eastAsia="仿宋_GB2312"/>
                      <w:sz w:val="24"/>
                      <w:color w:val="0000FF"/>
                      <w:u w:val="single"/>
                    </w:rPr>
                    <w:t>等保</w:t>
                  </w:r>
                  <w:r>
                    <w:rPr>
                      <w:rFonts w:ascii="仿宋_GB2312" w:hAnsi="仿宋_GB2312" w:cs="仿宋_GB2312" w:eastAsia="仿宋_GB2312"/>
                      <w:sz w:val="24"/>
                      <w:color w:val="0000FF"/>
                      <w:u w:val="single"/>
                    </w:rPr>
                    <w:t>测评</w:t>
                  </w:r>
                  <w:r>
                    <w:rPr>
                      <w:rFonts w:ascii="仿宋_GB2312" w:hAnsi="仿宋_GB2312" w:cs="仿宋_GB2312" w:eastAsia="仿宋_GB2312"/>
                      <w:sz w:val="24"/>
                      <w:color w:val="0000FF"/>
                      <w:u w:val="single"/>
                    </w:rPr>
                    <w:t>服务</w:t>
                  </w:r>
                  <w:r>
                    <w:rPr>
                      <w:rFonts w:ascii="仿宋_GB2312" w:hAnsi="仿宋_GB2312" w:cs="仿宋_GB2312" w:eastAsia="仿宋_GB2312"/>
                      <w:sz w:val="24"/>
                      <w:color w:val="0000FF"/>
                      <w:u w:val="single"/>
                    </w:rPr>
                    <w:t>次数</w:t>
                  </w:r>
                  <w:r>
                    <w:rPr>
                      <w:rFonts w:ascii="仿宋_GB2312" w:hAnsi="仿宋_GB2312" w:cs="仿宋_GB2312" w:eastAsia="仿宋_GB2312"/>
                      <w:sz w:val="24"/>
                      <w:color w:val="0000FF"/>
                      <w:u w:val="single"/>
                    </w:rPr>
                    <w:t>：</w:t>
                  </w:r>
                  <w:r>
                    <w:rPr>
                      <w:rFonts w:ascii="仿宋_GB2312" w:hAnsi="仿宋_GB2312" w:cs="仿宋_GB2312" w:eastAsia="仿宋_GB2312"/>
                      <w:sz w:val="24"/>
                      <w:color w:val="0000FF"/>
                      <w:u w:val="single"/>
                    </w:rPr>
                    <w:t>1</w:t>
                  </w:r>
                  <w:r>
                    <w:rPr>
                      <w:rFonts w:ascii="仿宋_GB2312" w:hAnsi="仿宋_GB2312" w:cs="仿宋_GB2312" w:eastAsia="仿宋_GB2312"/>
                      <w:sz w:val="24"/>
                      <w:color w:val="0000FF"/>
                      <w:u w:val="single"/>
                    </w:rPr>
                    <w:t>次</w:t>
                  </w:r>
                  <w:r>
                    <w:rPr>
                      <w:rFonts w:ascii="仿宋_GB2312" w:hAnsi="仿宋_GB2312" w:cs="仿宋_GB2312" w:eastAsia="仿宋_GB2312"/>
                      <w:sz w:val="24"/>
                      <w:color w:val="0000FF"/>
                      <w:u w:val="single"/>
                    </w:rPr>
                    <w:t>/</w:t>
                  </w:r>
                  <w:r>
                    <w:rPr>
                      <w:rFonts w:ascii="仿宋_GB2312" w:hAnsi="仿宋_GB2312" w:cs="仿宋_GB2312" w:eastAsia="仿宋_GB2312"/>
                      <w:sz w:val="24"/>
                      <w:color w:val="0000FF"/>
                      <w:u w:val="single"/>
                    </w:rPr>
                    <w:t>年</w:t>
                  </w:r>
                </w:p>
                <w:p>
                  <w:pPr>
                    <w:pStyle w:val="null3"/>
                    <w:ind w:left="480"/>
                    <w:jc w:val="both"/>
                  </w:pPr>
                  <w:r>
                    <w:rPr>
                      <w:rFonts w:ascii="仿宋_GB2312" w:hAnsi="仿宋_GB2312" w:cs="仿宋_GB2312" w:eastAsia="仿宋_GB2312"/>
                      <w:sz w:val="28"/>
                      <w:b/>
                      <w:color w:val="000000"/>
                    </w:rPr>
                    <w:t>4.2渗透测试服务</w:t>
                  </w:r>
                </w:p>
                <w:p>
                  <w:pPr>
                    <w:pStyle w:val="null3"/>
                    <w:ind w:left="480"/>
                    <w:jc w:val="both"/>
                  </w:pPr>
                  <w:r>
                    <w:rPr>
                      <w:rFonts w:ascii="仿宋_GB2312" w:hAnsi="仿宋_GB2312" w:cs="仿宋_GB2312" w:eastAsia="仿宋_GB2312"/>
                      <w:sz w:val="28"/>
                      <w:b/>
                      <w:color w:val="000000"/>
                    </w:rPr>
                    <w:t>4.2.1服务概述</w:t>
                  </w:r>
                </w:p>
                <w:p>
                  <w:pPr>
                    <w:pStyle w:val="null3"/>
                    <w:ind w:firstLine="480"/>
                    <w:jc w:val="left"/>
                  </w:pPr>
                  <w:r>
                    <w:rPr>
                      <w:rFonts w:ascii="仿宋_GB2312" w:hAnsi="仿宋_GB2312" w:cs="仿宋_GB2312" w:eastAsia="仿宋_GB2312"/>
                      <w:sz w:val="24"/>
                    </w:rPr>
                    <w:t>渗透测试是一种通过模拟黑客可能使用的攻击方式和漏洞挖掘行为，对目标信息系统的安全进行深入安全检测的一种评估方法。渗透测试的目的是直观的让信息系统管理人员了解自身信息系统所面临的安全问题，看到对这些漏洞的利用或攻击可以产生什么样的破坏及影响。同时，为信息系统管理人员提供安全加固建议，及时采取必要的安全防范措施，帮助其更好的保护信息系统，从而促进信息系统安全稳定运行。以等级保护测评标准为基线，结合国际化网络安全测试标准，在用户授权下和可控的范围内采取可控的、不造成较大影响的模拟黑客攻击手法，及时发现信息系统的安全漏洞以及没有被掌控到的脆弱点，以便于及时对信息系统存在的安全漏洞及脆弱点进行修复，避免网络安全攻击事件对信息系统造成不良影响。</w:t>
                  </w:r>
                </w:p>
                <w:p>
                  <w:pPr>
                    <w:pStyle w:val="null3"/>
                    <w:ind w:left="480"/>
                    <w:jc w:val="both"/>
                  </w:pPr>
                  <w:r>
                    <w:rPr>
                      <w:rFonts w:ascii="仿宋_GB2312" w:hAnsi="仿宋_GB2312" w:cs="仿宋_GB2312" w:eastAsia="仿宋_GB2312"/>
                      <w:sz w:val="28"/>
                      <w:b/>
                      <w:color w:val="000000"/>
                    </w:rPr>
                    <w:t>4.2.2服务保障要求</w:t>
                  </w:r>
                </w:p>
                <w:p>
                  <w:pPr>
                    <w:pStyle w:val="null3"/>
                    <w:ind w:firstLine="480"/>
                    <w:jc w:val="left"/>
                  </w:pPr>
                  <w:r>
                    <w:rPr>
                      <w:rFonts w:ascii="仿宋_GB2312" w:hAnsi="仿宋_GB2312" w:cs="仿宋_GB2312" w:eastAsia="仿宋_GB2312"/>
                      <w:sz w:val="24"/>
                    </w:rPr>
                    <w:t>一、服务商资质要求</w:t>
                  </w:r>
                </w:p>
                <w:p>
                  <w:pPr>
                    <w:pStyle w:val="null3"/>
                    <w:ind w:firstLine="480"/>
                    <w:jc w:val="left"/>
                  </w:pPr>
                  <w:r>
                    <w:rPr>
                      <w:rFonts w:ascii="仿宋_GB2312" w:hAnsi="仿宋_GB2312" w:cs="仿宋_GB2312" w:eastAsia="仿宋_GB2312"/>
                      <w:sz w:val="24"/>
                    </w:rPr>
                    <w:t>具有国家信息安全风险评估或安全服务资质、</w:t>
                  </w:r>
                  <w:r>
                    <w:rPr>
                      <w:rFonts w:ascii="仿宋_GB2312" w:hAnsi="仿宋_GB2312" w:cs="仿宋_GB2312" w:eastAsia="仿宋_GB2312"/>
                      <w:sz w:val="24"/>
                    </w:rPr>
                    <w:t>CNCERT网络安全应急服务支撑单位资质或CNAS检查机构认可证书或国家信息安全漏洞扫描CNNVD技术支持单位等级证书。</w:t>
                  </w:r>
                </w:p>
                <w:p>
                  <w:pPr>
                    <w:pStyle w:val="null3"/>
                    <w:ind w:firstLine="480"/>
                    <w:jc w:val="left"/>
                  </w:pPr>
                  <w:r>
                    <w:rPr>
                      <w:rFonts w:ascii="仿宋_GB2312" w:hAnsi="仿宋_GB2312" w:cs="仿宋_GB2312" w:eastAsia="仿宋_GB2312"/>
                      <w:sz w:val="24"/>
                    </w:rPr>
                    <w:t>二、其他要求</w:t>
                  </w:r>
                </w:p>
                <w:p>
                  <w:pPr>
                    <w:pStyle w:val="null3"/>
                    <w:ind w:firstLine="480"/>
                    <w:jc w:val="left"/>
                  </w:pPr>
                  <w:r>
                    <w:rPr>
                      <w:rFonts w:ascii="仿宋_GB2312" w:hAnsi="仿宋_GB2312" w:cs="仿宋_GB2312" w:eastAsia="仿宋_GB2312"/>
                      <w:sz w:val="24"/>
                    </w:rPr>
                    <w:t>测评机构自身应具备本项目所需要的安全专业技能且须直接提供服务，不接受分包和转包。</w:t>
                  </w:r>
                </w:p>
                <w:p>
                  <w:pPr>
                    <w:pStyle w:val="null3"/>
                    <w:ind w:firstLine="480"/>
                    <w:jc w:val="left"/>
                  </w:pPr>
                  <w:r>
                    <w:rPr>
                      <w:rFonts w:ascii="仿宋_GB2312" w:hAnsi="仿宋_GB2312" w:cs="仿宋_GB2312" w:eastAsia="仿宋_GB2312"/>
                      <w:sz w:val="24"/>
                    </w:rPr>
                    <w:t>测评机构不可转包或分包本项目给任何第三方，不可转包或分包本项目给分支机构或下属单位。</w:t>
                  </w:r>
                </w:p>
                <w:p>
                  <w:pPr>
                    <w:pStyle w:val="null3"/>
                    <w:ind w:firstLine="480"/>
                    <w:jc w:val="left"/>
                  </w:pPr>
                  <w:r>
                    <w:rPr>
                      <w:rFonts w:ascii="仿宋_GB2312" w:hAnsi="仿宋_GB2312" w:cs="仿宋_GB2312" w:eastAsia="仿宋_GB2312"/>
                      <w:sz w:val="24"/>
                    </w:rPr>
                    <w:t>测评机构实施人员应具备财政信息化系统上线风险评估相关项目实施经验。</w:t>
                  </w:r>
                </w:p>
                <w:p>
                  <w:pPr>
                    <w:pStyle w:val="null3"/>
                    <w:ind w:firstLine="480"/>
                    <w:jc w:val="left"/>
                  </w:pPr>
                  <w:r>
                    <w:rPr>
                      <w:rFonts w:ascii="仿宋_GB2312" w:hAnsi="仿宋_GB2312" w:cs="仿宋_GB2312" w:eastAsia="仿宋_GB2312"/>
                      <w:sz w:val="24"/>
                    </w:rPr>
                    <w:t>测评机构在服务实施方案中必须标注实施人员为现场服务人员还是后台支持人员。</w:t>
                  </w:r>
                </w:p>
                <w:p>
                  <w:pPr>
                    <w:pStyle w:val="null3"/>
                    <w:ind w:firstLine="480"/>
                    <w:jc w:val="left"/>
                  </w:pPr>
                  <w:r>
                    <w:rPr>
                      <w:rFonts w:ascii="仿宋_GB2312" w:hAnsi="仿宋_GB2312" w:cs="仿宋_GB2312" w:eastAsia="仿宋_GB2312"/>
                      <w:sz w:val="24"/>
                    </w:rPr>
                    <w:t>测评机构应提供项目经理和项目组成员的简历，包括个人基本信息、学历、工作经验、参与同类服务项目案例情况。</w:t>
                  </w:r>
                </w:p>
                <w:p>
                  <w:pPr>
                    <w:pStyle w:val="null3"/>
                    <w:ind w:firstLine="480"/>
                    <w:jc w:val="left"/>
                  </w:pPr>
                  <w:r>
                    <w:rPr>
                      <w:rFonts w:ascii="仿宋_GB2312" w:hAnsi="仿宋_GB2312" w:cs="仿宋_GB2312" w:eastAsia="仿宋_GB2312"/>
                      <w:sz w:val="24"/>
                    </w:rPr>
                    <w:t>测评机构的项目经理和项目组成员名单应注明人员的项目参与方式（现场或远程），项目组成员不少于</w:t>
                  </w:r>
                  <w:r>
                    <w:rPr>
                      <w:rFonts w:ascii="仿宋_GB2312" w:hAnsi="仿宋_GB2312" w:cs="仿宋_GB2312" w:eastAsia="仿宋_GB2312"/>
                      <w:sz w:val="24"/>
                    </w:rPr>
                    <w:t>4人，现场人员（含项目经理）不少于2人。</w:t>
                  </w:r>
                </w:p>
                <w:p>
                  <w:pPr>
                    <w:pStyle w:val="null3"/>
                    <w:ind w:firstLine="480"/>
                    <w:jc w:val="left"/>
                  </w:pPr>
                  <w:r>
                    <w:rPr>
                      <w:rFonts w:ascii="仿宋_GB2312" w:hAnsi="仿宋_GB2312" w:cs="仿宋_GB2312" w:eastAsia="仿宋_GB2312"/>
                      <w:sz w:val="24"/>
                    </w:rPr>
                    <w:t>测评机构实施人员不得将评估中有关与本项目有关、财政厅相关的信息泄露给第三方。</w:t>
                  </w:r>
                </w:p>
                <w:p>
                  <w:pPr>
                    <w:pStyle w:val="null3"/>
                    <w:ind w:firstLine="480"/>
                    <w:jc w:val="left"/>
                  </w:pPr>
                  <w:r>
                    <w:rPr>
                      <w:rFonts w:ascii="仿宋_GB2312" w:hAnsi="仿宋_GB2312" w:cs="仿宋_GB2312" w:eastAsia="仿宋_GB2312"/>
                      <w:sz w:val="24"/>
                    </w:rPr>
                    <w:t>测评机构应说明进行渗透测试的详细工作流程和具体实施步骤。</w:t>
                  </w:r>
                </w:p>
                <w:p>
                  <w:pPr>
                    <w:pStyle w:val="null3"/>
                    <w:ind w:firstLine="480"/>
                    <w:jc w:val="left"/>
                  </w:pPr>
                  <w:r>
                    <w:rPr>
                      <w:rFonts w:ascii="仿宋_GB2312" w:hAnsi="仿宋_GB2312" w:cs="仿宋_GB2312" w:eastAsia="仿宋_GB2312"/>
                      <w:sz w:val="24"/>
                    </w:rPr>
                    <w:t>测评机构应说明进行渗透测试所依照的相关评估标准（包括国内外标准、相关法规等）、漏洞库、软件缺陷库等。</w:t>
                  </w:r>
                </w:p>
                <w:p>
                  <w:pPr>
                    <w:pStyle w:val="null3"/>
                    <w:ind w:firstLine="480"/>
                    <w:jc w:val="left"/>
                  </w:pPr>
                  <w:r>
                    <w:rPr>
                      <w:rFonts w:ascii="仿宋_GB2312" w:hAnsi="仿宋_GB2312" w:cs="仿宋_GB2312" w:eastAsia="仿宋_GB2312"/>
                      <w:sz w:val="24"/>
                    </w:rPr>
                    <w:t>测评机构应说明进行渗透测试所采用的工具，如商业评估工具、开源评估工具、自开发工具</w:t>
                  </w:r>
                  <w:r>
                    <w:rPr>
                      <w:rFonts w:ascii="仿宋_GB2312" w:hAnsi="仿宋_GB2312" w:cs="仿宋_GB2312" w:eastAsia="仿宋_GB2312"/>
                      <w:sz w:val="24"/>
                    </w:rPr>
                    <w:t>/脚本、源代码安全测试工具等。</w:t>
                  </w:r>
                </w:p>
                <w:p>
                  <w:pPr>
                    <w:pStyle w:val="null3"/>
                    <w:ind w:firstLine="480"/>
                    <w:jc w:val="left"/>
                  </w:pPr>
                  <w:r>
                    <w:rPr>
                      <w:rFonts w:ascii="仿宋_GB2312" w:hAnsi="仿宋_GB2312" w:cs="仿宋_GB2312" w:eastAsia="仿宋_GB2312"/>
                      <w:sz w:val="24"/>
                    </w:rPr>
                    <w:t>测评机构应说明进行渗透测试前，财政厅应进行的准备工作，包括网络接入环境准备、办公场所准备、所需材料准备、所需配合人员等。</w:t>
                  </w:r>
                </w:p>
                <w:p>
                  <w:pPr>
                    <w:pStyle w:val="null3"/>
                    <w:ind w:firstLine="480"/>
                    <w:jc w:val="left"/>
                  </w:pPr>
                  <w:r>
                    <w:rPr>
                      <w:rFonts w:ascii="仿宋_GB2312" w:hAnsi="仿宋_GB2312" w:cs="仿宋_GB2312" w:eastAsia="仿宋_GB2312"/>
                      <w:sz w:val="24"/>
                    </w:rPr>
                    <w:t>测评机构应说明进行渗透测试各项工作时，可能对目标系统产生的影响，尤其时可能造成目标系统性能下降、数据完整性和机密性破坏的影响。应制定相关应急计划。</w:t>
                  </w:r>
                </w:p>
                <w:p>
                  <w:pPr>
                    <w:pStyle w:val="null3"/>
                    <w:ind w:left="480"/>
                    <w:jc w:val="both"/>
                  </w:pPr>
                  <w:r>
                    <w:rPr>
                      <w:rFonts w:ascii="仿宋_GB2312" w:hAnsi="仿宋_GB2312" w:cs="仿宋_GB2312" w:eastAsia="仿宋_GB2312"/>
                      <w:sz w:val="28"/>
                      <w:b/>
                      <w:color w:val="000000"/>
                    </w:rPr>
                    <w:t>4.2.3服务流程</w:t>
                  </w:r>
                </w:p>
                <w:p>
                  <w:pPr>
                    <w:pStyle w:val="null3"/>
                    <w:ind w:firstLine="480"/>
                    <w:jc w:val="left"/>
                  </w:pPr>
                  <w:r>
                    <w:rPr>
                      <w:rFonts w:ascii="仿宋_GB2312" w:hAnsi="仿宋_GB2312" w:cs="仿宋_GB2312" w:eastAsia="仿宋_GB2312"/>
                      <w:sz w:val="24"/>
                    </w:rPr>
                    <w:t>渗透测试服务的总体实施流程如下图：</w:t>
                  </w:r>
                </w:p>
                <w:p>
                  <w:pPr>
                    <w:pStyle w:val="null3"/>
                    <w:jc w:val="both"/>
                  </w:pPr>
                  <w:r>
                    <w:drawing>
                      <wp:inline distT="0" distR="0" distB="0" distL="0">
                        <wp:extent cx="1483995" cy="1423311"/>
                        <wp:docPr id="3" name="Drawing 3" descr="img"/>
                        <a:graphic xmlns:a="http://schemas.openxmlformats.org/drawingml/2006/main">
                          <a:graphicData uri="http://schemas.openxmlformats.org/drawingml/2006/picture">
                            <pic:pic xmlns:pic="http://schemas.openxmlformats.org/drawingml/2006/picture">
                              <pic:nvPicPr>
                                <pic:cNvPr id="0" name="Picture 3" descr="img"/>
                                <pic:cNvPicPr>
                                  <a:picLocks noChangeAspect="true"/>
                                </pic:cNvPicPr>
                              </pic:nvPicPr>
                              <pic:blipFill>
                                <a:blip r:embed="rId7"/>
                                <a:stretch>
                                  <a:fillRect/>
                                </a:stretch>
                              </pic:blipFill>
                              <pic:spPr>
                                <a:xfrm>
                                  <a:off x="0" y="0"/>
                                  <a:ext cx="1483995" cy="1423311"/>
                                </a:xfrm>
                                <a:prstGeom prst="rect">
                                  <a:avLst/>
                                </a:prstGeom>
                              </pic:spPr>
                            </pic:pic>
                          </a:graphicData>
                        </a:graphic>
                      </wp:inline>
                    </w:drawing>
                  </w:r>
                </w:p>
                <w:p>
                  <w:pPr>
                    <w:pStyle w:val="null3"/>
                    <w:jc w:val="center"/>
                  </w:pPr>
                  <w:r>
                    <w:rPr>
                      <w:rFonts w:ascii="仿宋_GB2312" w:hAnsi="仿宋_GB2312" w:cs="仿宋_GB2312" w:eastAsia="仿宋_GB2312"/>
                      <w:sz w:val="21"/>
                      <w:color w:val="000000"/>
                    </w:rPr>
                    <w:t>图</w:t>
                  </w:r>
                  <w:r>
                    <w:rPr>
                      <w:rFonts w:ascii="仿宋_GB2312" w:hAnsi="仿宋_GB2312" w:cs="仿宋_GB2312" w:eastAsia="仿宋_GB2312"/>
                      <w:sz w:val="21"/>
                      <w:color w:val="000000"/>
                    </w:rPr>
                    <w:t>5?14渗透测试服务流程</w:t>
                  </w:r>
                </w:p>
                <w:p>
                  <w:pPr>
                    <w:pStyle w:val="null3"/>
                    <w:ind w:left="480"/>
                    <w:jc w:val="both"/>
                  </w:pPr>
                  <w:r>
                    <w:rPr>
                      <w:rFonts w:ascii="仿宋_GB2312" w:hAnsi="仿宋_GB2312" w:cs="仿宋_GB2312" w:eastAsia="仿宋_GB2312"/>
                      <w:sz w:val="28"/>
                      <w:b/>
                      <w:color w:val="000000"/>
                    </w:rPr>
                    <w:t>4.2.4服务内容</w:t>
                  </w:r>
                </w:p>
                <w:p>
                  <w:pPr>
                    <w:pStyle w:val="null3"/>
                    <w:ind w:firstLine="480"/>
                    <w:jc w:val="left"/>
                  </w:pPr>
                  <w:r>
                    <w:rPr>
                      <w:rFonts w:ascii="仿宋_GB2312" w:hAnsi="仿宋_GB2312" w:cs="仿宋_GB2312" w:eastAsia="仿宋_GB2312"/>
                      <w:sz w:val="24"/>
                    </w:rPr>
                    <w:t>渗透测试将覆盖一系列的渗透测试项，渗透测试模拟攻击的目标范围包括信息系统中的应用系统、主机操作系统、数据库系统、网络设备等。</w:t>
                  </w:r>
                </w:p>
                <w:p>
                  <w:pPr>
                    <w:pStyle w:val="null3"/>
                    <w:ind w:firstLine="480"/>
                    <w:jc w:val="center"/>
                  </w:pPr>
                  <w:r>
                    <w:rPr>
                      <w:rFonts w:ascii="仿宋_GB2312" w:hAnsi="仿宋_GB2312" w:cs="仿宋_GB2312" w:eastAsia="仿宋_GB2312"/>
                      <w:sz w:val="24"/>
                    </w:rPr>
                    <w:t>渗透测试服务内容</w:t>
                  </w:r>
                </w:p>
                <w:tbl>
                  <w:tblPr>
                    <w:tblBorders>
                      <w:top w:val="none" w:color="000000" w:sz="4"/>
                      <w:left w:val="none" w:color="000000" w:sz="4"/>
                      <w:bottom w:val="none" w:color="000000" w:sz="4"/>
                      <w:right w:val="none" w:color="000000" w:sz="4"/>
                      <w:insideH w:val="none"/>
                      <w:insideV w:val="none"/>
                    </w:tblBorders>
                  </w:tblPr>
                  <w:tblGrid>
                    <w:gridCol w:w="126"/>
                    <w:gridCol w:w="182"/>
                    <w:gridCol w:w="938"/>
                    <w:gridCol w:w="728"/>
                    <w:gridCol w:w="364"/>
                  </w:tblGrid>
                  <w:tr>
                    <w:tc>
                      <w:tcPr>
                        <w:tcW w:type="dxa" w:w="126"/>
                        <w:tcBorders>
                          <w:top w:val="single" w:color="000000" w:sz="4"/>
                          <w:left w:val="single" w:color="000000" w:sz="4"/>
                          <w:bottom w:val="single" w:color="000000" w:sz="4"/>
                          <w:right w:val="single" w:color="000000" w:sz="4"/>
                        </w:tcBorders>
                        <w:shd w:fill="D9D9D9"/>
                        <w:tcMar>
                          <w:top w:type="dxa" w:w="0"/>
                          <w:left w:type="dxa" w:w="105"/>
                          <w:bottom w:type="dxa" w:w="0"/>
                          <w:right w:type="dxa" w:w="105"/>
                        </w:tcMar>
                        <w:vAlign w:val="top"/>
                      </w:tcPr>
                      <w:p>
                        <w:pPr>
                          <w:pStyle w:val="null3"/>
                          <w:jc w:val="both"/>
                        </w:pPr>
                        <w:r>
                          <w:rPr>
                            <w:rFonts w:ascii="仿宋_GB2312" w:hAnsi="仿宋_GB2312" w:cs="仿宋_GB2312" w:eastAsia="仿宋_GB2312"/>
                            <w:sz w:val="21"/>
                            <w:b/>
                            <w:color w:val="000000"/>
                          </w:rPr>
                          <w:t>序号</w:t>
                        </w:r>
                      </w:p>
                    </w:tc>
                    <w:tc>
                      <w:tcPr>
                        <w:tcW w:type="dxa" w:w="182"/>
                        <w:tcBorders>
                          <w:top w:val="single" w:color="000000" w:sz="4"/>
                          <w:left w:val="none" w:color="000000" w:sz="4"/>
                          <w:bottom w:val="single" w:color="000000" w:sz="4"/>
                          <w:right w:val="single" w:color="000000" w:sz="4"/>
                        </w:tcBorders>
                        <w:shd w:fill="D9D9D9"/>
                        <w:tcMar>
                          <w:top w:type="dxa" w:w="0"/>
                          <w:left w:type="dxa" w:w="105"/>
                          <w:bottom w:type="dxa" w:w="0"/>
                          <w:right w:type="dxa" w:w="105"/>
                        </w:tcMar>
                        <w:vAlign w:val="top"/>
                      </w:tcPr>
                      <w:p>
                        <w:pPr>
                          <w:pStyle w:val="null3"/>
                          <w:jc w:val="both"/>
                        </w:pPr>
                        <w:r>
                          <w:rPr>
                            <w:rFonts w:ascii="仿宋_GB2312" w:hAnsi="仿宋_GB2312" w:cs="仿宋_GB2312" w:eastAsia="仿宋_GB2312"/>
                            <w:sz w:val="21"/>
                            <w:b/>
                            <w:color w:val="000000"/>
                          </w:rPr>
                          <w:t>服务内容</w:t>
                        </w:r>
                      </w:p>
                    </w:tc>
                    <w:tc>
                      <w:tcPr>
                        <w:tcW w:type="dxa" w:w="938"/>
                        <w:tcBorders>
                          <w:top w:val="single" w:color="000000" w:sz="4"/>
                          <w:left w:val="none" w:color="000000" w:sz="4"/>
                          <w:bottom w:val="single" w:color="000000" w:sz="4"/>
                          <w:right w:val="single" w:color="000000" w:sz="4"/>
                        </w:tcBorders>
                        <w:shd w:fill="D9D9D9"/>
                        <w:tcMar>
                          <w:top w:type="dxa" w:w="0"/>
                          <w:left w:type="dxa" w:w="105"/>
                          <w:bottom w:type="dxa" w:w="0"/>
                          <w:right w:type="dxa" w:w="105"/>
                        </w:tcMar>
                        <w:vAlign w:val="top"/>
                      </w:tcPr>
                      <w:p>
                        <w:pPr>
                          <w:pStyle w:val="null3"/>
                          <w:jc w:val="both"/>
                        </w:pPr>
                        <w:r>
                          <w:rPr>
                            <w:rFonts w:ascii="仿宋_GB2312" w:hAnsi="仿宋_GB2312" w:cs="仿宋_GB2312" w:eastAsia="仿宋_GB2312"/>
                            <w:sz w:val="21"/>
                            <w:b/>
                            <w:color w:val="000000"/>
                          </w:rPr>
                          <w:t>服务说明</w:t>
                        </w:r>
                      </w:p>
                    </w:tc>
                    <w:tc>
                      <w:tcPr>
                        <w:tcW w:type="dxa" w:w="728"/>
                        <w:tcBorders>
                          <w:top w:val="single" w:color="000000" w:sz="4"/>
                          <w:left w:val="none" w:color="000000" w:sz="4"/>
                          <w:bottom w:val="single" w:color="000000" w:sz="4"/>
                          <w:right w:val="single" w:color="000000" w:sz="4"/>
                        </w:tcBorders>
                        <w:shd w:fill="D9D9D9"/>
                        <w:tcMar>
                          <w:top w:type="dxa" w:w="0"/>
                          <w:left w:type="dxa" w:w="105"/>
                          <w:bottom w:type="dxa" w:w="0"/>
                          <w:right w:type="dxa" w:w="105"/>
                        </w:tcMar>
                        <w:vAlign w:val="top"/>
                      </w:tcPr>
                      <w:p>
                        <w:pPr>
                          <w:pStyle w:val="null3"/>
                          <w:jc w:val="both"/>
                        </w:pPr>
                        <w:r>
                          <w:rPr>
                            <w:rFonts w:ascii="仿宋_GB2312" w:hAnsi="仿宋_GB2312" w:cs="仿宋_GB2312" w:eastAsia="仿宋_GB2312"/>
                            <w:sz w:val="21"/>
                            <w:b/>
                            <w:color w:val="000000"/>
                          </w:rPr>
                          <w:t>服务对象</w:t>
                        </w:r>
                      </w:p>
                    </w:tc>
                    <w:tc>
                      <w:tcPr>
                        <w:tcW w:type="dxa" w:w="364"/>
                        <w:tcBorders>
                          <w:top w:val="single" w:color="000000" w:sz="4"/>
                          <w:left w:val="none" w:color="000000" w:sz="4"/>
                          <w:bottom w:val="single" w:color="000000" w:sz="4"/>
                          <w:right w:val="single" w:color="000000" w:sz="4"/>
                        </w:tcBorders>
                        <w:shd w:fill="D9D9D9"/>
                        <w:tcMar>
                          <w:top w:type="dxa" w:w="0"/>
                          <w:left w:type="dxa" w:w="105"/>
                          <w:bottom w:type="dxa" w:w="0"/>
                          <w:right w:type="dxa" w:w="105"/>
                        </w:tcMar>
                        <w:vAlign w:val="top"/>
                      </w:tcPr>
                      <w:p>
                        <w:pPr>
                          <w:pStyle w:val="null3"/>
                          <w:jc w:val="both"/>
                        </w:pPr>
                        <w:r>
                          <w:rPr>
                            <w:rFonts w:ascii="仿宋_GB2312" w:hAnsi="仿宋_GB2312" w:cs="仿宋_GB2312" w:eastAsia="仿宋_GB2312"/>
                            <w:sz w:val="21"/>
                            <w:b/>
                            <w:color w:val="000000"/>
                          </w:rPr>
                          <w:t>服务类型</w:t>
                        </w:r>
                      </w:p>
                    </w:tc>
                  </w:tr>
                  <w:tr>
                    <w:tc>
                      <w:tcPr>
                        <w:tcW w:type="dxa" w:w="126"/>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18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渗透测试服务</w:t>
                        </w:r>
                      </w:p>
                    </w:tc>
                    <w:tc>
                      <w:tcPr>
                        <w:tcW w:type="dxa" w:w="93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1.渗透测试将覆盖一系列的渗透测试项；</w:t>
                        </w:r>
                      </w:p>
                      <w:p>
                        <w:pPr>
                          <w:pStyle w:val="null3"/>
                          <w:jc w:val="both"/>
                        </w:pPr>
                        <w:r>
                          <w:rPr>
                            <w:rFonts w:ascii="仿宋_GB2312" w:hAnsi="仿宋_GB2312" w:cs="仿宋_GB2312" w:eastAsia="仿宋_GB2312"/>
                            <w:sz w:val="21"/>
                            <w:color w:val="000000"/>
                          </w:rPr>
                          <w:t>2.渗透测试模拟攻击的目标范围包括信息系统中的应用系统、主机操作系统、数据库系统、网络设备等；</w:t>
                        </w:r>
                      </w:p>
                      <w:p>
                        <w:pPr>
                          <w:pStyle w:val="null3"/>
                          <w:jc w:val="both"/>
                        </w:pPr>
                        <w:r>
                          <w:rPr>
                            <w:rFonts w:ascii="仿宋_GB2312" w:hAnsi="仿宋_GB2312" w:cs="仿宋_GB2312" w:eastAsia="仿宋_GB2312"/>
                            <w:sz w:val="21"/>
                            <w:color w:val="000000"/>
                          </w:rPr>
                          <w:t>3.提供渗透测试服务，出具渗透测试报告并针对整改进行一次高危风险复核。</w:t>
                        </w:r>
                      </w:p>
                      <w:p>
                        <w:pPr>
                          <w:pStyle w:val="null3"/>
                          <w:spacing w:after="120"/>
                          <w:jc w:val="both"/>
                        </w:pPr>
                        <w:r>
                          <w:rPr>
                            <w:rFonts w:ascii="仿宋_GB2312" w:hAnsi="仿宋_GB2312" w:cs="仿宋_GB2312" w:eastAsia="仿宋_GB2312"/>
                            <w:sz w:val="24"/>
                            <w:color w:val="000000"/>
                          </w:rPr>
                          <w:t>渗透测试需要配备专业杀毒工具：</w:t>
                        </w:r>
                      </w:p>
                      <w:p>
                        <w:pPr>
                          <w:pStyle w:val="null3"/>
                          <w:spacing w:after="120"/>
                          <w:jc w:val="both"/>
                        </w:pPr>
                        <w:r>
                          <w:rPr>
                            <w:rFonts w:ascii="仿宋_GB2312" w:hAnsi="仿宋_GB2312" w:cs="仿宋_GB2312" w:eastAsia="仿宋_GB2312"/>
                            <w:sz w:val="24"/>
                            <w:color w:val="000000"/>
                          </w:rPr>
                          <w:t>1、无需再终端中安装任何软件或系驱动，即可通过指定位置扫描，快速扫描，全盘扫描对终端设备进行安全检测，可以针对进程扫描、关键未知扫描、开机启动项扫描、系统服务扫描；即插即用无需在目标主机系统上安装任何软件，即可进行恶意软件检测和删除。</w:t>
                        </w:r>
                      </w:p>
                      <w:p>
                        <w:pPr>
                          <w:pStyle w:val="null3"/>
                          <w:spacing w:after="120"/>
                          <w:jc w:val="both"/>
                        </w:pPr>
                        <w:r>
                          <w:rPr>
                            <w:rFonts w:ascii="仿宋_GB2312" w:hAnsi="仿宋_GB2312" w:cs="仿宋_GB2312" w:eastAsia="仿宋_GB2312"/>
                            <w:sz w:val="24"/>
                            <w:color w:val="000000"/>
                          </w:rPr>
                          <w:t>2、支持检测感染式病毒、蠕虫、木马、黑客工具、风险软件、灰色软件、垃圾文件、测试文件等6万余家族、1500万余变种的恶意代码。</w:t>
                        </w:r>
                      </w:p>
                      <w:p>
                        <w:pPr>
                          <w:pStyle w:val="null3"/>
                          <w:spacing w:after="120"/>
                          <w:jc w:val="both"/>
                        </w:pPr>
                        <w:r>
                          <w:rPr>
                            <w:rFonts w:ascii="仿宋_GB2312" w:hAnsi="仿宋_GB2312" w:cs="仿宋_GB2312" w:eastAsia="仿宋_GB2312"/>
                            <w:sz w:val="24"/>
                            <w:color w:val="000000"/>
                          </w:rPr>
                          <w:t>3、检测文件格式：支持执行文件、文档、媒体文件、图片文件、软件关联格式、脚本、文本格式。</w:t>
                        </w:r>
                      </w:p>
                      <w:p>
                        <w:pPr>
                          <w:pStyle w:val="null3"/>
                          <w:spacing w:after="120"/>
                          <w:jc w:val="both"/>
                        </w:pPr>
                        <w:r>
                          <w:rPr>
                            <w:rFonts w:ascii="仿宋_GB2312" w:hAnsi="仿宋_GB2312" w:cs="仿宋_GB2312" w:eastAsia="仿宋_GB2312"/>
                            <w:sz w:val="24"/>
                            <w:color w:val="000000"/>
                          </w:rPr>
                          <w:t>4、复合文件检测：office：rtf，doc，ppt，xls，docx，pptx，xlsx。adobe：pdf，swf。mail：eml，msg，tnef。</w:t>
                        </w:r>
                      </w:p>
                      <w:p>
                        <w:pPr>
                          <w:pStyle w:val="null3"/>
                          <w:spacing w:after="120"/>
                          <w:jc w:val="both"/>
                        </w:pPr>
                        <w:r>
                          <w:rPr>
                            <w:rFonts w:ascii="仿宋_GB2312" w:hAnsi="仿宋_GB2312" w:cs="仿宋_GB2312" w:eastAsia="仿宋_GB2312"/>
                            <w:sz w:val="24"/>
                            <w:color w:val="000000"/>
                          </w:rPr>
                          <w:t>5、压缩包检测：支持分析检测种类为58种以上，含压缩包，自解压包，安装包及其他包裹类。</w:t>
                        </w:r>
                      </w:p>
                      <w:p>
                        <w:pPr>
                          <w:pStyle w:val="null3"/>
                          <w:spacing w:after="120"/>
                          <w:jc w:val="both"/>
                        </w:pPr>
                        <w:r>
                          <w:rPr>
                            <w:rFonts w:ascii="仿宋_GB2312" w:hAnsi="仿宋_GB2312" w:cs="仿宋_GB2312" w:eastAsia="仿宋_GB2312"/>
                            <w:sz w:val="24"/>
                            <w:color w:val="000000"/>
                          </w:rPr>
                          <w:t>6、恶意文件样本量：支持检测6万余家族、1500万余变种的恶意代码。</w:t>
                        </w:r>
                      </w:p>
                    </w:tc>
                    <w:tc>
                      <w:tcPr>
                        <w:tcW w:type="dxa" w:w="728"/>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省电子凭证会计数据标准化平台建设项目涉及到的所有系统，包括新建系统电子凭证汇聚子系统；公务报账子系统、非税收入征缴信息管理子系统、会计档案管理子系统、财政电子票据管理子系统等四个原有子系统本次升级改造部分。</w:t>
                        </w:r>
                      </w:p>
                    </w:tc>
                    <w:tc>
                      <w:tcPr>
                        <w:tcW w:type="dxa" w:w="364"/>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远程服务</w:t>
                        </w:r>
                      </w:p>
                      <w:p>
                        <w:pPr>
                          <w:pStyle w:val="null3"/>
                          <w:jc w:val="both"/>
                        </w:pPr>
                        <w:r>
                          <w:rPr>
                            <w:rFonts w:ascii="仿宋_GB2312" w:hAnsi="仿宋_GB2312" w:cs="仿宋_GB2312" w:eastAsia="仿宋_GB2312"/>
                            <w:sz w:val="21"/>
                            <w:color w:val="000000"/>
                          </w:rPr>
                          <w:t>现场服务</w:t>
                        </w:r>
                      </w:p>
                    </w:tc>
                  </w:tr>
                </w:tbl>
                <w:p>
                  <w:pPr>
                    <w:pStyle w:val="null3"/>
                    <w:ind w:left="480"/>
                    <w:jc w:val="both"/>
                  </w:pPr>
                  <w:r>
                    <w:rPr>
                      <w:rFonts w:ascii="仿宋_GB2312" w:hAnsi="仿宋_GB2312" w:cs="仿宋_GB2312" w:eastAsia="仿宋_GB2312"/>
                      <w:sz w:val="28"/>
                      <w:b/>
                      <w:color w:val="000000"/>
                    </w:rPr>
                    <w:t>4.2.5服务次数</w:t>
                  </w:r>
                </w:p>
                <w:p>
                  <w:pPr>
                    <w:pStyle w:val="null3"/>
                    <w:ind w:firstLine="480"/>
                    <w:jc w:val="left"/>
                  </w:pPr>
                  <w:r>
                    <w:rPr>
                      <w:rFonts w:ascii="仿宋_GB2312" w:hAnsi="仿宋_GB2312" w:cs="仿宋_GB2312" w:eastAsia="仿宋_GB2312"/>
                      <w:sz w:val="24"/>
                    </w:rPr>
                    <w:t>渗透测试服务：</w:t>
                  </w:r>
                  <w:r>
                    <w:rPr>
                      <w:rFonts w:ascii="仿宋_GB2312" w:hAnsi="仿宋_GB2312" w:cs="仿宋_GB2312" w:eastAsia="仿宋_GB2312"/>
                      <w:sz w:val="24"/>
                    </w:rPr>
                    <w:t>1次/年。</w:t>
                  </w:r>
                </w:p>
                <w:p>
                  <w:pPr>
                    <w:pStyle w:val="null3"/>
                    <w:ind w:left="480"/>
                    <w:jc w:val="both"/>
                  </w:pPr>
                  <w:r>
                    <w:rPr>
                      <w:rFonts w:ascii="仿宋_GB2312" w:hAnsi="仿宋_GB2312" w:cs="仿宋_GB2312" w:eastAsia="仿宋_GB2312"/>
                      <w:sz w:val="28"/>
                      <w:b/>
                      <w:color w:val="000000"/>
                    </w:rPr>
                    <w:t>4.2.6服务成果</w:t>
                  </w:r>
                </w:p>
                <w:p>
                  <w:pPr>
                    <w:pStyle w:val="null3"/>
                    <w:ind w:firstLine="480"/>
                    <w:jc w:val="left"/>
                  </w:pPr>
                  <w:r>
                    <w:rPr>
                      <w:rFonts w:ascii="仿宋_GB2312" w:hAnsi="仿宋_GB2312" w:cs="仿宋_GB2312" w:eastAsia="仿宋_GB2312"/>
                      <w:sz w:val="24"/>
                    </w:rPr>
                    <w:t>通过渗透测试服务，模拟入侵者对指定系统进行攻击测试，可以对用户信息平台的安全性得到较深刻的认知，验证经过安全保护后的系统是否真实的达到了预定安全目标。完成渗透测试服务工作后，汇总出具《渗透测试报告》，并提出具有针对性的安全加固建议。</w:t>
                  </w:r>
                </w:p>
                <w:p>
                  <w:pPr>
                    <w:pStyle w:val="null3"/>
                    <w:ind w:left="480"/>
                    <w:jc w:val="both"/>
                  </w:pPr>
                  <w:r>
                    <w:rPr>
                      <w:rFonts w:ascii="仿宋_GB2312" w:hAnsi="仿宋_GB2312" w:cs="仿宋_GB2312" w:eastAsia="仿宋_GB2312"/>
                      <w:sz w:val="28"/>
                      <w:b/>
                      <w:color w:val="000000"/>
                    </w:rPr>
                    <w:t>4.3代码审计服务</w:t>
                  </w:r>
                </w:p>
                <w:p>
                  <w:pPr>
                    <w:pStyle w:val="null3"/>
                    <w:ind w:left="480"/>
                    <w:jc w:val="both"/>
                  </w:pPr>
                  <w:r>
                    <w:rPr>
                      <w:rFonts w:ascii="仿宋_GB2312" w:hAnsi="仿宋_GB2312" w:cs="仿宋_GB2312" w:eastAsia="仿宋_GB2312"/>
                      <w:sz w:val="28"/>
                      <w:b/>
                      <w:color w:val="000000"/>
                    </w:rPr>
                    <w:t>4.3.1服务概述</w:t>
                  </w:r>
                </w:p>
                <w:p>
                  <w:pPr>
                    <w:pStyle w:val="null3"/>
                    <w:ind w:firstLine="480"/>
                    <w:jc w:val="left"/>
                  </w:pPr>
                  <w:r>
                    <w:rPr>
                      <w:rFonts w:ascii="仿宋_GB2312" w:hAnsi="仿宋_GB2312" w:cs="仿宋_GB2312" w:eastAsia="仿宋_GB2312"/>
                      <w:sz w:val="24"/>
                    </w:rPr>
                    <w:t>网络技术日新月异，以应用系统为核心的信息化进程在不断推进，网络攻击矛头逐步转向各类应用系统。通常情况下，应用系统的安全防护往往依赖于上线前的安全测试和与之关联的外围安全产品所能提供的外在防护，往往忽略了源代码的自身安全，这是导致基于应用系统的安全事件不断涌现的主要原因。据统计，</w:t>
                  </w:r>
                  <w:r>
                    <w:rPr>
                      <w:rFonts w:ascii="仿宋_GB2312" w:hAnsi="仿宋_GB2312" w:cs="仿宋_GB2312" w:eastAsia="仿宋_GB2312"/>
                      <w:sz w:val="24"/>
                    </w:rPr>
                    <w:t>92%的漏洞源自于应用系统，黑客乐此不疲地在不断挖掘和利用着这些漏洞，以期达到各类不可告人的非法目的，许多单位因此蒙受了重大损失，这些漏洞往往是由不安全的编码、不良架构和错误的配置产生的。</w:t>
                  </w:r>
                </w:p>
                <w:p>
                  <w:pPr>
                    <w:pStyle w:val="null3"/>
                    <w:ind w:firstLine="480"/>
                    <w:jc w:val="left"/>
                  </w:pPr>
                  <w:r>
                    <w:rPr>
                      <w:rFonts w:ascii="仿宋_GB2312" w:hAnsi="仿宋_GB2312" w:cs="仿宋_GB2312" w:eastAsia="仿宋_GB2312"/>
                      <w:sz w:val="24"/>
                    </w:rPr>
                    <w:t>代码审计服务的目的在于充分挖掘应用系统代码中存在的安全缺陷及规范性缺陷，从而让开发人员了解其开发的应用系统可能会面临的威胁，并指导开发人员正确修复代码缺陷。将以网络安全等级保护标准规范为基线，由具备丰富编码经验并对安全编码原则及应用安全具有深刻理解的安全服务人员，结合国际化网络安全测试标准，在用户授权许可和安全可控的范围内采用静态分析、动态检测的分析方法，对应用系统源代码和软件架构的安全性、可靠性进行全面的安全检测，发现各类应用系统中存在的安全缺陷和规范性缺陷，从而保障应用系统安全、可靠。</w:t>
                  </w:r>
                </w:p>
                <w:p>
                  <w:pPr>
                    <w:pStyle w:val="null3"/>
                    <w:ind w:left="480"/>
                    <w:jc w:val="both"/>
                  </w:pPr>
                  <w:r>
                    <w:rPr>
                      <w:rFonts w:ascii="仿宋_GB2312" w:hAnsi="仿宋_GB2312" w:cs="仿宋_GB2312" w:eastAsia="仿宋_GB2312"/>
                      <w:sz w:val="28"/>
                      <w:b/>
                      <w:color w:val="000000"/>
                    </w:rPr>
                    <w:t>4.3.2服务流程</w:t>
                  </w:r>
                  <w:r>
                    <w:drawing>
                      <wp:inline distT="0" distR="0" distB="0" distL="0">
                        <wp:extent cx="1483995" cy="893119"/>
                        <wp:docPr id="4" name="Drawing 4" descr="img"/>
                        <a:graphic xmlns:a="http://schemas.openxmlformats.org/drawingml/2006/main">
                          <a:graphicData uri="http://schemas.openxmlformats.org/drawingml/2006/picture">
                            <pic:pic xmlns:pic="http://schemas.openxmlformats.org/drawingml/2006/picture">
                              <pic:nvPicPr>
                                <pic:cNvPr id="0" name="Picture 4" descr="img"/>
                                <pic:cNvPicPr>
                                  <a:picLocks noChangeAspect="true"/>
                                </pic:cNvPicPr>
                              </pic:nvPicPr>
                              <pic:blipFill>
                                <a:blip r:embed="rId8"/>
                                <a:stretch>
                                  <a:fillRect/>
                                </a:stretch>
                              </pic:blipFill>
                              <pic:spPr>
                                <a:xfrm>
                                  <a:off x="0" y="0"/>
                                  <a:ext cx="1483995" cy="893119"/>
                                </a:xfrm>
                                <a:prstGeom prst="rect">
                                  <a:avLst/>
                                </a:prstGeom>
                              </pic:spPr>
                            </pic:pic>
                          </a:graphicData>
                        </a:graphic>
                      </wp:inline>
                    </w:drawing>
                  </w:r>
                </w:p>
                <w:p>
                  <w:pPr>
                    <w:pStyle w:val="null3"/>
                    <w:jc w:val="center"/>
                  </w:pPr>
                  <w:r>
                    <w:rPr>
                      <w:rFonts w:ascii="仿宋_GB2312" w:hAnsi="仿宋_GB2312" w:cs="仿宋_GB2312" w:eastAsia="仿宋_GB2312"/>
                      <w:sz w:val="21"/>
                      <w:color w:val="000000"/>
                    </w:rPr>
                    <w:t>图</w:t>
                  </w:r>
                  <w:r>
                    <w:rPr>
                      <w:rFonts w:ascii="仿宋_GB2312" w:hAnsi="仿宋_GB2312" w:cs="仿宋_GB2312" w:eastAsia="仿宋_GB2312"/>
                      <w:sz w:val="21"/>
                      <w:color w:val="000000"/>
                    </w:rPr>
                    <w:t>5?15代码审计服务流程</w:t>
                  </w:r>
                </w:p>
                <w:p>
                  <w:pPr>
                    <w:pStyle w:val="null3"/>
                    <w:ind w:left="480"/>
                    <w:jc w:val="both"/>
                  </w:pPr>
                  <w:r>
                    <w:rPr>
                      <w:rFonts w:ascii="仿宋_GB2312" w:hAnsi="仿宋_GB2312" w:cs="仿宋_GB2312" w:eastAsia="仿宋_GB2312"/>
                      <w:sz w:val="28"/>
                      <w:b/>
                      <w:color w:val="000000"/>
                    </w:rPr>
                    <w:t>4.3.3服务内容</w:t>
                  </w:r>
                </w:p>
                <w:p>
                  <w:pPr>
                    <w:pStyle w:val="null3"/>
                    <w:ind w:firstLine="480"/>
                    <w:jc w:val="left"/>
                  </w:pPr>
                  <w:r>
                    <w:rPr>
                      <w:rFonts w:ascii="仿宋_GB2312" w:hAnsi="仿宋_GB2312" w:cs="仿宋_GB2312" w:eastAsia="仿宋_GB2312"/>
                      <w:sz w:val="24"/>
                    </w:rPr>
                    <w:t>静态代码审计适用于以</w:t>
                  </w:r>
                  <w:r>
                    <w:rPr>
                      <w:rFonts w:ascii="仿宋_GB2312" w:hAnsi="仿宋_GB2312" w:cs="仿宋_GB2312" w:eastAsia="仿宋_GB2312"/>
                      <w:sz w:val="24"/>
                    </w:rPr>
                    <w:t>C、C++、C#、Java等语言开发的应用程序，以及以Ruby、PHP、ASP、JSP、JavaScript和Perl等在内的各种Web技术编写的应用程序，可以是应用程序的全部代码，也可以是一部分完整的代码，只需搭建与用户单位无关的独立的代码分析环境，无需搭建代码运行环境。动态代码审计适用于以Java语言开发的应用程序，需搭建与生产环境类似的功能齐全的应用运行环境（缺失的功能将无法被审计）。源码安全分析人员会使用审计工具和手工分析对程序中的数据流、控制流、语义、结构、配置文件五个层面的脆弱性和安全缺陷进行分析，然后对重点代码进行人工审计。</w:t>
                  </w:r>
                </w:p>
                <w:p>
                  <w:pPr>
                    <w:pStyle w:val="null3"/>
                    <w:ind w:firstLine="480"/>
                    <w:jc w:val="left"/>
                  </w:pPr>
                  <w:r>
                    <w:rPr>
                      <w:rFonts w:ascii="仿宋_GB2312" w:hAnsi="仿宋_GB2312" w:cs="仿宋_GB2312" w:eastAsia="仿宋_GB2312"/>
                      <w:sz w:val="24"/>
                    </w:rPr>
                    <w:t>本项目采用静态代码审计的方式。</w:t>
                  </w:r>
                </w:p>
                <w:p>
                  <w:pPr>
                    <w:pStyle w:val="null3"/>
                    <w:ind w:firstLine="480"/>
                    <w:jc w:val="left"/>
                  </w:pPr>
                  <w:r>
                    <w:rPr>
                      <w:rFonts w:ascii="仿宋_GB2312" w:hAnsi="仿宋_GB2312" w:cs="仿宋_GB2312" w:eastAsia="仿宋_GB2312"/>
                      <w:sz w:val="24"/>
                    </w:rPr>
                    <w:t>审计环境部署：静态代码审计只需部署分析环境，无需部署代码运行环境，同时需要提供源代码，可进行现场审计，亦可实施异地审计。动态代码审计需提供与生产环境类似的功能齐全的应用运行环境（缺失的功能将无法被审计），以现场审计为主，远程协助为辅；</w:t>
                  </w:r>
                </w:p>
                <w:p>
                  <w:pPr>
                    <w:pStyle w:val="null3"/>
                    <w:ind w:firstLine="480"/>
                    <w:jc w:val="left"/>
                  </w:pPr>
                  <w:r>
                    <w:rPr>
                      <w:rFonts w:ascii="仿宋_GB2312" w:hAnsi="仿宋_GB2312" w:cs="仿宋_GB2312" w:eastAsia="仿宋_GB2312"/>
                      <w:sz w:val="24"/>
                    </w:rPr>
                    <w:t>静态代码审计：采用自动静态分析技术扫描某个应用程序的源代码，通过甄别和定位可能存在的薄弱环节数量，以验证该应用程序存在的风险；</w:t>
                  </w:r>
                </w:p>
                <w:p>
                  <w:pPr>
                    <w:pStyle w:val="null3"/>
                    <w:ind w:firstLine="480"/>
                    <w:jc w:val="left"/>
                  </w:pPr>
                  <w:r>
                    <w:rPr>
                      <w:rFonts w:ascii="仿宋_GB2312" w:hAnsi="仿宋_GB2312" w:cs="仿宋_GB2312" w:eastAsia="仿宋_GB2312"/>
                      <w:sz w:val="24"/>
                    </w:rPr>
                    <w:t>人工验证：针对审计结果，进行人工验证，剔除误报，客观和全面地发现软件系统自身的安全隐患。</w:t>
                  </w:r>
                </w:p>
                <w:p>
                  <w:pPr>
                    <w:pStyle w:val="null3"/>
                    <w:jc w:val="center"/>
                  </w:pPr>
                  <w:r>
                    <w:rPr>
                      <w:rFonts w:ascii="仿宋_GB2312" w:hAnsi="仿宋_GB2312" w:cs="仿宋_GB2312" w:eastAsia="仿宋_GB2312"/>
                      <w:sz w:val="21"/>
                      <w:color w:val="000000"/>
                    </w:rPr>
                    <w:t>表</w:t>
                  </w:r>
                  <w:r>
                    <w:rPr>
                      <w:rFonts w:ascii="仿宋_GB2312" w:hAnsi="仿宋_GB2312" w:cs="仿宋_GB2312" w:eastAsia="仿宋_GB2312"/>
                      <w:sz w:val="21"/>
                      <w:color w:val="000000"/>
                    </w:rPr>
                    <w:t>427代码审计服务内容</w:t>
                  </w:r>
                </w:p>
                <w:tbl>
                  <w:tblPr>
                    <w:tblBorders>
                      <w:top w:val="none" w:color="000000" w:sz="4"/>
                      <w:left w:val="none" w:color="000000" w:sz="4"/>
                      <w:bottom w:val="none" w:color="000000" w:sz="4"/>
                      <w:right w:val="none" w:color="000000" w:sz="4"/>
                      <w:insideH w:val="none"/>
                      <w:insideV w:val="none"/>
                    </w:tblBorders>
                  </w:tblPr>
                  <w:tblGrid>
                    <w:gridCol w:w="139"/>
                    <w:gridCol w:w="236"/>
                    <w:gridCol w:w="1029"/>
                    <w:gridCol w:w="362"/>
                    <w:gridCol w:w="320"/>
                    <w:gridCol w:w="250"/>
                  </w:tblGrid>
                  <w:tr>
                    <w:tc>
                      <w:tcPr>
                        <w:tcW w:type="dxa" w:w="139"/>
                        <w:tcBorders>
                          <w:top w:val="single" w:color="000000" w:sz="4"/>
                          <w:left w:val="single" w:color="000000" w:sz="4"/>
                          <w:bottom w:val="single" w:color="000000" w:sz="4"/>
                          <w:right w:val="single" w:color="000000" w:sz="4"/>
                        </w:tcBorders>
                        <w:shd w:fill="D9D9D9"/>
                        <w:tcMar>
                          <w:top w:type="dxa" w:w="0"/>
                          <w:left w:type="dxa" w:w="105"/>
                          <w:bottom w:type="dxa" w:w="0"/>
                          <w:right w:type="dxa" w:w="105"/>
                        </w:tcMar>
                        <w:vAlign w:val="top"/>
                      </w:tcPr>
                      <w:p>
                        <w:pPr>
                          <w:pStyle w:val="null3"/>
                          <w:jc w:val="both"/>
                        </w:pPr>
                        <w:r>
                          <w:rPr>
                            <w:rFonts w:ascii="仿宋_GB2312" w:hAnsi="仿宋_GB2312" w:cs="仿宋_GB2312" w:eastAsia="仿宋_GB2312"/>
                            <w:sz w:val="21"/>
                            <w:b/>
                            <w:color w:val="000000"/>
                          </w:rPr>
                          <w:t>序号</w:t>
                        </w:r>
                      </w:p>
                    </w:tc>
                    <w:tc>
                      <w:tcPr>
                        <w:tcW w:type="dxa" w:w="236"/>
                        <w:tcBorders>
                          <w:top w:val="single" w:color="000000" w:sz="4"/>
                          <w:left w:val="none" w:color="000000" w:sz="4"/>
                          <w:bottom w:val="single" w:color="000000" w:sz="4"/>
                          <w:right w:val="single" w:color="000000" w:sz="4"/>
                        </w:tcBorders>
                        <w:shd w:fill="D9D9D9"/>
                        <w:tcMar>
                          <w:top w:type="dxa" w:w="0"/>
                          <w:left w:type="dxa" w:w="105"/>
                          <w:bottom w:type="dxa" w:w="0"/>
                          <w:right w:type="dxa" w:w="105"/>
                        </w:tcMar>
                        <w:vAlign w:val="top"/>
                      </w:tcPr>
                      <w:p>
                        <w:pPr>
                          <w:pStyle w:val="null3"/>
                          <w:jc w:val="both"/>
                        </w:pPr>
                        <w:r>
                          <w:rPr>
                            <w:rFonts w:ascii="仿宋_GB2312" w:hAnsi="仿宋_GB2312" w:cs="仿宋_GB2312" w:eastAsia="仿宋_GB2312"/>
                            <w:sz w:val="21"/>
                            <w:b/>
                            <w:color w:val="000000"/>
                          </w:rPr>
                          <w:t>服务内容</w:t>
                        </w:r>
                      </w:p>
                    </w:tc>
                    <w:tc>
                      <w:tcPr>
                        <w:tcW w:type="dxa" w:w="1029"/>
                        <w:tcBorders>
                          <w:top w:val="single" w:color="000000" w:sz="4"/>
                          <w:left w:val="none" w:color="000000" w:sz="4"/>
                          <w:bottom w:val="single" w:color="000000" w:sz="4"/>
                          <w:right w:val="single" w:color="000000" w:sz="4"/>
                        </w:tcBorders>
                        <w:shd w:fill="D9D9D9"/>
                        <w:tcMar>
                          <w:top w:type="dxa" w:w="0"/>
                          <w:left w:type="dxa" w:w="105"/>
                          <w:bottom w:type="dxa" w:w="0"/>
                          <w:right w:type="dxa" w:w="105"/>
                        </w:tcMar>
                        <w:vAlign w:val="top"/>
                      </w:tcPr>
                      <w:p>
                        <w:pPr>
                          <w:pStyle w:val="null3"/>
                          <w:jc w:val="both"/>
                        </w:pPr>
                        <w:r>
                          <w:rPr>
                            <w:rFonts w:ascii="仿宋_GB2312" w:hAnsi="仿宋_GB2312" w:cs="仿宋_GB2312" w:eastAsia="仿宋_GB2312"/>
                            <w:sz w:val="21"/>
                            <w:b/>
                            <w:color w:val="000000"/>
                          </w:rPr>
                          <w:t>服务说明</w:t>
                        </w:r>
                      </w:p>
                    </w:tc>
                    <w:tc>
                      <w:tcPr>
                        <w:tcW w:type="dxa" w:w="362"/>
                        <w:tcBorders>
                          <w:top w:val="single" w:color="000000" w:sz="4"/>
                          <w:left w:val="none" w:color="000000" w:sz="4"/>
                          <w:bottom w:val="single" w:color="000000" w:sz="4"/>
                          <w:right w:val="single" w:color="000000" w:sz="4"/>
                        </w:tcBorders>
                        <w:shd w:fill="D9D9D9"/>
                        <w:tcMar>
                          <w:top w:type="dxa" w:w="0"/>
                          <w:left w:type="dxa" w:w="105"/>
                          <w:bottom w:type="dxa" w:w="0"/>
                          <w:right w:type="dxa" w:w="105"/>
                        </w:tcMar>
                        <w:vAlign w:val="top"/>
                      </w:tcPr>
                      <w:p>
                        <w:pPr>
                          <w:pStyle w:val="null3"/>
                          <w:jc w:val="both"/>
                        </w:pPr>
                        <w:r>
                          <w:rPr>
                            <w:rFonts w:ascii="仿宋_GB2312" w:hAnsi="仿宋_GB2312" w:cs="仿宋_GB2312" w:eastAsia="仿宋_GB2312"/>
                            <w:sz w:val="21"/>
                            <w:b/>
                            <w:color w:val="000000"/>
                          </w:rPr>
                          <w:t>服务对象</w:t>
                        </w:r>
                      </w:p>
                    </w:tc>
                    <w:tc>
                      <w:tcPr>
                        <w:tcW w:type="dxa" w:w="320"/>
                        <w:tcBorders>
                          <w:top w:val="single" w:color="000000" w:sz="4"/>
                          <w:left w:val="none" w:color="000000" w:sz="4"/>
                          <w:bottom w:val="single" w:color="000000" w:sz="4"/>
                          <w:right w:val="single" w:color="000000" w:sz="4"/>
                        </w:tcBorders>
                        <w:shd w:fill="D9D9D9"/>
                        <w:tcMar>
                          <w:top w:type="dxa" w:w="0"/>
                          <w:left w:type="dxa" w:w="105"/>
                          <w:bottom w:type="dxa" w:w="0"/>
                          <w:right w:type="dxa" w:w="105"/>
                        </w:tcMar>
                        <w:vAlign w:val="top"/>
                      </w:tcPr>
                      <w:p>
                        <w:pPr>
                          <w:pStyle w:val="null3"/>
                          <w:jc w:val="both"/>
                        </w:pPr>
                        <w:r>
                          <w:rPr>
                            <w:rFonts w:ascii="仿宋_GB2312" w:hAnsi="仿宋_GB2312" w:cs="仿宋_GB2312" w:eastAsia="仿宋_GB2312"/>
                            <w:sz w:val="21"/>
                            <w:b/>
                            <w:color w:val="000000"/>
                          </w:rPr>
                          <w:t>主要成果文档</w:t>
                        </w:r>
                      </w:p>
                    </w:tc>
                    <w:tc>
                      <w:tcPr>
                        <w:tcW w:type="dxa" w:w="250"/>
                        <w:tcBorders>
                          <w:top w:val="single" w:color="000000" w:sz="4"/>
                          <w:left w:val="none" w:color="000000" w:sz="4"/>
                          <w:bottom w:val="single" w:color="000000" w:sz="4"/>
                          <w:right w:val="single" w:color="000000" w:sz="4"/>
                        </w:tcBorders>
                        <w:shd w:fill="D9D9D9"/>
                        <w:tcMar>
                          <w:top w:type="dxa" w:w="0"/>
                          <w:left w:type="dxa" w:w="105"/>
                          <w:bottom w:type="dxa" w:w="0"/>
                          <w:right w:type="dxa" w:w="105"/>
                        </w:tcMar>
                        <w:vAlign w:val="top"/>
                      </w:tcPr>
                      <w:p>
                        <w:pPr>
                          <w:pStyle w:val="null3"/>
                          <w:jc w:val="both"/>
                        </w:pPr>
                        <w:r>
                          <w:rPr>
                            <w:rFonts w:ascii="仿宋_GB2312" w:hAnsi="仿宋_GB2312" w:cs="仿宋_GB2312" w:eastAsia="仿宋_GB2312"/>
                            <w:sz w:val="21"/>
                            <w:b/>
                            <w:color w:val="000000"/>
                          </w:rPr>
                          <w:t>服务类型</w:t>
                        </w:r>
                      </w:p>
                    </w:tc>
                  </w:tr>
                  <w:tr>
                    <w:tc>
                      <w:tcPr>
                        <w:tcW w:type="dxa" w:w="139"/>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1</w:t>
                        </w:r>
                      </w:p>
                    </w:tc>
                    <w:tc>
                      <w:tcPr>
                        <w:tcW w:type="dxa" w:w="236"/>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代码审计服务</w:t>
                        </w:r>
                      </w:p>
                    </w:tc>
                    <w:tc>
                      <w:tcPr>
                        <w:tcW w:type="dxa" w:w="1029"/>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numPr>
                            <w:ilvl w:val="0"/>
                            <w:numId w:val="1"/>
                          </w:numPr>
                          <w:jc w:val="both"/>
                        </w:pPr>
                        <w:r>
                          <w:rPr>
                            <w:rFonts w:ascii="仿宋_GB2312" w:hAnsi="仿宋_GB2312" w:cs="仿宋_GB2312" w:eastAsia="仿宋_GB2312"/>
                            <w:sz w:val="21"/>
                            <w:color w:val="000000"/>
                          </w:rPr>
                          <w:t>采用自动静态分析技术扫描某个应用程序的源代码，通过甄别和定位可能存在的薄弱环节数量，以验证该应用程序存在的风险；</w:t>
                        </w:r>
                      </w:p>
                      <w:p>
                        <w:pPr>
                          <w:pStyle w:val="null3"/>
                          <w:numPr>
                            <w:ilvl w:val="0"/>
                            <w:numId w:val="1"/>
                          </w:numPr>
                          <w:jc w:val="both"/>
                        </w:pPr>
                        <w:r>
                          <w:rPr>
                            <w:rFonts w:ascii="仿宋_GB2312" w:hAnsi="仿宋_GB2312" w:cs="仿宋_GB2312" w:eastAsia="仿宋_GB2312"/>
                            <w:sz w:val="21"/>
                            <w:color w:val="000000"/>
                          </w:rPr>
                          <w:t>对于无法提供源代码的系统，通过在应用程序的字节码中动态插桩检测</w:t>
                        </w:r>
                        <w:r>
                          <w:rPr>
                            <w:rFonts w:ascii="仿宋_GB2312" w:hAnsi="仿宋_GB2312" w:cs="仿宋_GB2312" w:eastAsia="仿宋_GB2312"/>
                            <w:sz w:val="21"/>
                            <w:color w:val="000000"/>
                          </w:rPr>
                          <w:t>“探针”，获取应用程序各种运行时的上下文信息，在应用程序运行的同时，实时分析程序的安全弱点；</w:t>
                        </w:r>
                      </w:p>
                      <w:p>
                        <w:pPr>
                          <w:pStyle w:val="null3"/>
                          <w:numPr>
                            <w:ilvl w:val="0"/>
                            <w:numId w:val="1"/>
                          </w:numPr>
                          <w:jc w:val="both"/>
                        </w:pPr>
                        <w:r>
                          <w:rPr>
                            <w:rFonts w:ascii="仿宋_GB2312" w:hAnsi="仿宋_GB2312" w:cs="仿宋_GB2312" w:eastAsia="仿宋_GB2312"/>
                            <w:sz w:val="21"/>
                            <w:color w:val="000000"/>
                          </w:rPr>
                          <w:t>协针对审计结果，进行人工验证，剔除误报，客观和全面地发现软件系统自身的安全隐患，出具代码审计报告；</w:t>
                        </w:r>
                      </w:p>
                      <w:p>
                        <w:pPr>
                          <w:pStyle w:val="null3"/>
                          <w:numPr>
                            <w:ilvl w:val="0"/>
                            <w:numId w:val="1"/>
                          </w:numPr>
                          <w:jc w:val="both"/>
                        </w:pPr>
                        <w:r>
                          <w:rPr>
                            <w:rFonts w:ascii="仿宋_GB2312" w:hAnsi="仿宋_GB2312" w:cs="仿宋_GB2312" w:eastAsia="仿宋_GB2312"/>
                            <w:sz w:val="21"/>
                            <w:color w:val="000000"/>
                          </w:rPr>
                          <w:t>在代码风险整改后提供一次审计复核服务。</w:t>
                        </w:r>
                      </w:p>
                    </w:tc>
                    <w:tc>
                      <w:tcPr>
                        <w:tcW w:type="dxa" w:w="362"/>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省电子凭证会计数据标准化平台建设项目涉及到的所有系统，包括新建系统电子凭证汇聚子系统；公务报账子系统、非税收入征缴信息管理子系统、会计档案管理子系统、财政电子票据管理子系统等四个原有子系统本次升级改造部分。</w:t>
                        </w:r>
                      </w:p>
                    </w:tc>
                    <w:tc>
                      <w:tcPr>
                        <w:tcW w:type="dxa" w:w="32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《应用系统代码审计报告》</w:t>
                        </w:r>
                      </w:p>
                    </w:tc>
                    <w:tc>
                      <w:tcPr>
                        <w:tcW w:type="dxa" w:w="250"/>
                        <w:tcBorders>
                          <w:top w:val="none" w:color="000000" w:sz="4"/>
                          <w:left w:val="none" w:color="000000" w:sz="4"/>
                          <w:bottom w:val="single" w:color="000000" w:sz="4"/>
                          <w:right w:val="single" w:color="000000" w:sz="4"/>
                        </w:tcBorders>
                        <w:shd w:fill="FFFFFF"/>
                        <w:tcMar>
                          <w:top w:type="dxa" w:w="0"/>
                          <w:left w:type="dxa" w:w="105"/>
                          <w:bottom w:type="dxa" w:w="0"/>
                          <w:right w:type="dxa" w:w="105"/>
                        </w:tcMar>
                        <w:vAlign w:val="top"/>
                      </w:tcPr>
                      <w:p>
                        <w:pPr>
                          <w:pStyle w:val="null3"/>
                          <w:jc w:val="both"/>
                        </w:pPr>
                        <w:r>
                          <w:rPr>
                            <w:rFonts w:ascii="仿宋_GB2312" w:hAnsi="仿宋_GB2312" w:cs="仿宋_GB2312" w:eastAsia="仿宋_GB2312"/>
                            <w:sz w:val="21"/>
                            <w:color w:val="000000"/>
                          </w:rPr>
                          <w:t>现场服务</w:t>
                        </w:r>
                      </w:p>
                    </w:tc>
                  </w:tr>
                </w:tbl>
                <w:p>
                  <w:pPr>
                    <w:pStyle w:val="null3"/>
                    <w:ind w:left="480"/>
                    <w:jc w:val="both"/>
                  </w:pPr>
                  <w:r>
                    <w:rPr>
                      <w:rFonts w:ascii="仿宋_GB2312" w:hAnsi="仿宋_GB2312" w:cs="仿宋_GB2312" w:eastAsia="仿宋_GB2312"/>
                      <w:sz w:val="28"/>
                      <w:b/>
                      <w:color w:val="000000"/>
                    </w:rPr>
                    <w:t>4.3.4服务次数</w:t>
                  </w:r>
                </w:p>
                <w:p>
                  <w:pPr>
                    <w:pStyle w:val="null3"/>
                    <w:ind w:firstLine="480"/>
                    <w:jc w:val="left"/>
                  </w:pPr>
                  <w:r>
                    <w:rPr>
                      <w:rFonts w:ascii="仿宋_GB2312" w:hAnsi="仿宋_GB2312" w:cs="仿宋_GB2312" w:eastAsia="仿宋_GB2312"/>
                      <w:sz w:val="24"/>
                    </w:rPr>
                    <w:t>代码审计服务：</w:t>
                  </w:r>
                  <w:r>
                    <w:rPr>
                      <w:rFonts w:ascii="仿宋_GB2312" w:hAnsi="仿宋_GB2312" w:cs="仿宋_GB2312" w:eastAsia="仿宋_GB2312"/>
                      <w:sz w:val="24"/>
                    </w:rPr>
                    <w:t>1次/年。</w:t>
                  </w:r>
                </w:p>
                <w:p>
                  <w:pPr>
                    <w:pStyle w:val="null3"/>
                    <w:ind w:left="480"/>
                    <w:jc w:val="both"/>
                  </w:pPr>
                  <w:r>
                    <w:rPr>
                      <w:rFonts w:ascii="仿宋_GB2312" w:hAnsi="仿宋_GB2312" w:cs="仿宋_GB2312" w:eastAsia="仿宋_GB2312"/>
                      <w:sz w:val="28"/>
                      <w:b/>
                      <w:color w:val="000000"/>
                    </w:rPr>
                    <w:t>4.3.5服务成果</w:t>
                  </w:r>
                </w:p>
                <w:p>
                  <w:pPr>
                    <w:pStyle w:val="null3"/>
                    <w:ind w:firstLine="480"/>
                    <w:jc w:val="left"/>
                  </w:pPr>
                  <w:r>
                    <w:rPr>
                      <w:rFonts w:ascii="仿宋_GB2312" w:hAnsi="仿宋_GB2312" w:cs="仿宋_GB2312" w:eastAsia="仿宋_GB2312"/>
                      <w:sz w:val="24"/>
                    </w:rPr>
                    <w:t>通过代码审计服务对新建信息系统开展代码审计工作，对程序源代码逐条进行检查和分析，发现这些源代码缺陷引发的安全漏洞，并提供代码修订措施和建议，输出《应用系统代码审计报告》。</w:t>
                  </w:r>
                </w:p>
                <w:p>
                  <w:pPr>
                    <w:pStyle w:val="null3"/>
                    <w:spacing w:before="195"/>
                    <w:ind w:left="15"/>
                    <w:jc w:val="both"/>
                  </w:pPr>
                  <w:r>
                    <w:rPr>
                      <w:rFonts w:ascii="仿宋_GB2312" w:hAnsi="仿宋_GB2312" w:cs="仿宋_GB2312" w:eastAsia="仿宋_GB2312"/>
                      <w:sz w:val="28"/>
                      <w:b/>
                    </w:rPr>
                    <w:t>五、付款方式</w:t>
                  </w:r>
                </w:p>
                <w:p>
                  <w:pPr>
                    <w:pStyle w:val="null3"/>
                    <w:ind w:firstLine="480"/>
                    <w:jc w:val="both"/>
                  </w:pPr>
                  <w:r>
                    <w:rPr>
                      <w:rFonts w:ascii="仿宋_GB2312" w:hAnsi="仿宋_GB2312" w:cs="仿宋_GB2312" w:eastAsia="仿宋_GB2312"/>
                      <w:sz w:val="24"/>
                    </w:rPr>
                    <w:t>1.当采购人和供应商双方签订合同后，采购人在收到供应商所开具的合法发票在5个工作日内，采购人支付给供应商合同总金额50%。</w:t>
                  </w:r>
                </w:p>
                <w:p>
                  <w:pPr>
                    <w:pStyle w:val="null3"/>
                    <w:ind w:firstLine="480"/>
                    <w:jc w:val="both"/>
                  </w:pPr>
                  <w:r>
                    <w:rPr>
                      <w:rFonts w:ascii="仿宋_GB2312" w:hAnsi="仿宋_GB2312" w:cs="仿宋_GB2312" w:eastAsia="仿宋_GB2312"/>
                      <w:sz w:val="24"/>
                    </w:rPr>
                    <w:t>2.当采购人收到供应商最终的测评报告后，采购人在收到供应商所开具的合法发票在5个工作日内，采购人支付给供应商合同总金额40%。</w:t>
                  </w:r>
                </w:p>
                <w:p>
                  <w:pPr>
                    <w:pStyle w:val="null3"/>
                    <w:ind w:firstLine="480"/>
                    <w:jc w:val="both"/>
                  </w:pPr>
                  <w:r>
                    <w:rPr>
                      <w:rFonts w:ascii="仿宋_GB2312" w:hAnsi="仿宋_GB2312" w:cs="仿宋_GB2312" w:eastAsia="仿宋_GB2312"/>
                      <w:sz w:val="24"/>
                    </w:rPr>
                    <w:t>3.当项目竣工验收通过后，采购人在收到供应商所开具的合法发票在5个工作日内，采购人支付给供应商合同总金额10%。</w:t>
                  </w:r>
                </w:p>
                <w:p>
                  <w:pPr>
                    <w:pStyle w:val="null3"/>
                    <w:spacing w:before="195"/>
                    <w:ind w:left="15"/>
                    <w:jc w:val="both"/>
                  </w:pPr>
                  <w:r>
                    <w:rPr>
                      <w:rFonts w:ascii="仿宋_GB2312" w:hAnsi="仿宋_GB2312" w:cs="仿宋_GB2312" w:eastAsia="仿宋_GB2312"/>
                      <w:sz w:val="28"/>
                      <w:b/>
                    </w:rPr>
                    <w:t>六、验收标准及要求</w:t>
                  </w:r>
                </w:p>
                <w:p>
                  <w:pPr>
                    <w:pStyle w:val="null3"/>
                    <w:ind w:firstLine="480"/>
                    <w:jc w:val="both"/>
                  </w:pPr>
                  <w:r>
                    <w:rPr>
                      <w:rFonts w:ascii="仿宋_GB2312" w:hAnsi="仿宋_GB2312" w:cs="仿宋_GB2312" w:eastAsia="仿宋_GB2312"/>
                      <w:sz w:val="24"/>
                    </w:rPr>
                    <w:t>项目服务完成后，服务成果完全符合采购人需求及合同内容，出具完整的报告，各项服务内容成果需要通过主管部门竣工验收。</w:t>
                  </w:r>
                </w:p>
              </w:tc>
            </w:tr>
          </w:tbl>
          <w:p/>
        </w:tc>
      </w:tr>
    </w:tbl>
    <w:p>
      <w:pPr>
        <w:pStyle w:val="null3"/>
        <w:jc w:val="left"/>
      </w:pPr>
      <w:r>
        <w:rPr>
          <w:rFonts w:ascii="仿宋_GB2312" w:hAnsi="仿宋_GB2312" w:cs="仿宋_GB2312" w:eastAsia="仿宋_GB2312"/>
        </w:rPr>
        <w:t>采购包4：</w:t>
      </w:r>
    </w:p>
    <w:p>
      <w:pPr>
        <w:pStyle w:val="null3"/>
        <w:jc w:val="left"/>
      </w:pPr>
      <w:r>
        <w:rPr>
          <w:rFonts w:ascii="仿宋_GB2312" w:hAnsi="仿宋_GB2312" w:cs="仿宋_GB2312" w:eastAsia="仿宋_GB2312"/>
        </w:rPr>
        <w:t>标的名称：商用密码应用安全性评估服务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553"/>
            </w:tblGrid>
            <w:tr>
              <w:tc>
                <w:tcPr>
                  <w:tcW w:type="dxa" w:w="25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spacing w:before="195"/>
                    <w:ind w:left="15"/>
                    <w:jc w:val="both"/>
                  </w:pPr>
                  <w:r>
                    <w:rPr>
                      <w:rFonts w:ascii="仿宋_GB2312" w:hAnsi="仿宋_GB2312" w:cs="仿宋_GB2312" w:eastAsia="仿宋_GB2312"/>
                      <w:sz w:val="28"/>
                      <w:b/>
                    </w:rPr>
                    <w:t>一、项目概述</w:t>
                  </w:r>
                </w:p>
                <w:p>
                  <w:pPr>
                    <w:pStyle w:val="null3"/>
                    <w:spacing w:before="210"/>
                    <w:ind w:right="75" w:firstLine="480"/>
                    <w:jc w:val="both"/>
                  </w:pPr>
                  <w:r>
                    <w:rPr>
                      <w:rFonts w:ascii="仿宋_GB2312" w:hAnsi="仿宋_GB2312" w:cs="仿宋_GB2312" w:eastAsia="仿宋_GB2312"/>
                      <w:sz w:val="24"/>
                    </w:rPr>
                    <w:t>采购内容：商用密码应用安全性评估服务。</w:t>
                  </w:r>
                </w:p>
                <w:p>
                  <w:pPr>
                    <w:pStyle w:val="null3"/>
                    <w:spacing w:before="195"/>
                    <w:ind w:left="15"/>
                    <w:jc w:val="both"/>
                  </w:pPr>
                  <w:r>
                    <w:rPr>
                      <w:rFonts w:ascii="仿宋_GB2312" w:hAnsi="仿宋_GB2312" w:cs="仿宋_GB2312" w:eastAsia="仿宋_GB2312"/>
                      <w:sz w:val="28"/>
                      <w:b/>
                    </w:rPr>
                    <w:t>二、服务内容</w:t>
                  </w:r>
                </w:p>
                <w:p>
                  <w:pPr>
                    <w:pStyle w:val="null3"/>
                    <w:spacing w:before="210"/>
                    <w:ind w:right="75" w:firstLine="480"/>
                    <w:jc w:val="both"/>
                  </w:pPr>
                  <w:r>
                    <w:rPr>
                      <w:rFonts w:ascii="仿宋_GB2312" w:hAnsi="仿宋_GB2312" w:cs="仿宋_GB2312" w:eastAsia="仿宋_GB2312"/>
                      <w:sz w:val="24"/>
                    </w:rPr>
                    <w:t>密码技术作为网络与信息安全保障的核心技术和基础支撑，在维护国家安全、促进经济社会发展、保护人民群众利益中发挥着不可替代的重要作用。为了保障电子凭证汇聚系统信息系统安全稳定运行，通过合理的采用密码技术及其产品，从物理和环境、网络和通信、设备和计算、应用和数据、管理制度等方面进行密码应用设计，构建安全可控的密码支撑系统，项目建成后应符合</w:t>
                  </w:r>
                  <w:r>
                    <w:rPr>
                      <w:rFonts w:ascii="仿宋_GB2312" w:hAnsi="仿宋_GB2312" w:cs="仿宋_GB2312" w:eastAsia="仿宋_GB2312"/>
                      <w:sz w:val="24"/>
                    </w:rPr>
                    <w:t>GB/T39786-2021《信息安全技术 信息系统密码应用基本要求》第三级密码应用要求。需要对省电子凭证会计数据标准化平台建设项目中的电子凭证汇聚系统开展密码应用安全性评估服务（三级）。</w:t>
                  </w:r>
                </w:p>
                <w:p>
                  <w:pPr>
                    <w:pStyle w:val="null3"/>
                    <w:spacing w:before="195"/>
                    <w:ind w:left="15"/>
                    <w:jc w:val="both"/>
                  </w:pPr>
                  <w:r>
                    <w:rPr>
                      <w:rFonts w:ascii="仿宋_GB2312" w:hAnsi="仿宋_GB2312" w:cs="仿宋_GB2312" w:eastAsia="仿宋_GB2312"/>
                      <w:sz w:val="28"/>
                      <w:b/>
                    </w:rPr>
                    <w:t>三、服务周期</w:t>
                  </w:r>
                </w:p>
                <w:p>
                  <w:pPr>
                    <w:pStyle w:val="null3"/>
                    <w:ind w:firstLine="480"/>
                    <w:jc w:val="left"/>
                  </w:pPr>
                  <w:r>
                    <w:rPr>
                      <w:rFonts w:ascii="仿宋_GB2312" w:hAnsi="仿宋_GB2312" w:cs="仿宋_GB2312" w:eastAsia="仿宋_GB2312"/>
                      <w:sz w:val="24"/>
                    </w:rPr>
                    <w:t>本项目</w:t>
                  </w:r>
                  <w:r>
                    <w:rPr>
                      <w:rFonts w:ascii="仿宋_GB2312" w:hAnsi="仿宋_GB2312" w:cs="仿宋_GB2312" w:eastAsia="仿宋_GB2312"/>
                      <w:sz w:val="24"/>
                    </w:rPr>
                    <w:t>服务周期自签订合同之日起，至建设项目完成竣工验收。</w:t>
                  </w:r>
                </w:p>
                <w:p>
                  <w:pPr>
                    <w:pStyle w:val="null3"/>
                    <w:spacing w:before="195"/>
                    <w:ind w:left="15"/>
                    <w:jc w:val="both"/>
                  </w:pPr>
                  <w:r>
                    <w:rPr>
                      <w:rFonts w:ascii="仿宋_GB2312" w:hAnsi="仿宋_GB2312" w:cs="仿宋_GB2312" w:eastAsia="仿宋_GB2312"/>
                      <w:sz w:val="28"/>
                      <w:b/>
                    </w:rPr>
                    <w:t>四、服务对象</w:t>
                  </w:r>
                </w:p>
                <w:p>
                  <w:pPr>
                    <w:pStyle w:val="null3"/>
                    <w:spacing w:before="210"/>
                    <w:ind w:right="75" w:firstLine="480"/>
                    <w:jc w:val="both"/>
                  </w:pPr>
                  <w:r>
                    <w:rPr>
                      <w:rFonts w:ascii="仿宋_GB2312" w:hAnsi="仿宋_GB2312" w:cs="仿宋_GB2312" w:eastAsia="仿宋_GB2312"/>
                      <w:sz w:val="24"/>
                    </w:rPr>
                    <w:t>需要对省电子凭证会计数据标准化平台建设项目中的电子凭证汇聚系统开展密码应用安全性评估服务（三级）。</w:t>
                  </w:r>
                </w:p>
                <w:p>
                  <w:pPr>
                    <w:pStyle w:val="null3"/>
                    <w:spacing w:before="195"/>
                    <w:ind w:left="15"/>
                    <w:jc w:val="both"/>
                  </w:pPr>
                  <w:r>
                    <w:rPr>
                      <w:rFonts w:ascii="仿宋_GB2312" w:hAnsi="仿宋_GB2312" w:cs="仿宋_GB2312" w:eastAsia="仿宋_GB2312"/>
                      <w:sz w:val="28"/>
                      <w:b/>
                    </w:rPr>
                    <w:t>五、服务要求</w:t>
                  </w:r>
                </w:p>
                <w:p>
                  <w:pPr>
                    <w:pStyle w:val="null3"/>
                    <w:ind w:firstLine="482"/>
                    <w:jc w:val="both"/>
                  </w:pPr>
                  <w:r>
                    <w:rPr>
                      <w:rFonts w:ascii="仿宋_GB2312" w:hAnsi="仿宋_GB2312" w:cs="仿宋_GB2312" w:eastAsia="仿宋_GB2312"/>
                      <w:sz w:val="24"/>
                      <w:b/>
                    </w:rPr>
                    <w:t>（一）服务标准及依据</w:t>
                  </w:r>
                </w:p>
                <w:p>
                  <w:pPr>
                    <w:pStyle w:val="null3"/>
                    <w:ind w:firstLine="482"/>
                    <w:jc w:val="both"/>
                  </w:pPr>
                  <w:r>
                    <w:rPr>
                      <w:rFonts w:ascii="仿宋_GB2312" w:hAnsi="仿宋_GB2312" w:cs="仿宋_GB2312" w:eastAsia="仿宋_GB2312"/>
                      <w:sz w:val="24"/>
                    </w:rPr>
                    <w:t>供应商在开展项目服务工作时，为保障项目测评服务质量及规范性要求，需按以下标准、要求执行：</w:t>
                  </w:r>
                </w:p>
                <w:p>
                  <w:pPr>
                    <w:pStyle w:val="null3"/>
                    <w:ind w:firstLine="482"/>
                    <w:jc w:val="both"/>
                  </w:pPr>
                  <w:r>
                    <w:rPr>
                      <w:rFonts w:ascii="仿宋_GB2312" w:hAnsi="仿宋_GB2312" w:cs="仿宋_GB2312" w:eastAsia="仿宋_GB2312"/>
                      <w:sz w:val="24"/>
                    </w:rPr>
                    <w:t>《</w:t>
                  </w:r>
                  <w:r>
                    <w:rPr>
                      <w:rFonts w:ascii="仿宋_GB2312" w:hAnsi="仿宋_GB2312" w:cs="仿宋_GB2312" w:eastAsia="仿宋_GB2312"/>
                      <w:sz w:val="24"/>
                    </w:rPr>
                    <w:t>GB/T 39786-2021 信息安全技术 信息系统密码应用基本要求》；</w:t>
                  </w:r>
                </w:p>
                <w:p>
                  <w:pPr>
                    <w:pStyle w:val="null3"/>
                    <w:ind w:firstLine="482"/>
                    <w:jc w:val="both"/>
                  </w:pPr>
                  <w:r>
                    <w:rPr>
                      <w:rFonts w:ascii="仿宋_GB2312" w:hAnsi="仿宋_GB2312" w:cs="仿宋_GB2312" w:eastAsia="仿宋_GB2312"/>
                      <w:sz w:val="24"/>
                    </w:rPr>
                    <w:t>《信息系统密码应用测评要求》；</w:t>
                  </w:r>
                </w:p>
                <w:p>
                  <w:pPr>
                    <w:pStyle w:val="null3"/>
                    <w:ind w:firstLine="482"/>
                    <w:jc w:val="both"/>
                  </w:pPr>
                  <w:r>
                    <w:rPr>
                      <w:rFonts w:ascii="仿宋_GB2312" w:hAnsi="仿宋_GB2312" w:cs="仿宋_GB2312" w:eastAsia="仿宋_GB2312"/>
                      <w:sz w:val="24"/>
                    </w:rPr>
                    <w:t>《信息系统密码应用测评过程指南》；</w:t>
                  </w:r>
                </w:p>
                <w:p>
                  <w:pPr>
                    <w:pStyle w:val="null3"/>
                    <w:ind w:firstLine="482"/>
                    <w:jc w:val="both"/>
                  </w:pPr>
                  <w:r>
                    <w:rPr>
                      <w:rFonts w:ascii="仿宋_GB2312" w:hAnsi="仿宋_GB2312" w:cs="仿宋_GB2312" w:eastAsia="仿宋_GB2312"/>
                      <w:sz w:val="24"/>
                    </w:rPr>
                    <w:t>《</w:t>
                  </w:r>
                  <w:r>
                    <w:rPr>
                      <w:rFonts w:ascii="仿宋_GB2312" w:hAnsi="仿宋_GB2312" w:cs="仿宋_GB2312" w:eastAsia="仿宋_GB2312"/>
                      <w:sz w:val="24"/>
                    </w:rPr>
                    <w:t>GM/T 0001 祖冲之序列密码算法》；</w:t>
                  </w:r>
                </w:p>
                <w:p>
                  <w:pPr>
                    <w:pStyle w:val="null3"/>
                    <w:ind w:firstLine="482"/>
                    <w:jc w:val="both"/>
                  </w:pPr>
                  <w:r>
                    <w:rPr>
                      <w:rFonts w:ascii="仿宋_GB2312" w:hAnsi="仿宋_GB2312" w:cs="仿宋_GB2312" w:eastAsia="仿宋_GB2312"/>
                      <w:sz w:val="24"/>
                    </w:rPr>
                    <w:t>《</w:t>
                  </w:r>
                  <w:r>
                    <w:rPr>
                      <w:rFonts w:ascii="仿宋_GB2312" w:hAnsi="仿宋_GB2312" w:cs="仿宋_GB2312" w:eastAsia="仿宋_GB2312"/>
                      <w:sz w:val="24"/>
                    </w:rPr>
                    <w:t>GM/T 0002 SM4分组密码算法》；</w:t>
                  </w:r>
                </w:p>
                <w:p>
                  <w:pPr>
                    <w:pStyle w:val="null3"/>
                    <w:ind w:firstLine="482"/>
                    <w:jc w:val="both"/>
                  </w:pPr>
                  <w:r>
                    <w:rPr>
                      <w:rFonts w:ascii="仿宋_GB2312" w:hAnsi="仿宋_GB2312" w:cs="仿宋_GB2312" w:eastAsia="仿宋_GB2312"/>
                      <w:sz w:val="24"/>
                    </w:rPr>
                    <w:t>《</w:t>
                  </w:r>
                  <w:r>
                    <w:rPr>
                      <w:rFonts w:ascii="仿宋_GB2312" w:hAnsi="仿宋_GB2312" w:cs="仿宋_GB2312" w:eastAsia="仿宋_GB2312"/>
                      <w:sz w:val="24"/>
                    </w:rPr>
                    <w:t>GM/T 0003 SM2 椭圆曲线公钥密码算法》；</w:t>
                  </w:r>
                </w:p>
                <w:p>
                  <w:pPr>
                    <w:pStyle w:val="null3"/>
                    <w:ind w:firstLine="482"/>
                    <w:jc w:val="both"/>
                  </w:pPr>
                  <w:r>
                    <w:rPr>
                      <w:rFonts w:ascii="仿宋_GB2312" w:hAnsi="仿宋_GB2312" w:cs="仿宋_GB2312" w:eastAsia="仿宋_GB2312"/>
                      <w:sz w:val="24"/>
                    </w:rPr>
                    <w:t>《</w:t>
                  </w:r>
                  <w:r>
                    <w:rPr>
                      <w:rFonts w:ascii="仿宋_GB2312" w:hAnsi="仿宋_GB2312" w:cs="仿宋_GB2312" w:eastAsia="仿宋_GB2312"/>
                      <w:sz w:val="24"/>
                    </w:rPr>
                    <w:t>GM/T 0004 SM3 密码杂凑算法》；</w:t>
                  </w:r>
                </w:p>
                <w:p>
                  <w:pPr>
                    <w:pStyle w:val="null3"/>
                    <w:ind w:firstLine="482"/>
                    <w:jc w:val="both"/>
                  </w:pPr>
                  <w:r>
                    <w:rPr>
                      <w:rFonts w:ascii="仿宋_GB2312" w:hAnsi="仿宋_GB2312" w:cs="仿宋_GB2312" w:eastAsia="仿宋_GB2312"/>
                      <w:sz w:val="24"/>
                    </w:rPr>
                    <w:t>《</w:t>
                  </w:r>
                  <w:r>
                    <w:rPr>
                      <w:rFonts w:ascii="仿宋_GB2312" w:hAnsi="仿宋_GB2312" w:cs="仿宋_GB2312" w:eastAsia="仿宋_GB2312"/>
                      <w:sz w:val="24"/>
                    </w:rPr>
                    <w:t>GM/T 0054 信息系统密码应用基本要求 》；</w:t>
                  </w:r>
                </w:p>
                <w:p>
                  <w:pPr>
                    <w:pStyle w:val="null3"/>
                    <w:ind w:firstLine="482"/>
                    <w:jc w:val="both"/>
                  </w:pPr>
                  <w:r>
                    <w:rPr>
                      <w:rFonts w:ascii="仿宋_GB2312" w:hAnsi="仿宋_GB2312" w:cs="仿宋_GB2312" w:eastAsia="仿宋_GB2312"/>
                      <w:sz w:val="24"/>
                    </w:rPr>
                    <w:t>《</w:t>
                  </w:r>
                  <w:r>
                    <w:rPr>
                      <w:rFonts w:ascii="仿宋_GB2312" w:hAnsi="仿宋_GB2312" w:cs="仿宋_GB2312" w:eastAsia="仿宋_GB2312"/>
                      <w:sz w:val="24"/>
                    </w:rPr>
                    <w:t>GM/T 0018 密码设备应用接口规范》；</w:t>
                  </w:r>
                </w:p>
                <w:p>
                  <w:pPr>
                    <w:pStyle w:val="null3"/>
                    <w:ind w:firstLine="482"/>
                    <w:jc w:val="both"/>
                  </w:pPr>
                  <w:r>
                    <w:rPr>
                      <w:rFonts w:ascii="仿宋_GB2312" w:hAnsi="仿宋_GB2312" w:cs="仿宋_GB2312" w:eastAsia="仿宋_GB2312"/>
                      <w:sz w:val="24"/>
                    </w:rPr>
                    <w:t>《</w:t>
                  </w:r>
                  <w:r>
                    <w:rPr>
                      <w:rFonts w:ascii="仿宋_GB2312" w:hAnsi="仿宋_GB2312" w:cs="仿宋_GB2312" w:eastAsia="仿宋_GB2312"/>
                      <w:sz w:val="24"/>
                    </w:rPr>
                    <w:t>GM/Z 0001 密码术语》；</w:t>
                  </w:r>
                </w:p>
                <w:p>
                  <w:pPr>
                    <w:pStyle w:val="null3"/>
                    <w:ind w:firstLine="482"/>
                    <w:jc w:val="both"/>
                  </w:pPr>
                  <w:r>
                    <w:rPr>
                      <w:rFonts w:ascii="仿宋_GB2312" w:hAnsi="仿宋_GB2312" w:cs="仿宋_GB2312" w:eastAsia="仿宋_GB2312"/>
                      <w:sz w:val="24"/>
                    </w:rPr>
                    <w:t>《</w:t>
                  </w:r>
                  <w:r>
                    <w:rPr>
                      <w:rFonts w:ascii="仿宋_GB2312" w:hAnsi="仿宋_GB2312" w:cs="仿宋_GB2312" w:eastAsia="仿宋_GB2312"/>
                      <w:sz w:val="24"/>
                    </w:rPr>
                    <w:t>GM/T 0022 IPSEC VPN 技术规范》；</w:t>
                  </w:r>
                </w:p>
                <w:p>
                  <w:pPr>
                    <w:pStyle w:val="null3"/>
                    <w:ind w:firstLine="482"/>
                    <w:jc w:val="both"/>
                  </w:pPr>
                  <w:r>
                    <w:rPr>
                      <w:rFonts w:ascii="仿宋_GB2312" w:hAnsi="仿宋_GB2312" w:cs="仿宋_GB2312" w:eastAsia="仿宋_GB2312"/>
                      <w:sz w:val="24"/>
                    </w:rPr>
                    <w:t>《</w:t>
                  </w:r>
                  <w:r>
                    <w:rPr>
                      <w:rFonts w:ascii="仿宋_GB2312" w:hAnsi="仿宋_GB2312" w:cs="仿宋_GB2312" w:eastAsia="仿宋_GB2312"/>
                      <w:sz w:val="24"/>
                    </w:rPr>
                    <w:t>GM/T 0024 SSL VPN 技术规范》；</w:t>
                  </w:r>
                </w:p>
                <w:p>
                  <w:pPr>
                    <w:pStyle w:val="null3"/>
                    <w:ind w:firstLine="482"/>
                    <w:jc w:val="both"/>
                  </w:pPr>
                  <w:r>
                    <w:rPr>
                      <w:rFonts w:ascii="仿宋_GB2312" w:hAnsi="仿宋_GB2312" w:cs="仿宋_GB2312" w:eastAsia="仿宋_GB2312"/>
                      <w:sz w:val="24"/>
                    </w:rPr>
                    <w:t>《</w:t>
                  </w:r>
                  <w:r>
                    <w:rPr>
                      <w:rFonts w:ascii="仿宋_GB2312" w:hAnsi="仿宋_GB2312" w:cs="仿宋_GB2312" w:eastAsia="仿宋_GB2312"/>
                      <w:sz w:val="24"/>
                    </w:rPr>
                    <w:t>GM/T 0030 服务器密码机技术规范》；</w:t>
                  </w:r>
                </w:p>
                <w:p>
                  <w:pPr>
                    <w:pStyle w:val="null3"/>
                    <w:ind w:firstLine="482"/>
                    <w:jc w:val="both"/>
                  </w:pPr>
                  <w:r>
                    <w:rPr>
                      <w:rFonts w:ascii="仿宋_GB2312" w:hAnsi="仿宋_GB2312" w:cs="仿宋_GB2312" w:eastAsia="仿宋_GB2312"/>
                      <w:sz w:val="24"/>
                    </w:rPr>
                    <w:t>《</w:t>
                  </w:r>
                  <w:r>
                    <w:rPr>
                      <w:rFonts w:ascii="仿宋_GB2312" w:hAnsi="仿宋_GB2312" w:cs="仿宋_GB2312" w:eastAsia="仿宋_GB2312"/>
                      <w:sz w:val="24"/>
                    </w:rPr>
                    <w:t>GM/T 0044 SM9 标识密码算法》；</w:t>
                  </w:r>
                </w:p>
                <w:p>
                  <w:pPr>
                    <w:pStyle w:val="null3"/>
                    <w:ind w:firstLine="482"/>
                    <w:jc w:val="both"/>
                  </w:pPr>
                  <w:r>
                    <w:rPr>
                      <w:rFonts w:ascii="仿宋_GB2312" w:hAnsi="仿宋_GB2312" w:cs="仿宋_GB2312" w:eastAsia="仿宋_GB2312"/>
                      <w:sz w:val="24"/>
                    </w:rPr>
                    <w:t>《</w:t>
                  </w:r>
                  <w:r>
                    <w:rPr>
                      <w:rFonts w:ascii="仿宋_GB2312" w:hAnsi="仿宋_GB2312" w:cs="仿宋_GB2312" w:eastAsia="仿宋_GB2312"/>
                      <w:sz w:val="24"/>
                    </w:rPr>
                    <w:t>GB/T 20984 信息安全技术 信息安全风险评估规范》；</w:t>
                  </w:r>
                </w:p>
                <w:p>
                  <w:pPr>
                    <w:pStyle w:val="null3"/>
                    <w:ind w:firstLine="482"/>
                    <w:jc w:val="both"/>
                  </w:pPr>
                  <w:r>
                    <w:rPr>
                      <w:rFonts w:ascii="仿宋_GB2312" w:hAnsi="仿宋_GB2312" w:cs="仿宋_GB2312" w:eastAsia="仿宋_GB2312"/>
                      <w:sz w:val="24"/>
                    </w:rPr>
                    <w:t>《</w:t>
                  </w:r>
                  <w:r>
                    <w:rPr>
                      <w:rFonts w:ascii="仿宋_GB2312" w:hAnsi="仿宋_GB2312" w:cs="仿宋_GB2312" w:eastAsia="仿宋_GB2312"/>
                      <w:sz w:val="24"/>
                    </w:rPr>
                    <w:t>GM/T 0011-2012 可信计算 可信密码支撑平台功能与接口规范》。</w:t>
                  </w:r>
                </w:p>
                <w:p>
                  <w:pPr>
                    <w:pStyle w:val="null3"/>
                    <w:ind w:firstLine="482"/>
                    <w:jc w:val="both"/>
                  </w:pPr>
                  <w:r>
                    <w:rPr>
                      <w:rFonts w:ascii="仿宋_GB2312" w:hAnsi="仿宋_GB2312" w:cs="仿宋_GB2312" w:eastAsia="仿宋_GB2312"/>
                      <w:sz w:val="24"/>
                      <w:b/>
                    </w:rPr>
                    <w:t>（二）服务内容</w:t>
                  </w:r>
                </w:p>
                <w:p>
                  <w:pPr>
                    <w:pStyle w:val="null3"/>
                    <w:ind w:firstLine="480"/>
                    <w:jc w:val="both"/>
                  </w:pPr>
                  <w:r>
                    <w:rPr>
                      <w:rFonts w:ascii="仿宋_GB2312" w:hAnsi="仿宋_GB2312" w:cs="仿宋_GB2312" w:eastAsia="仿宋_GB2312"/>
                      <w:sz w:val="24"/>
                    </w:rPr>
                    <w:t>1.为贯彻落实《中华人民共和国密码法》与《商用密码应用安全性评估管理办法》中对密码应用与安全性评估要求，拟对省电子凭证会计数据标准化平台建设项目开展密码安全性评估工作，评估拟对电子凭证汇聚系统的密码应用是否合规、正确、有效。并依据《GB/T 39786-2021 信息安全技术 信息系统密码应用基本要求》以及相关标准，及时发现系统脆弱性，识别变化的风险，了解系统安全状况。对照密码应用方案对系统开展评估。在系统真实环境下进行测评，以评估密码保障是否安全有效，密码使用是否合规、正确、有效。并通过测评发现系统存在的安全隐患和风险，提出可行性完善建议。最终输出测评报告。</w:t>
                  </w:r>
                </w:p>
                <w:p>
                  <w:pPr>
                    <w:pStyle w:val="null3"/>
                    <w:ind w:firstLine="480"/>
                    <w:jc w:val="both"/>
                  </w:pPr>
                  <w:r>
                    <w:rPr>
                      <w:rFonts w:ascii="仿宋_GB2312" w:hAnsi="仿宋_GB2312" w:cs="仿宋_GB2312" w:eastAsia="仿宋_GB2312"/>
                      <w:sz w:val="24"/>
                    </w:rPr>
                    <w:t>2.服务期间应提供7×24服务响应，由评估专业人员在1小时内作好服务应答和反馈，需要现场支持时，成交供应商需在1个工作日内安排至少1名具有服务能力的专业人员到达现场处理。服务期间应提供应急保障工作，针对应急、攻坚克难等事宜提供保障方案，包括高层支撑和响应时间等。</w:t>
                  </w:r>
                </w:p>
                <w:p>
                  <w:pPr>
                    <w:pStyle w:val="null3"/>
                    <w:ind w:firstLine="480"/>
                    <w:jc w:val="both"/>
                  </w:pPr>
                  <w:r>
                    <w:rPr>
                      <w:rFonts w:ascii="仿宋_GB2312" w:hAnsi="仿宋_GB2312" w:cs="仿宋_GB2312" w:eastAsia="仿宋_GB2312"/>
                      <w:sz w:val="24"/>
                    </w:rPr>
                    <w:t>3.根据海南省财政科技服务中心商用密码运用安全性评估服务需求，需要对电子凭证汇聚系统开展密码应用安全性评估服务。</w:t>
                  </w:r>
                </w:p>
                <w:p>
                  <w:pPr>
                    <w:pStyle w:val="null3"/>
                    <w:ind w:firstLine="482"/>
                    <w:jc w:val="both"/>
                  </w:pPr>
                  <w:r>
                    <w:rPr>
                      <w:rFonts w:ascii="仿宋_GB2312" w:hAnsi="仿宋_GB2312" w:cs="仿宋_GB2312" w:eastAsia="仿宋_GB2312"/>
                      <w:sz w:val="24"/>
                      <w:b/>
                    </w:rPr>
                    <w:t>（三）技术要求</w:t>
                  </w:r>
                </w:p>
                <w:p>
                  <w:pPr>
                    <w:pStyle w:val="null3"/>
                    <w:ind w:firstLine="480"/>
                    <w:jc w:val="both"/>
                  </w:pPr>
                  <w:r>
                    <w:rPr>
                      <w:rFonts w:ascii="仿宋_GB2312" w:hAnsi="仿宋_GB2312" w:cs="仿宋_GB2312" w:eastAsia="仿宋_GB2312"/>
                      <w:sz w:val="24"/>
                    </w:rPr>
                    <w:t>1.商用密码总体要求测评</w:t>
                  </w:r>
                </w:p>
                <w:p>
                  <w:pPr>
                    <w:pStyle w:val="null3"/>
                    <w:ind w:firstLine="480"/>
                    <w:jc w:val="both"/>
                  </w:pPr>
                  <w:r>
                    <w:rPr>
                      <w:rFonts w:ascii="仿宋_GB2312" w:hAnsi="仿宋_GB2312" w:cs="仿宋_GB2312" w:eastAsia="仿宋_GB2312"/>
                      <w:sz w:val="24"/>
                    </w:rPr>
                    <w:t>1.1密码算法合规性测评：信息系统中使用的密码算法是否符合法律、法规的规定和密码相关国家标准、行业标准的有关要求。</w:t>
                  </w:r>
                </w:p>
                <w:p>
                  <w:pPr>
                    <w:pStyle w:val="null3"/>
                    <w:ind w:firstLine="480"/>
                    <w:jc w:val="both"/>
                  </w:pPr>
                  <w:r>
                    <w:rPr>
                      <w:rFonts w:ascii="仿宋_GB2312" w:hAnsi="仿宋_GB2312" w:cs="仿宋_GB2312" w:eastAsia="仿宋_GB2312"/>
                      <w:sz w:val="24"/>
                    </w:rPr>
                    <w:t>1.2密码技术合规性测评：信息系统中使用的密码技术是否遵循密码相关国家标准和行业标准。</w:t>
                  </w:r>
                </w:p>
                <w:p>
                  <w:pPr>
                    <w:pStyle w:val="null3"/>
                    <w:ind w:firstLine="480"/>
                    <w:jc w:val="both"/>
                  </w:pPr>
                  <w:r>
                    <w:rPr>
                      <w:rFonts w:ascii="仿宋_GB2312" w:hAnsi="仿宋_GB2312" w:cs="仿宋_GB2312" w:eastAsia="仿宋_GB2312"/>
                      <w:sz w:val="24"/>
                    </w:rPr>
                    <w:t>1.3密码产品合规性测评：信息系统中使用的密码产品与密码模块是否通过国家密码管理部门核准。</w:t>
                  </w:r>
                </w:p>
                <w:p>
                  <w:pPr>
                    <w:pStyle w:val="null3"/>
                    <w:ind w:firstLine="480"/>
                    <w:jc w:val="both"/>
                  </w:pPr>
                  <w:r>
                    <w:rPr>
                      <w:rFonts w:ascii="仿宋_GB2312" w:hAnsi="仿宋_GB2312" w:cs="仿宋_GB2312" w:eastAsia="仿宋_GB2312"/>
                      <w:sz w:val="24"/>
                    </w:rPr>
                    <w:t>1.4密码服务合规性测评：信息系统中使用的密码服务是否通过国家密码管理部门许可。</w:t>
                  </w:r>
                </w:p>
                <w:p>
                  <w:pPr>
                    <w:pStyle w:val="null3"/>
                    <w:ind w:firstLine="480"/>
                    <w:jc w:val="both"/>
                  </w:pPr>
                  <w:r>
                    <w:rPr>
                      <w:rFonts w:ascii="仿宋_GB2312" w:hAnsi="仿宋_GB2312" w:cs="仿宋_GB2312" w:eastAsia="仿宋_GB2312"/>
                      <w:sz w:val="24"/>
                    </w:rPr>
                    <w:t>2.密码技术应用测评：从物理和环境、网络和通信、设备和计算、应用和数据等层面对信息系统中应用的密码技术进行分析与评估。</w:t>
                  </w:r>
                </w:p>
                <w:p>
                  <w:pPr>
                    <w:pStyle w:val="null3"/>
                    <w:ind w:firstLine="480"/>
                    <w:jc w:val="both"/>
                  </w:pPr>
                  <w:r>
                    <w:rPr>
                      <w:rFonts w:ascii="仿宋_GB2312" w:hAnsi="仿宋_GB2312" w:cs="仿宋_GB2312" w:eastAsia="仿宋_GB2312"/>
                      <w:sz w:val="24"/>
                    </w:rPr>
                    <w:t>2.1物理和环境层面测评:分析评估信息系统是否合理、合规的和正确的利用商用密码完整性、真实性功能，包括但不限于下列典型因素：重要场所的物理访问控制，监控设备的物理访问控制，以及物理访问记录、监控信息等敏感信息数据完整性。</w:t>
                  </w:r>
                </w:p>
                <w:p>
                  <w:pPr>
                    <w:pStyle w:val="null3"/>
                    <w:ind w:firstLine="480"/>
                    <w:jc w:val="both"/>
                  </w:pPr>
                  <w:r>
                    <w:rPr>
                      <w:rFonts w:ascii="仿宋_GB2312" w:hAnsi="仿宋_GB2312" w:cs="仿宋_GB2312" w:eastAsia="仿宋_GB2312"/>
                      <w:sz w:val="24"/>
                    </w:rPr>
                    <w:t>2.2网络和通信层面测评:分析评估信息系统是否合理、合规的和正确的利用商用密码机密性、完整性、真实性功能。包括但不限于下列典型因素：安全认证连接到内部网络的设备，通信双方的身份认证过程，通信数据完整性，敏感信息数据字段机密性，网络边界访问控制信息完整性，系统资源访问控制信息完整性，安全设备、安全组件的集中管理方式和信息传输通道。</w:t>
                  </w:r>
                </w:p>
                <w:p>
                  <w:pPr>
                    <w:pStyle w:val="null3"/>
                    <w:ind w:firstLine="480"/>
                    <w:jc w:val="both"/>
                  </w:pPr>
                  <w:r>
                    <w:rPr>
                      <w:rFonts w:ascii="仿宋_GB2312" w:hAnsi="仿宋_GB2312" w:cs="仿宋_GB2312" w:eastAsia="仿宋_GB2312"/>
                      <w:sz w:val="24"/>
                    </w:rPr>
                    <w:t>2.3设备和计算层面测评:分析评估信息系统是否合理、合规的和正确的利用商用密码机密性、完整性、真实性功能，对影响信息系统安全防护效能的设备和计算层面因素进行保护。包括但不限于下列典型因素：登录信息系统设备和计算环境的用户身份鉴别过程，系统设备和计算环境资源访问控制信息完整性，重要信息资源敏感标记完整性，重要程序或文件完整性，信息系统设备和计算环境的日志记录完整性。</w:t>
                  </w:r>
                </w:p>
                <w:p>
                  <w:pPr>
                    <w:pStyle w:val="null3"/>
                    <w:ind w:firstLine="480"/>
                    <w:jc w:val="both"/>
                  </w:pPr>
                  <w:r>
                    <w:rPr>
                      <w:rFonts w:ascii="仿宋_GB2312" w:hAnsi="仿宋_GB2312" w:cs="仿宋_GB2312" w:eastAsia="仿宋_GB2312"/>
                      <w:sz w:val="24"/>
                    </w:rPr>
                    <w:t>2.4应用和数据层面测评:分析评估信息系统是否合理、合规的和正确的利用商用密码机密性、完整性、真实性以及不可否认性功能。包括但不限于下列典型因素：登录信息系统应用和数据操作环境的用户身份鉴别过程，系统应用和数据操作环境资源访问控制信息完整性，重要信息资源敏感标记完整性，重要数据传输过程的机密性、完整性，重要信息存储过程的机密性、完整性，重要程序的加载和卸载过程，信息系统应用相关实体行为不不可否认性，信息系统应用和数据操作环境的日志记录完整性。</w:t>
                  </w:r>
                </w:p>
                <w:p>
                  <w:pPr>
                    <w:pStyle w:val="null3"/>
                    <w:ind w:firstLine="480"/>
                    <w:jc w:val="both"/>
                  </w:pPr>
                  <w:r>
                    <w:rPr>
                      <w:rFonts w:ascii="仿宋_GB2312" w:hAnsi="仿宋_GB2312" w:cs="仿宋_GB2312" w:eastAsia="仿宋_GB2312"/>
                      <w:sz w:val="24"/>
                    </w:rPr>
                    <w:t>3.密钥管理测评</w:t>
                  </w:r>
                </w:p>
                <w:p>
                  <w:pPr>
                    <w:pStyle w:val="null3"/>
                    <w:ind w:firstLine="480"/>
                    <w:jc w:val="both"/>
                  </w:pPr>
                  <w:r>
                    <w:rPr>
                      <w:rFonts w:ascii="仿宋_GB2312" w:hAnsi="仿宋_GB2312" w:cs="仿宋_GB2312" w:eastAsia="仿宋_GB2312"/>
                      <w:sz w:val="24"/>
                    </w:rPr>
                    <w:t>对影响商用密码防护效能的密钥生命周期相关环节，以及相关环节管理和策略制定的全过程进行分析与评估。密钥生命周期相关环节包括但不限于下列典型环节：密钥生成，密钥存储，密钥分发，密钥导入，密钥导出，密钥使用，密钥备份，密钥恢复，密钥归档，密钥销毁。</w:t>
                  </w:r>
                </w:p>
                <w:p>
                  <w:pPr>
                    <w:pStyle w:val="null3"/>
                    <w:ind w:firstLine="480"/>
                    <w:jc w:val="both"/>
                  </w:pPr>
                  <w:r>
                    <w:rPr>
                      <w:rFonts w:ascii="仿宋_GB2312" w:hAnsi="仿宋_GB2312" w:cs="仿宋_GB2312" w:eastAsia="仿宋_GB2312"/>
                      <w:sz w:val="24"/>
                    </w:rPr>
                    <w:t>4.安全管理测评</w:t>
                  </w:r>
                </w:p>
                <w:p>
                  <w:pPr>
                    <w:pStyle w:val="null3"/>
                    <w:ind w:firstLine="480"/>
                    <w:jc w:val="both"/>
                  </w:pPr>
                  <w:r>
                    <w:rPr>
                      <w:rFonts w:ascii="仿宋_GB2312" w:hAnsi="仿宋_GB2312" w:cs="仿宋_GB2312" w:eastAsia="仿宋_GB2312"/>
                      <w:sz w:val="24"/>
                    </w:rPr>
                    <w:t>4.1对影响商用密码防护效能的管理制度与措施进行分析与评估。管理制度与措施包括但不限于下列典型维度：安全管理制度，人员管控，信息系统实施，应急预案。</w:t>
                  </w:r>
                </w:p>
                <w:p>
                  <w:pPr>
                    <w:pStyle w:val="null3"/>
                    <w:ind w:firstLine="480"/>
                    <w:jc w:val="both"/>
                  </w:pPr>
                  <w:r>
                    <w:rPr>
                      <w:rFonts w:ascii="仿宋_GB2312" w:hAnsi="仿宋_GB2312" w:cs="仿宋_GB2312" w:eastAsia="仿宋_GB2312"/>
                      <w:sz w:val="24"/>
                    </w:rPr>
                    <w:t>4.2针对被评估系统编制密码应用安全性评估报告，报告按照国家密码管理局要求包含的内容编制或参考模板编制。协助被评估单位认清风险，查找漏洞，找出差距，提出有针对性的加强完善密码安全管理和防护建议，并提交纸质材料。</w:t>
                  </w:r>
                </w:p>
                <w:p>
                  <w:pPr>
                    <w:pStyle w:val="null3"/>
                    <w:ind w:firstLine="480"/>
                    <w:jc w:val="both"/>
                  </w:pPr>
                  <w:r>
                    <w:rPr>
                      <w:rFonts w:ascii="仿宋_GB2312" w:hAnsi="仿宋_GB2312" w:cs="仿宋_GB2312" w:eastAsia="仿宋_GB2312"/>
                      <w:sz w:val="24"/>
                    </w:rPr>
                    <w:t>4.3完成所有系统的密码应用性评估工作后，编制评估总结报告，对密评工作开展的情况，遇到的问题，密评结果数据、所有被评估单位上报的密码应用情况、梳理共性问题和个性问题，形成密码应用情况分析总结报告。</w:t>
                  </w:r>
                </w:p>
                <w:p>
                  <w:pPr>
                    <w:pStyle w:val="null3"/>
                    <w:ind w:firstLine="480"/>
                    <w:jc w:val="both"/>
                  </w:pPr>
                  <w:r>
                    <w:rPr>
                      <w:rFonts w:ascii="仿宋_GB2312" w:hAnsi="仿宋_GB2312" w:cs="仿宋_GB2312" w:eastAsia="仿宋_GB2312"/>
                      <w:sz w:val="24"/>
                    </w:rPr>
                    <w:t>5.供应商所提供的投标方案应包含对本项目的理解、项目实施方案、售后服务方案、保密管理方案及培训方案。</w:t>
                  </w:r>
                </w:p>
                <w:p>
                  <w:pPr>
                    <w:pStyle w:val="null3"/>
                    <w:ind w:firstLine="482"/>
                    <w:jc w:val="both"/>
                  </w:pPr>
                  <w:r>
                    <w:rPr>
                      <w:rFonts w:ascii="仿宋_GB2312" w:hAnsi="仿宋_GB2312" w:cs="仿宋_GB2312" w:eastAsia="仿宋_GB2312"/>
                      <w:sz w:val="24"/>
                      <w:b/>
                    </w:rPr>
                    <w:t>（四）服务要求</w:t>
                  </w:r>
                </w:p>
                <w:p>
                  <w:pPr>
                    <w:pStyle w:val="null3"/>
                    <w:ind w:firstLine="480"/>
                    <w:jc w:val="both"/>
                  </w:pPr>
                  <w:r>
                    <w:rPr>
                      <w:rFonts w:ascii="仿宋_GB2312" w:hAnsi="仿宋_GB2312" w:cs="仿宋_GB2312" w:eastAsia="仿宋_GB2312"/>
                      <w:sz w:val="24"/>
                    </w:rPr>
                    <w:t>1.供应商应详细描述本次商用密码应用安全性评估的整体实施方案，包括项目概述、商用密码应用安全性评估测评方案、项目实施方案、测试过程中需使用测试设备清单、时间安排、阶段性文档提交和验收标准等。</w:t>
                  </w:r>
                </w:p>
                <w:p>
                  <w:pPr>
                    <w:pStyle w:val="null3"/>
                    <w:ind w:firstLine="480"/>
                    <w:jc w:val="both"/>
                  </w:pPr>
                  <w:r>
                    <w:rPr>
                      <w:rFonts w:ascii="仿宋_GB2312" w:hAnsi="仿宋_GB2312" w:cs="仿宋_GB2312" w:eastAsia="仿宋_GB2312"/>
                      <w:sz w:val="24"/>
                    </w:rPr>
                    <w:t>2.供应商应详细描述测评人员的组成、资质及各自职责的划分。供应商应配置有经验的测评人员进行本次商用密码应用安全性评估测评工作。</w:t>
                  </w:r>
                </w:p>
                <w:p>
                  <w:pPr>
                    <w:pStyle w:val="null3"/>
                    <w:ind w:firstLine="480"/>
                    <w:jc w:val="both"/>
                  </w:pPr>
                  <w:r>
                    <w:rPr>
                      <w:rFonts w:ascii="仿宋_GB2312" w:hAnsi="仿宋_GB2312" w:cs="仿宋_GB2312" w:eastAsia="仿宋_GB2312"/>
                      <w:sz w:val="24"/>
                    </w:rPr>
                    <w:t>3.商用密码应用安全性评估需要的运行环境（如场地、网络环境等）由采购人提供，供应商应详细描述需要的运行环境的具体要求。</w:t>
                  </w:r>
                </w:p>
                <w:p>
                  <w:pPr>
                    <w:pStyle w:val="null3"/>
                    <w:ind w:firstLine="480"/>
                    <w:jc w:val="both"/>
                  </w:pPr>
                  <w:r>
                    <w:rPr>
                      <w:rFonts w:ascii="仿宋_GB2312" w:hAnsi="仿宋_GB2312" w:cs="仿宋_GB2312" w:eastAsia="仿宋_GB2312"/>
                      <w:sz w:val="24"/>
                    </w:rPr>
                    <w:t>4.开展密码应用安全性评估应严守工作秘密。签署保密协议，参与项目人员签署《保密承诺书》，对知悉的事项及信息予以保密，所有资料、技术文档妥善保管，不得遗失、转借、复印，不得以任何形式向第三方透露；所有密码应用解决方案和采集汇总后的数据严禁外泄。</w:t>
                  </w:r>
                </w:p>
                <w:p>
                  <w:pPr>
                    <w:pStyle w:val="null3"/>
                    <w:ind w:firstLine="482"/>
                    <w:jc w:val="both"/>
                  </w:pPr>
                  <w:r>
                    <w:rPr>
                      <w:rFonts w:ascii="仿宋_GB2312" w:hAnsi="仿宋_GB2312" w:cs="仿宋_GB2312" w:eastAsia="仿宋_GB2312"/>
                      <w:sz w:val="24"/>
                      <w:b/>
                    </w:rPr>
                    <w:t>（五）保密要求</w:t>
                  </w:r>
                </w:p>
                <w:p>
                  <w:pPr>
                    <w:pStyle w:val="null3"/>
                    <w:ind w:firstLine="480"/>
                    <w:jc w:val="both"/>
                  </w:pPr>
                  <w:r>
                    <w:rPr>
                      <w:rFonts w:ascii="仿宋_GB2312" w:hAnsi="仿宋_GB2312" w:cs="仿宋_GB2312" w:eastAsia="仿宋_GB2312"/>
                      <w:sz w:val="24"/>
                    </w:rPr>
                    <w:t>1.供应商必须和采购人签订保密协议和非侵害性协议，供应商必须要与参加此次测评项目的所有项目组成员签订保密协议和非侵害性协议，在合同签订时一并提供给采购人。</w:t>
                  </w:r>
                </w:p>
                <w:p>
                  <w:pPr>
                    <w:pStyle w:val="null3"/>
                    <w:ind w:firstLine="480"/>
                    <w:jc w:val="both"/>
                  </w:pPr>
                  <w:r>
                    <w:rPr>
                      <w:rFonts w:ascii="仿宋_GB2312" w:hAnsi="仿宋_GB2312" w:cs="仿宋_GB2312" w:eastAsia="仿宋_GB2312"/>
                      <w:sz w:val="24"/>
                    </w:rPr>
                    <w:t>2.供应商具体测评工作和商用密码应用安全性评估报告的编写，必须在采购人的指定地点进行。对于测评中的重要资料和结果，在测评期间和测评结束后，供应商不得带离该地点。</w:t>
                  </w:r>
                </w:p>
                <w:p>
                  <w:pPr>
                    <w:pStyle w:val="null3"/>
                    <w:ind w:firstLine="480"/>
                    <w:jc w:val="both"/>
                  </w:pPr>
                  <w:r>
                    <w:rPr>
                      <w:rFonts w:ascii="仿宋_GB2312" w:hAnsi="仿宋_GB2312" w:cs="仿宋_GB2312" w:eastAsia="仿宋_GB2312"/>
                      <w:sz w:val="24"/>
                    </w:rPr>
                    <w:t>3.供应商对本规范书中的内容及在应标过程中接触的设备信息、数据资料等负有保密责任，不得泄露给任何第三方。无论供应商成交与否，其对上述内容的保密责任将长期存在。</w:t>
                  </w:r>
                </w:p>
                <w:p>
                  <w:pPr>
                    <w:pStyle w:val="null3"/>
                    <w:ind w:firstLine="480"/>
                    <w:jc w:val="both"/>
                  </w:pPr>
                  <w:r>
                    <w:rPr>
                      <w:rFonts w:ascii="仿宋_GB2312" w:hAnsi="仿宋_GB2312" w:cs="仿宋_GB2312" w:eastAsia="仿宋_GB2312"/>
                      <w:sz w:val="24"/>
                      <w:color w:val="0000FF"/>
                      <w:u w:val="single"/>
                    </w:rPr>
                    <w:t>（</w:t>
                  </w:r>
                  <w:r>
                    <w:rPr>
                      <w:rFonts w:ascii="仿宋_GB2312" w:hAnsi="仿宋_GB2312" w:cs="仿宋_GB2312" w:eastAsia="仿宋_GB2312"/>
                      <w:sz w:val="24"/>
                      <w:color w:val="0000FF"/>
                      <w:u w:val="single"/>
                    </w:rPr>
                    <w:t>六</w:t>
                  </w:r>
                  <w:r>
                    <w:rPr>
                      <w:rFonts w:ascii="仿宋_GB2312" w:hAnsi="仿宋_GB2312" w:cs="仿宋_GB2312" w:eastAsia="仿宋_GB2312"/>
                      <w:sz w:val="24"/>
                      <w:color w:val="0000FF"/>
                      <w:u w:val="single"/>
                    </w:rPr>
                    <w:t>）</w:t>
                  </w:r>
                  <w:r>
                    <w:rPr>
                      <w:rFonts w:ascii="仿宋_GB2312" w:hAnsi="仿宋_GB2312" w:cs="仿宋_GB2312" w:eastAsia="仿宋_GB2312"/>
                      <w:sz w:val="24"/>
                      <w:color w:val="0000FF"/>
                      <w:u w:val="single"/>
                    </w:rPr>
                    <w:t>服务</w:t>
                  </w:r>
                  <w:r>
                    <w:rPr>
                      <w:rFonts w:ascii="仿宋_GB2312" w:hAnsi="仿宋_GB2312" w:cs="仿宋_GB2312" w:eastAsia="仿宋_GB2312"/>
                      <w:sz w:val="24"/>
                      <w:color w:val="0000FF"/>
                      <w:u w:val="single"/>
                    </w:rPr>
                    <w:t>次数</w:t>
                  </w:r>
                </w:p>
                <w:p>
                  <w:pPr>
                    <w:pStyle w:val="null3"/>
                    <w:ind w:firstLine="480"/>
                    <w:jc w:val="both"/>
                  </w:pPr>
                  <w:r>
                    <w:rPr>
                      <w:rFonts w:ascii="仿宋_GB2312" w:hAnsi="仿宋_GB2312" w:cs="仿宋_GB2312" w:eastAsia="仿宋_GB2312"/>
                      <w:sz w:val="24"/>
                      <w:color w:val="0000FF"/>
                      <w:u w:val="single"/>
                    </w:rPr>
                    <w:t>商用</w:t>
                  </w:r>
                  <w:r>
                    <w:rPr>
                      <w:rFonts w:ascii="仿宋_GB2312" w:hAnsi="仿宋_GB2312" w:cs="仿宋_GB2312" w:eastAsia="仿宋_GB2312"/>
                      <w:sz w:val="24"/>
                      <w:color w:val="0000FF"/>
                      <w:u w:val="single"/>
                    </w:rPr>
                    <w:t>密码</w:t>
                  </w:r>
                  <w:r>
                    <w:rPr>
                      <w:rFonts w:ascii="仿宋_GB2312" w:hAnsi="仿宋_GB2312" w:cs="仿宋_GB2312" w:eastAsia="仿宋_GB2312"/>
                      <w:sz w:val="24"/>
                      <w:color w:val="0000FF"/>
                      <w:u w:val="single"/>
                    </w:rPr>
                    <w:t>测评</w:t>
                  </w:r>
                  <w:r>
                    <w:rPr>
                      <w:rFonts w:ascii="仿宋_GB2312" w:hAnsi="仿宋_GB2312" w:cs="仿宋_GB2312" w:eastAsia="仿宋_GB2312"/>
                      <w:sz w:val="24"/>
                      <w:color w:val="0000FF"/>
                      <w:u w:val="single"/>
                    </w:rPr>
                    <w:t>服务次数</w:t>
                  </w:r>
                  <w:r>
                    <w:rPr>
                      <w:rFonts w:ascii="仿宋_GB2312" w:hAnsi="仿宋_GB2312" w:cs="仿宋_GB2312" w:eastAsia="仿宋_GB2312"/>
                      <w:sz w:val="24"/>
                      <w:color w:val="0000FF"/>
                      <w:u w:val="single"/>
                    </w:rPr>
                    <w:t>：</w:t>
                  </w:r>
                  <w:r>
                    <w:rPr>
                      <w:rFonts w:ascii="仿宋_GB2312" w:hAnsi="仿宋_GB2312" w:cs="仿宋_GB2312" w:eastAsia="仿宋_GB2312"/>
                      <w:sz w:val="24"/>
                      <w:color w:val="0000FF"/>
                      <w:u w:val="single"/>
                    </w:rPr>
                    <w:t>1</w:t>
                  </w:r>
                  <w:r>
                    <w:rPr>
                      <w:rFonts w:ascii="仿宋_GB2312" w:hAnsi="仿宋_GB2312" w:cs="仿宋_GB2312" w:eastAsia="仿宋_GB2312"/>
                      <w:sz w:val="24"/>
                      <w:color w:val="0000FF"/>
                      <w:u w:val="single"/>
                    </w:rPr>
                    <w:t>次</w:t>
                  </w:r>
                  <w:r>
                    <w:rPr>
                      <w:rFonts w:ascii="仿宋_GB2312" w:hAnsi="仿宋_GB2312" w:cs="仿宋_GB2312" w:eastAsia="仿宋_GB2312"/>
                      <w:sz w:val="24"/>
                      <w:color w:val="0000FF"/>
                      <w:u w:val="single"/>
                    </w:rPr>
                    <w:t>/</w:t>
                  </w:r>
                  <w:r>
                    <w:rPr>
                      <w:rFonts w:ascii="仿宋_GB2312" w:hAnsi="仿宋_GB2312" w:cs="仿宋_GB2312" w:eastAsia="仿宋_GB2312"/>
                      <w:sz w:val="24"/>
                      <w:color w:val="0000FF"/>
                      <w:u w:val="single"/>
                    </w:rPr>
                    <w:t>年</w:t>
                  </w:r>
                  <w:r>
                    <w:rPr>
                      <w:rFonts w:ascii="仿宋_GB2312" w:hAnsi="仿宋_GB2312" w:cs="仿宋_GB2312" w:eastAsia="仿宋_GB2312"/>
                      <w:sz w:val="24"/>
                      <w:color w:val="0000FF"/>
                      <w:u w:val="single"/>
                    </w:rPr>
                    <w:t>。</w:t>
                  </w:r>
                </w:p>
                <w:p>
                  <w:pPr>
                    <w:pStyle w:val="null3"/>
                    <w:spacing w:before="195"/>
                    <w:ind w:left="15"/>
                    <w:jc w:val="both"/>
                  </w:pPr>
                  <w:r>
                    <w:rPr>
                      <w:rFonts w:ascii="仿宋_GB2312" w:hAnsi="仿宋_GB2312" w:cs="仿宋_GB2312" w:eastAsia="仿宋_GB2312"/>
                      <w:sz w:val="28"/>
                      <w:b/>
                    </w:rPr>
                    <w:t>六、验收标准及要求</w:t>
                  </w:r>
                </w:p>
                <w:p>
                  <w:pPr>
                    <w:pStyle w:val="null3"/>
                    <w:ind w:firstLine="720"/>
                    <w:jc w:val="both"/>
                  </w:pPr>
                  <w:r>
                    <w:rPr>
                      <w:rFonts w:ascii="仿宋_GB2312" w:hAnsi="仿宋_GB2312" w:cs="仿宋_GB2312" w:eastAsia="仿宋_GB2312"/>
                      <w:sz w:val="24"/>
                    </w:rPr>
                    <w:t>项目服务完成后，服务成果完全符合采购人需求及合同内容，出具完整的《商用密码应用安全性评估报告》，项目成果最终通过采购人组织验收。</w:t>
                  </w:r>
                </w:p>
              </w:tc>
            </w:tr>
          </w:tbl>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553"/>
            </w:tblGrid>
            <w:tr>
              <w:tc>
                <w:tcPr>
                  <w:tcW w:type="dxa" w:w="25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一、服务期、服务地点</w:t>
                  </w:r>
                </w:p>
                <w:p>
                  <w:pPr>
                    <w:pStyle w:val="null3"/>
                    <w:jc w:val="left"/>
                  </w:pPr>
                  <w:r>
                    <w:rPr>
                      <w:rFonts w:ascii="仿宋_GB2312" w:hAnsi="仿宋_GB2312" w:cs="仿宋_GB2312" w:eastAsia="仿宋_GB2312"/>
                      <w:sz w:val="19"/>
                    </w:rPr>
                    <w:t>服务期：签订合同之日起至2026年8月底前完成系统预验收，进入试运行，试运行期至少3个月，2026年12月底前完成系统终验。</w:t>
                  </w:r>
                </w:p>
                <w:p>
                  <w:pPr>
                    <w:pStyle w:val="null3"/>
                    <w:jc w:val="left"/>
                  </w:pPr>
                  <w:r>
                    <w:rPr>
                      <w:rFonts w:ascii="仿宋_GB2312" w:hAnsi="仿宋_GB2312" w:cs="仿宋_GB2312" w:eastAsia="仿宋_GB2312"/>
                      <w:sz w:val="19"/>
                    </w:rPr>
                    <w:t>服务地点：海南省财政厅</w:t>
                  </w:r>
                </w:p>
                <w:p>
                  <w:pPr>
                    <w:pStyle w:val="null3"/>
                    <w:jc w:val="left"/>
                  </w:pPr>
                  <w:r>
                    <w:rPr>
                      <w:rFonts w:ascii="仿宋_GB2312" w:hAnsi="仿宋_GB2312" w:cs="仿宋_GB2312" w:eastAsia="仿宋_GB2312"/>
                      <w:sz w:val="19"/>
                    </w:rPr>
                    <w:t>二、本包采购预算：</w:t>
                  </w:r>
                  <w:r>
                    <w:rPr>
                      <w:rFonts w:ascii="仿宋_GB2312" w:hAnsi="仿宋_GB2312" w:cs="仿宋_GB2312" w:eastAsia="仿宋_GB2312"/>
                      <w:sz w:val="19"/>
                    </w:rPr>
                    <w:t>721775元（报价不得超出采购预算）</w:t>
                  </w:r>
                </w:p>
              </w:tc>
            </w:tr>
          </w:tbl>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553"/>
            </w:tblGrid>
            <w:tr>
              <w:tc>
                <w:tcPr>
                  <w:tcW w:type="dxa" w:w="25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一、服务期、服务地点</w:t>
                  </w:r>
                </w:p>
                <w:p>
                  <w:pPr>
                    <w:pStyle w:val="null3"/>
                    <w:jc w:val="left"/>
                  </w:pPr>
                  <w:r>
                    <w:rPr>
                      <w:rFonts w:ascii="仿宋_GB2312" w:hAnsi="仿宋_GB2312" w:cs="仿宋_GB2312" w:eastAsia="仿宋_GB2312"/>
                      <w:sz w:val="19"/>
                    </w:rPr>
                    <w:t>服务期：签订合同之日起至2026年8月底前完成系统预验收，进入试运行，试运行期至少3个月，2026年12月底前完成系统终验。</w:t>
                  </w:r>
                </w:p>
                <w:p>
                  <w:pPr>
                    <w:pStyle w:val="null3"/>
                    <w:jc w:val="left"/>
                  </w:pPr>
                  <w:r>
                    <w:rPr>
                      <w:rFonts w:ascii="仿宋_GB2312" w:hAnsi="仿宋_GB2312" w:cs="仿宋_GB2312" w:eastAsia="仿宋_GB2312"/>
                      <w:sz w:val="19"/>
                    </w:rPr>
                    <w:t>服务地点：海南省财政厅</w:t>
                  </w:r>
                </w:p>
                <w:p>
                  <w:pPr>
                    <w:pStyle w:val="null3"/>
                    <w:jc w:val="left"/>
                  </w:pPr>
                  <w:r>
                    <w:rPr>
                      <w:rFonts w:ascii="仿宋_GB2312" w:hAnsi="仿宋_GB2312" w:cs="仿宋_GB2312" w:eastAsia="仿宋_GB2312"/>
                      <w:sz w:val="19"/>
                    </w:rPr>
                    <w:t>二、本包采购预算：</w:t>
                  </w:r>
                  <w:r>
                    <w:rPr>
                      <w:rFonts w:ascii="仿宋_GB2312" w:hAnsi="仿宋_GB2312" w:cs="仿宋_GB2312" w:eastAsia="仿宋_GB2312"/>
                      <w:sz w:val="19"/>
                    </w:rPr>
                    <w:t>481700 元（报价不得超出采购预算）</w:t>
                  </w:r>
                </w:p>
              </w:tc>
            </w:tr>
          </w:tbl>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553"/>
            </w:tblGrid>
            <w:tr>
              <w:tc>
                <w:tcPr>
                  <w:tcW w:type="dxa" w:w="25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一、服务期、服务地点</w:t>
                  </w:r>
                </w:p>
                <w:p>
                  <w:pPr>
                    <w:pStyle w:val="null3"/>
                    <w:jc w:val="left"/>
                  </w:pPr>
                  <w:r>
                    <w:rPr>
                      <w:rFonts w:ascii="仿宋_GB2312" w:hAnsi="仿宋_GB2312" w:cs="仿宋_GB2312" w:eastAsia="仿宋_GB2312"/>
                      <w:sz w:val="19"/>
                    </w:rPr>
                    <w:t>服务期：</w:t>
                  </w:r>
                  <w:r>
                    <w:rPr>
                      <w:rFonts w:ascii="仿宋_GB2312" w:hAnsi="仿宋_GB2312" w:cs="仿宋_GB2312" w:eastAsia="仿宋_GB2312"/>
                      <w:sz w:val="24"/>
                    </w:rPr>
                    <w:t>自签订合同之日起，至建设项目完成竣工验收。</w:t>
                  </w:r>
                </w:p>
                <w:p>
                  <w:pPr>
                    <w:pStyle w:val="null3"/>
                    <w:jc w:val="left"/>
                  </w:pPr>
                  <w:r>
                    <w:rPr>
                      <w:rFonts w:ascii="仿宋_GB2312" w:hAnsi="仿宋_GB2312" w:cs="仿宋_GB2312" w:eastAsia="仿宋_GB2312"/>
                      <w:sz w:val="19"/>
                    </w:rPr>
                    <w:t>服务地点：</w:t>
                  </w:r>
                  <w:r>
                    <w:rPr>
                      <w:rFonts w:ascii="仿宋_GB2312" w:hAnsi="仿宋_GB2312" w:cs="仿宋_GB2312" w:eastAsia="仿宋_GB2312"/>
                      <w:sz w:val="24"/>
                    </w:rPr>
                    <w:t>海南省财政厅。</w:t>
                  </w:r>
                </w:p>
                <w:p>
                  <w:pPr>
                    <w:pStyle w:val="null3"/>
                    <w:jc w:val="left"/>
                  </w:pPr>
                  <w:r>
                    <w:rPr>
                      <w:rFonts w:ascii="仿宋_GB2312" w:hAnsi="仿宋_GB2312" w:cs="仿宋_GB2312" w:eastAsia="仿宋_GB2312"/>
                      <w:sz w:val="19"/>
                    </w:rPr>
                    <w:t>二、本包采购预算：</w:t>
                  </w:r>
                  <w:r>
                    <w:rPr>
                      <w:rFonts w:ascii="仿宋_GB2312" w:hAnsi="仿宋_GB2312" w:cs="仿宋_GB2312" w:eastAsia="仿宋_GB2312"/>
                      <w:sz w:val="19"/>
                    </w:rPr>
                    <w:t>250400元（报价不得超出采购预算）</w:t>
                  </w:r>
                </w:p>
              </w:tc>
            </w:tr>
          </w:tbl>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tbl>
            <w:tblPr>
              <w:tblBorders>
                <w:top w:val="none" w:color="000000" w:sz="4"/>
                <w:left w:val="none" w:color="000000" w:sz="4"/>
                <w:bottom w:val="none" w:color="000000" w:sz="4"/>
                <w:right w:val="none" w:color="000000" w:sz="4"/>
                <w:insideH w:val="none"/>
                <w:insideV w:val="none"/>
              </w:tblBorders>
            </w:tblPr>
            <w:tblGrid>
              <w:gridCol w:w="2553"/>
            </w:tblGrid>
            <w:tr>
              <w:tc>
                <w:tcPr>
                  <w:tcW w:type="dxa" w:w="255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19"/>
                    </w:rPr>
                    <w:t>一、服务期、服务地点</w:t>
                  </w:r>
                </w:p>
                <w:p>
                  <w:pPr>
                    <w:pStyle w:val="null3"/>
                    <w:jc w:val="left"/>
                  </w:pPr>
                  <w:r>
                    <w:rPr>
                      <w:rFonts w:ascii="仿宋_GB2312" w:hAnsi="仿宋_GB2312" w:cs="仿宋_GB2312" w:eastAsia="仿宋_GB2312"/>
                      <w:sz w:val="19"/>
                    </w:rPr>
                    <w:t>服务期：</w:t>
                  </w:r>
                  <w:r>
                    <w:rPr>
                      <w:rFonts w:ascii="仿宋_GB2312" w:hAnsi="仿宋_GB2312" w:cs="仿宋_GB2312" w:eastAsia="仿宋_GB2312"/>
                      <w:sz w:val="24"/>
                    </w:rPr>
                    <w:t>自签订合同之日起，至建设项目完成竣工验收。</w:t>
                  </w:r>
                </w:p>
                <w:p>
                  <w:pPr>
                    <w:pStyle w:val="null3"/>
                    <w:jc w:val="left"/>
                  </w:pPr>
                  <w:r>
                    <w:rPr>
                      <w:rFonts w:ascii="仿宋_GB2312" w:hAnsi="仿宋_GB2312" w:cs="仿宋_GB2312" w:eastAsia="仿宋_GB2312"/>
                      <w:sz w:val="19"/>
                    </w:rPr>
                    <w:t>服务地点：</w:t>
                  </w:r>
                  <w:r>
                    <w:rPr>
                      <w:rFonts w:ascii="仿宋_GB2312" w:hAnsi="仿宋_GB2312" w:cs="仿宋_GB2312" w:eastAsia="仿宋_GB2312"/>
                      <w:sz w:val="24"/>
                    </w:rPr>
                    <w:t>海南省财政厅。</w:t>
                  </w:r>
                </w:p>
                <w:p>
                  <w:pPr>
                    <w:pStyle w:val="null3"/>
                    <w:jc w:val="left"/>
                  </w:pPr>
                  <w:r>
                    <w:rPr>
                      <w:rFonts w:ascii="仿宋_GB2312" w:hAnsi="仿宋_GB2312" w:cs="仿宋_GB2312" w:eastAsia="仿宋_GB2312"/>
                      <w:sz w:val="19"/>
                    </w:rPr>
                    <w:t>二、本包采购预算：</w:t>
                  </w:r>
                  <w:r>
                    <w:rPr>
                      <w:rFonts w:ascii="仿宋_GB2312" w:hAnsi="仿宋_GB2312" w:cs="仿宋_GB2312" w:eastAsia="仿宋_GB2312"/>
                      <w:sz w:val="19"/>
                    </w:rPr>
                    <w:t>120000元（报价不得超出采购预算）</w:t>
                  </w:r>
                </w:p>
                <w:p>
                  <w:pPr>
                    <w:pStyle w:val="null3"/>
                    <w:jc w:val="left"/>
                  </w:pPr>
                  <w:r>
                    <w:rPr>
                      <w:rFonts w:ascii="仿宋_GB2312" w:hAnsi="仿宋_GB2312" w:cs="仿宋_GB2312" w:eastAsia="仿宋_GB2312"/>
                      <w:sz w:val="19"/>
                    </w:rPr>
                    <w:t xml:space="preserve"> </w:t>
                  </w:r>
                </w:p>
              </w:tc>
            </w:tr>
          </w:tbl>
          <w:p/>
        </w:tc>
      </w:tr>
    </w:tbl>
    <w:p>
      <w:pPr>
        <w:pStyle w:val="null3"/>
        <w:ind w:firstLine="480"/>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无</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（1）“★”条款为不允许偏离的实质性要求和条件，如不满足则认定其投标无效。 （2）“二、技术和服务要求”、“三、商务要求”须在技术、商务响应表中逐条响应，其它内容无须在技术、商务响应表中响应。</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自定义格式</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自定义格式</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自定义格式</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自定义格式</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参加政府采购活动前三年内，无环保类行政处罚记录。</w:t>
            </w:r>
          </w:p>
        </w:tc>
        <w:tc>
          <w:tcPr>
            <w:tcW w:type="dxa" w:w="3322"/>
          </w:tcPr>
          <w:p>
            <w:pPr>
              <w:pStyle w:val="null3"/>
              <w:jc w:val="left"/>
            </w:pPr>
            <w:r>
              <w:rPr>
                <w:rFonts w:ascii="仿宋_GB2312" w:hAnsi="仿宋_GB2312" w:cs="仿宋_GB2312" w:eastAsia="仿宋_GB2312"/>
              </w:rPr>
              <w:t>提供无环保类行政处罚记录声明函，加盖公章。</w:t>
            </w:r>
          </w:p>
        </w:tc>
        <w:tc>
          <w:tcPr>
            <w:tcW w:type="dxa" w:w="1661"/>
          </w:tcPr>
          <w:p>
            <w:pPr>
              <w:pStyle w:val="null3"/>
              <w:jc w:val="left"/>
            </w:pPr>
            <w:r>
              <w:rPr>
                <w:rFonts w:ascii="仿宋_GB2312" w:hAnsi="仿宋_GB2312" w:cs="仿宋_GB2312" w:eastAsia="仿宋_GB2312"/>
              </w:rPr>
              <w:t>自定义格式</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参加政府采购活动前三年内，无环保类行政处罚记录。</w:t>
            </w:r>
          </w:p>
        </w:tc>
        <w:tc>
          <w:tcPr>
            <w:tcW w:type="dxa" w:w="3322"/>
          </w:tcPr>
          <w:p>
            <w:pPr>
              <w:pStyle w:val="null3"/>
              <w:jc w:val="left"/>
            </w:pPr>
            <w:r>
              <w:rPr>
                <w:rFonts w:ascii="仿宋_GB2312" w:hAnsi="仿宋_GB2312" w:cs="仿宋_GB2312" w:eastAsia="仿宋_GB2312"/>
              </w:rPr>
              <w:t>提供无环保类行政处罚记录声明函，加盖公章。</w:t>
            </w:r>
          </w:p>
        </w:tc>
        <w:tc>
          <w:tcPr>
            <w:tcW w:type="dxa" w:w="1661"/>
          </w:tcPr>
          <w:p>
            <w:pPr>
              <w:pStyle w:val="null3"/>
              <w:jc w:val="left"/>
            </w:pPr>
            <w:r>
              <w:rPr>
                <w:rFonts w:ascii="仿宋_GB2312" w:hAnsi="仿宋_GB2312" w:cs="仿宋_GB2312" w:eastAsia="仿宋_GB2312"/>
              </w:rPr>
              <w:t>自定义格式</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参加政府采购活动前三年内，无环保类行政处罚记录。</w:t>
            </w:r>
          </w:p>
        </w:tc>
        <w:tc>
          <w:tcPr>
            <w:tcW w:type="dxa" w:w="3322"/>
          </w:tcPr>
          <w:p>
            <w:pPr>
              <w:pStyle w:val="null3"/>
              <w:jc w:val="left"/>
            </w:pPr>
            <w:r>
              <w:rPr>
                <w:rFonts w:ascii="仿宋_GB2312" w:hAnsi="仿宋_GB2312" w:cs="仿宋_GB2312" w:eastAsia="仿宋_GB2312"/>
              </w:rPr>
              <w:t>提供无环保类行政处罚记录声明函，加盖公章。</w:t>
            </w:r>
          </w:p>
        </w:tc>
        <w:tc>
          <w:tcPr>
            <w:tcW w:type="dxa" w:w="1661"/>
          </w:tcPr>
          <w:p>
            <w:pPr>
              <w:pStyle w:val="null3"/>
              <w:jc w:val="left"/>
            </w:pPr>
            <w:r>
              <w:rPr>
                <w:rFonts w:ascii="仿宋_GB2312" w:hAnsi="仿宋_GB2312" w:cs="仿宋_GB2312" w:eastAsia="仿宋_GB2312"/>
              </w:rPr>
              <w:t>自定义格式</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参加政府采购活动前三年内，无环保类行政处罚记录。</w:t>
            </w:r>
          </w:p>
        </w:tc>
        <w:tc>
          <w:tcPr>
            <w:tcW w:type="dxa" w:w="3322"/>
          </w:tcPr>
          <w:p>
            <w:pPr>
              <w:pStyle w:val="null3"/>
              <w:jc w:val="left"/>
            </w:pPr>
            <w:r>
              <w:rPr>
                <w:rFonts w:ascii="仿宋_GB2312" w:hAnsi="仿宋_GB2312" w:cs="仿宋_GB2312" w:eastAsia="仿宋_GB2312"/>
              </w:rPr>
              <w:t>提供无环保类行政处罚记录声明函，加盖公章。</w:t>
            </w:r>
          </w:p>
        </w:tc>
        <w:tc>
          <w:tcPr>
            <w:tcW w:type="dxa" w:w="1661"/>
          </w:tcPr>
          <w:p>
            <w:pPr>
              <w:pStyle w:val="null3"/>
              <w:jc w:val="left"/>
            </w:pPr>
            <w:r>
              <w:rPr>
                <w:rFonts w:ascii="仿宋_GB2312" w:hAnsi="仿宋_GB2312" w:cs="仿宋_GB2312" w:eastAsia="仿宋_GB2312"/>
              </w:rPr>
              <w:t>自定义格式</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本采购包属于专门面向中小企业采购。</w:t>
            </w:r>
          </w:p>
        </w:tc>
        <w:tc>
          <w:tcPr>
            <w:tcW w:type="dxa" w:w="3322"/>
          </w:tcPr>
          <w:p>
            <w:pPr>
              <w:pStyle w:val="null3"/>
              <w:jc w:val="left"/>
            </w:pPr>
            <w:r>
              <w:rPr>
                <w:rFonts w:ascii="仿宋_GB2312" w:hAnsi="仿宋_GB2312" w:cs="仿宋_GB2312" w:eastAsia="仿宋_GB2312"/>
              </w:rPr>
              <w:t>本采购包为专门面向中小企业采购，投标人须提供中小企业声明函。监狱企业、残疾人福利性单位视同小型、微型企业。</w:t>
            </w:r>
          </w:p>
        </w:tc>
        <w:tc>
          <w:tcPr>
            <w:tcW w:type="dxa" w:w="1661"/>
          </w:tcPr>
          <w:p>
            <w:pPr>
              <w:pStyle w:val="null3"/>
              <w:jc w:val="left"/>
            </w:pPr>
            <w:r>
              <w:rPr>
                <w:rFonts w:ascii="仿宋_GB2312" w:hAnsi="仿宋_GB2312" w:cs="仿宋_GB2312" w:eastAsia="仿宋_GB2312"/>
              </w:rPr>
              <w:t>自定义格式</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本采购包属于专门面向中小企业采购。</w:t>
            </w:r>
          </w:p>
        </w:tc>
        <w:tc>
          <w:tcPr>
            <w:tcW w:type="dxa" w:w="3322"/>
          </w:tcPr>
          <w:p>
            <w:pPr>
              <w:pStyle w:val="null3"/>
              <w:jc w:val="left"/>
            </w:pPr>
            <w:r>
              <w:rPr>
                <w:rFonts w:ascii="仿宋_GB2312" w:hAnsi="仿宋_GB2312" w:cs="仿宋_GB2312" w:eastAsia="仿宋_GB2312"/>
              </w:rPr>
              <w:t>本采购包为专门面向中小企业采购，投标人须提供中小企业声明函。监狱企业、残疾人福利性单位视同小型、微型企业。</w:t>
            </w:r>
          </w:p>
        </w:tc>
        <w:tc>
          <w:tcPr>
            <w:tcW w:type="dxa" w:w="1661"/>
          </w:tcPr>
          <w:p>
            <w:pPr>
              <w:pStyle w:val="null3"/>
              <w:jc w:val="left"/>
            </w:pPr>
            <w:r>
              <w:rPr>
                <w:rFonts w:ascii="仿宋_GB2312" w:hAnsi="仿宋_GB2312" w:cs="仿宋_GB2312" w:eastAsia="仿宋_GB2312"/>
              </w:rPr>
              <w:t>自定义格式</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本采购包属于专门面向中小企业采购。</w:t>
            </w:r>
          </w:p>
        </w:tc>
        <w:tc>
          <w:tcPr>
            <w:tcW w:type="dxa" w:w="3322"/>
          </w:tcPr>
          <w:p>
            <w:pPr>
              <w:pStyle w:val="null3"/>
              <w:jc w:val="left"/>
            </w:pPr>
            <w:r>
              <w:rPr>
                <w:rFonts w:ascii="仿宋_GB2312" w:hAnsi="仿宋_GB2312" w:cs="仿宋_GB2312" w:eastAsia="仿宋_GB2312"/>
              </w:rPr>
              <w:t>本采购包为专门面向中小企业采购，投标人须提供中小企业声明函。监狱企业、残疾人福利性单位视同小型、微型企业。</w:t>
            </w:r>
          </w:p>
        </w:tc>
        <w:tc>
          <w:tcPr>
            <w:tcW w:type="dxa" w:w="1661"/>
          </w:tcPr>
          <w:p>
            <w:pPr>
              <w:pStyle w:val="null3"/>
              <w:jc w:val="left"/>
            </w:pPr>
            <w:r>
              <w:rPr>
                <w:rFonts w:ascii="仿宋_GB2312" w:hAnsi="仿宋_GB2312" w:cs="仿宋_GB2312" w:eastAsia="仿宋_GB2312"/>
              </w:rPr>
              <w:t>自定义格式</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 投标（响应）报价明细表 自定义格式</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投标（响应）报价明细表 自定义格式</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投标有效期须满足“须知前附表”第6点要求。</w:t>
            </w:r>
          </w:p>
        </w:tc>
        <w:tc>
          <w:tcPr>
            <w:tcW w:type="dxa" w:w="1661"/>
          </w:tcPr>
          <w:p>
            <w:pPr>
              <w:pStyle w:val="null3"/>
              <w:jc w:val="left"/>
            </w:pPr>
            <w:r>
              <w:rPr>
                <w:rFonts w:ascii="仿宋_GB2312" w:hAnsi="仿宋_GB2312" w:cs="仿宋_GB2312" w:eastAsia="仿宋_GB2312"/>
              </w:rPr>
              <w:t>开标（报价）一览表 投标（响应）报价明细表 自定义格式</w:t>
            </w:r>
          </w:p>
        </w:tc>
      </w:tr>
    </w:tbl>
    <w:p>
      <w:pPr>
        <w:pStyle w:val="null3"/>
        <w:jc w:val="left"/>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 投标（响应）报价明细表 自定义格式</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投标（响应）报价明细表 自定义格式</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投标有效期须满足“须知前附表”第6点要求。</w:t>
            </w:r>
          </w:p>
        </w:tc>
        <w:tc>
          <w:tcPr>
            <w:tcW w:type="dxa" w:w="1661"/>
          </w:tcPr>
          <w:p>
            <w:pPr>
              <w:pStyle w:val="null3"/>
              <w:jc w:val="left"/>
            </w:pPr>
            <w:r>
              <w:rPr>
                <w:rFonts w:ascii="仿宋_GB2312" w:hAnsi="仿宋_GB2312" w:cs="仿宋_GB2312" w:eastAsia="仿宋_GB2312"/>
              </w:rPr>
              <w:t>开标（报价）一览表 投标（响应）报价明细表 自定义格式</w:t>
            </w:r>
          </w:p>
        </w:tc>
      </w:tr>
    </w:tbl>
    <w:p>
      <w:pPr>
        <w:pStyle w:val="null3"/>
        <w:jc w:val="left"/>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 投标（响应）报价明细表 自定义格式</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投标（响应）报价明细表 自定义格式</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投标有效期须满足“须知前附表”第6点要求。</w:t>
            </w:r>
          </w:p>
        </w:tc>
        <w:tc>
          <w:tcPr>
            <w:tcW w:type="dxa" w:w="1661"/>
          </w:tcPr>
          <w:p>
            <w:pPr>
              <w:pStyle w:val="null3"/>
              <w:jc w:val="left"/>
            </w:pPr>
            <w:r>
              <w:rPr>
                <w:rFonts w:ascii="仿宋_GB2312" w:hAnsi="仿宋_GB2312" w:cs="仿宋_GB2312" w:eastAsia="仿宋_GB2312"/>
              </w:rPr>
              <w:t>开标（报价）一览表 投标（响应）报价明细表 自定义格式</w:t>
            </w:r>
          </w:p>
        </w:tc>
      </w:tr>
    </w:tbl>
    <w:p>
      <w:pPr>
        <w:pStyle w:val="null3"/>
        <w:jc w:val="left"/>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开标（报价）一览表 投标（响应）报价明细表 自定义格式</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开标（报价）一览表 投标（响应）报价明细表 自定义格式</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自定义格式</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投标有效期须满足“须知前附表”第6点要求。</w:t>
            </w:r>
          </w:p>
        </w:tc>
        <w:tc>
          <w:tcPr>
            <w:tcW w:type="dxa" w:w="1661"/>
          </w:tcPr>
          <w:p>
            <w:pPr>
              <w:pStyle w:val="null3"/>
              <w:jc w:val="left"/>
            </w:pPr>
            <w:r>
              <w:rPr>
                <w:rFonts w:ascii="仿宋_GB2312" w:hAnsi="仿宋_GB2312" w:cs="仿宋_GB2312" w:eastAsia="仿宋_GB2312"/>
              </w:rPr>
              <w:t>开标（报价）一览表 投标（响应）报价明细表 自定义格式</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技术部分58.00分</w:t>
            </w:r>
          </w:p>
          <w:p>
            <w:pPr>
              <w:pStyle w:val="null3"/>
              <w:jc w:val="both"/>
            </w:pPr>
            <w:r>
              <w:rPr>
                <w:rFonts w:ascii="仿宋_GB2312" w:hAnsi="仿宋_GB2312" w:cs="仿宋_GB2312" w:eastAsia="仿宋_GB2312"/>
              </w:rPr>
              <w:t>商务部分32.00分</w:t>
            </w:r>
          </w:p>
          <w:p>
            <w:pPr>
              <w:pStyle w:val="null3"/>
              <w:jc w:val="both"/>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对接方案</w:t>
            </w:r>
          </w:p>
        </w:tc>
        <w:tc>
          <w:tcPr>
            <w:tcW w:type="dxa" w:w="2492"/>
          </w:tcPr>
          <w:p>
            <w:pPr>
              <w:pStyle w:val="null3"/>
              <w:jc w:val="both"/>
            </w:pPr>
            <w:r>
              <w:rPr>
                <w:rFonts w:ascii="仿宋_GB2312" w:hAnsi="仿宋_GB2312" w:cs="仿宋_GB2312" w:eastAsia="仿宋_GB2312"/>
              </w:rPr>
              <w:t>为确保公务报账子系统和预算管理一体化系统、电子凭证汇聚系统、会计档案管理子系统、政府采购平台无缝对接，保障项目的顺利实施，投标人需了解上述5个系统间的关系，对公务报账子系统的重、难点进行分析，并提出解决方案。方案应满足采购需求。 1.对接方案，完全满足采购需求得6分； 2.对接方案，不完全满足采购需求得3分； 3.不提供不得分。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总体设计</w:t>
            </w:r>
          </w:p>
        </w:tc>
        <w:tc>
          <w:tcPr>
            <w:tcW w:type="dxa" w:w="2492"/>
          </w:tcPr>
          <w:p>
            <w:pPr>
              <w:pStyle w:val="null3"/>
              <w:jc w:val="both"/>
            </w:pPr>
            <w:r>
              <w:rPr>
                <w:rFonts w:ascii="仿宋_GB2312" w:hAnsi="仿宋_GB2312" w:cs="仿宋_GB2312" w:eastAsia="仿宋_GB2312"/>
              </w:rPr>
              <w:t>投标人对项目的总体设计合理，基于海南省财政公务报账系统总体框架升级改造，目标清晰，充分理解项目建设重点、难点，并提出解决思路，并能充分理解本项目所需的数据来源和财政部《电子凭证会计数据标准（试行版）》规范要求等，响应内容应满足采购需求。 1.总体设计中具有对海南省财政公务报账系统技术框架和路线的完整分析得2分，其他或不提供不得分； 2.总体设计中完全符合项目需求并提供重难点解决思路得2分，其他或不提供不得分； 3.总体设计中有本项目所需的数据来源得2分，其他或不提供不得分。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总体架构</w:t>
            </w:r>
          </w:p>
        </w:tc>
        <w:tc>
          <w:tcPr>
            <w:tcW w:type="dxa" w:w="2492"/>
          </w:tcPr>
          <w:p>
            <w:pPr>
              <w:pStyle w:val="null3"/>
              <w:jc w:val="both"/>
            </w:pPr>
            <w:r>
              <w:rPr>
                <w:rFonts w:ascii="仿宋_GB2312" w:hAnsi="仿宋_GB2312" w:cs="仿宋_GB2312" w:eastAsia="仿宋_GB2312"/>
              </w:rPr>
              <w:t>结合本系统建设要求，采用微服务、报表、数据交换等技术路线，总体架构完整、先进、完善，逻辑结构清晰，具备二次开发的扩展能力，并能提出项目后续的规划内容，响应内容应满足采购需求。 1.具有上述要求的技术路线得1分，其他或不提供不得分； 2.具有上述要求的总体框架得1分，其他或不提供不得分； 2.具有二次开发的扩展能力得2分，其他或不提供不得分； 3.具有项目后续规划内容得2分，其他或不提供不得分。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设计方案</w:t>
            </w:r>
          </w:p>
        </w:tc>
        <w:tc>
          <w:tcPr>
            <w:tcW w:type="dxa" w:w="2492"/>
          </w:tcPr>
          <w:p>
            <w:pPr>
              <w:pStyle w:val="null3"/>
              <w:jc w:val="both"/>
            </w:pPr>
            <w:r>
              <w:rPr>
                <w:rFonts w:ascii="仿宋_GB2312" w:hAnsi="仿宋_GB2312" w:cs="仿宋_GB2312" w:eastAsia="仿宋_GB2312"/>
              </w:rPr>
              <w:t>投标人提供详细设计方案，方案须满足招标文件技术要求，具备补充报账资料功能优化、报账资料列表优化、报账申请单退回修改功能优化、误餐联合报销优化、会签功能优化、事项提醒、智能审单、报账申请单退回修改功能优化、移动端业务功能、接口开发等。 1.具备所有功能得10分； 2.每缺失一项功能扣1分，直到扣完为止。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数据安全保障方案</w:t>
            </w:r>
          </w:p>
        </w:tc>
        <w:tc>
          <w:tcPr>
            <w:tcW w:type="dxa" w:w="2492"/>
          </w:tcPr>
          <w:p>
            <w:pPr>
              <w:pStyle w:val="null3"/>
              <w:jc w:val="both"/>
            </w:pPr>
            <w:r>
              <w:rPr>
                <w:rFonts w:ascii="仿宋_GB2312" w:hAnsi="仿宋_GB2312" w:cs="仿宋_GB2312" w:eastAsia="仿宋_GB2312"/>
              </w:rPr>
              <w:t>投标人全面分析数据安全需求，提供数据安全保障方案，提出数据安全建议，响应内容应满足采购需求。 1.有完全满足采购需求的数据安全保障方案得2分，部分满足采购需求的数据安全保障方案得1分，不提供不得分； 2.有完全针对本项目的数据安全建议得2分，部分针对本项目的数据安全建议得1分，不提供不得分。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实施方案</w:t>
            </w:r>
          </w:p>
        </w:tc>
        <w:tc>
          <w:tcPr>
            <w:tcW w:type="dxa" w:w="2492"/>
          </w:tcPr>
          <w:p>
            <w:pPr>
              <w:pStyle w:val="null3"/>
              <w:jc w:val="both"/>
            </w:pPr>
            <w:r>
              <w:rPr>
                <w:rFonts w:ascii="仿宋_GB2312" w:hAnsi="仿宋_GB2312" w:cs="仿宋_GB2312" w:eastAsia="仿宋_GB2312"/>
              </w:rPr>
              <w:t>投标人提供满足采购需求的内容全面的实施方案，包括工作分解结构与进度计划、质量保证、风险管控、组织架构、测试、验收、交付物、关键里程碑等方面内容和培训方案。 1.有全面的实施方案得4分，每缺失一小点内容扣0.5分，扣完为止； 2.有线上线下等多种培训方式，培训次数达3次及以上的培训方案得2分；有线上线下等多种培训方式，培训次数1-2次得1分，其余不得分。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系统演示</w:t>
            </w:r>
          </w:p>
        </w:tc>
        <w:tc>
          <w:tcPr>
            <w:tcW w:type="dxa" w:w="2492"/>
          </w:tcPr>
          <w:p>
            <w:pPr>
              <w:pStyle w:val="null3"/>
              <w:jc w:val="both"/>
            </w:pPr>
            <w:r>
              <w:rPr>
                <w:rFonts w:ascii="仿宋_GB2312" w:hAnsi="仿宋_GB2312" w:cs="仿宋_GB2312" w:eastAsia="仿宋_GB2312"/>
              </w:rPr>
              <w:t>投标要求提供系统演示，不演示不得分，投标人进行合理演说，语言简练。评标现场无网络，请投标人自带演示设备，现场系统演示时间控制在20分钟内。投标人须对以下内容进行演示： （1）电子凭证上传、分发、认领； （2）电子凭证的OCR识别； （3）报账单自动填单，公务报账子系统读取电子凭证的票面信息通过智能匹配能力自动填写报账单明细信息； （4）报账信息智能匹配，通过智能匹配形成的报账金额，可点击查看其对应的发票文件及其结构化信息。 （5）智能审单，系统自动对报账单的票据规范性、标准合规性、附件规范性等进行初审，生成审核简报、风险级别及风险提醒。 以上演示内容，总分最高得20分： 1.采用真实案例或系统原型进行演示，演示内容完全满足招标需求，每个演示点得4分； 2.采用真实案例或系统原型进行演示，演示内容部分满足招标需求，每个演示点得2分； 3.未满足招标需求不得分。 注：演示功能以招标文件中建设需求为基准。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自定义格式</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企业管理服务能力</w:t>
            </w:r>
          </w:p>
        </w:tc>
        <w:tc>
          <w:tcPr>
            <w:tcW w:type="dxa" w:w="2492"/>
          </w:tcPr>
          <w:p>
            <w:pPr>
              <w:pStyle w:val="null3"/>
              <w:jc w:val="both"/>
            </w:pPr>
            <w:r>
              <w:rPr>
                <w:rFonts w:ascii="仿宋_GB2312" w:hAnsi="仿宋_GB2312" w:cs="仿宋_GB2312" w:eastAsia="仿宋_GB2312"/>
              </w:rPr>
              <w:t>1.投标人具有 ISO20000 信息技术服务管理体系认证证书。 2.投标人具有 ISO9001 质量管理体系认证证书。 3.投标人具有 ISO27001 信息安全管理体系认证证书。 4.投标人具有 CMMI 三级或以上资质证书。 5.投标人具有 ITSS 信息技术服务标准符合性证书。 以上证书每提供一项得1分，共4分。 须提供有效期内的证书扫描件加盖公章，否则不得分。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项目经验</w:t>
            </w:r>
          </w:p>
        </w:tc>
        <w:tc>
          <w:tcPr>
            <w:tcW w:type="dxa" w:w="2492"/>
          </w:tcPr>
          <w:p>
            <w:pPr>
              <w:pStyle w:val="null3"/>
              <w:jc w:val="both"/>
            </w:pPr>
            <w:r>
              <w:rPr>
                <w:rFonts w:ascii="仿宋_GB2312" w:hAnsi="仿宋_GB2312" w:cs="仿宋_GB2312" w:eastAsia="仿宋_GB2312"/>
              </w:rPr>
              <w:t>2020年1月1日至今与本项目服务需求类似的业绩。每提供一个得2分，共4分。 须提供盖章合同（扫描件），证明材料均不得遮挡涂黑，否则不得分。 注：包括合同金额、双方名称及盖章、合同服务内容，业绩认定日期以合同签订日期为准。</w:t>
            </w:r>
          </w:p>
        </w:tc>
        <w:tc>
          <w:tcPr>
            <w:tcW w:type="dxa" w:w="831"/>
          </w:tcPr>
          <w:p>
            <w:pPr>
              <w:pStyle w:val="null3"/>
              <w:jc w:val="right"/>
            </w:pPr>
            <w:r>
              <w:rPr>
                <w:rFonts w:ascii="仿宋_GB2312" w:hAnsi="仿宋_GB2312" w:cs="仿宋_GB2312" w:eastAsia="仿宋_GB2312"/>
              </w:rPr>
              <w:t>4.0000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技术及产品实力</w:t>
            </w:r>
          </w:p>
        </w:tc>
        <w:tc>
          <w:tcPr>
            <w:tcW w:type="dxa" w:w="2492"/>
          </w:tcPr>
          <w:p>
            <w:pPr>
              <w:pStyle w:val="null3"/>
              <w:jc w:val="both"/>
            </w:pPr>
            <w:r>
              <w:rPr>
                <w:rFonts w:ascii="仿宋_GB2312" w:hAnsi="仿宋_GB2312" w:cs="仿宋_GB2312" w:eastAsia="仿宋_GB2312"/>
              </w:rPr>
              <w:t>投标人提供自主知识产权的财政系统类或电子报账类软件著作权证书，每提供一个得5分，共10分。 备注：须提供开标前国家版权局颁发获得的软件著作权证书或专利证书的扫描件加盖公章，否则不得分。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项目负责人</w:t>
            </w:r>
          </w:p>
        </w:tc>
        <w:tc>
          <w:tcPr>
            <w:tcW w:type="dxa" w:w="2492"/>
          </w:tcPr>
          <w:p>
            <w:pPr>
              <w:pStyle w:val="null3"/>
              <w:jc w:val="both"/>
            </w:pPr>
            <w:r>
              <w:rPr>
                <w:rFonts w:ascii="仿宋_GB2312" w:hAnsi="仿宋_GB2312" w:cs="仿宋_GB2312" w:eastAsia="仿宋_GB2312"/>
              </w:rPr>
              <w:t>1.项目负责人具备信息系统项目管理师高级证书或IT服务项目经理证书的，得1分。 2.项目负责人应具备信息化行业5年及以上相关工作经验，提供用户证明文件，得1分。 须提供相应证书（扫描件）、2025年1月至今任意3个月的社保缴纳的证明（扫描件）、用户单位出具的项目负责人项目工作经验证明，否则不得分。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项目团队要求</w:t>
            </w:r>
          </w:p>
        </w:tc>
        <w:tc>
          <w:tcPr>
            <w:tcW w:type="dxa" w:w="2492"/>
          </w:tcPr>
          <w:p>
            <w:pPr>
              <w:pStyle w:val="null3"/>
              <w:jc w:val="both"/>
            </w:pPr>
            <w:r>
              <w:rPr>
                <w:rFonts w:ascii="仿宋_GB2312" w:hAnsi="仿宋_GB2312" w:cs="仿宋_GB2312" w:eastAsia="仿宋_GB2312"/>
              </w:rPr>
              <w:t>1.投标人须承诺项目团队人数不少于5人，且拟提供的项目团队人员分工明确，提供承诺函（格式自拟，加盖公章）的得2分，未提供不得分。 2.投标人项目团队中技术负责人具有系统规划与管理师高级证书或系统分析师高级证书或系统架构设计师或信息系统项目管理师高级证书的，得2分。 3.投标人项目团队成员中具有信息系统项目管理师高级证书、数据库系统工程师证书、软件设计师证书、系统集成项目管理工程师证书、软件评测师证书，每提供1人（具有以上证书之一）得2分，最高得8分。 须提供相应证书扫描件、团队所有人员须提供2025年1月至今任意3个月的社保缴纳的证明(扫描件)，加盖公章，否则不得分。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（1）C16010302-行业应用软件开发服务响应报价低于全部通过符合性审查供应商响应报价平均值50%的，即C16010302-行业应用软件开发服务响应报价&lt;全部通过符合性审查供应商响应报价平均值×50%。 （2）C16010302-行业应用软件开发服务响应报价低于通过符合性审查且报价次低供应商响应报价50%的，即C16010302-行业应用软件开发服务响应报价&lt;通过符合性审查且报价次低供应商响应报价×50%。 （3）C16010302-行业应用软件开发服务响应报价低于最高限价45%的，即C16010302-行业应用软件开发服务响应报价&lt;最高限价×45%。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自定义格式</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06"/>
            <w:gridSpan w:val="6"/>
          </w:tcPr>
          <w:p>
            <w:pPr>
              <w:pStyle w:val="null3"/>
              <w:jc w:val="both"/>
            </w:pPr>
            <w:r>
              <w:rPr>
                <w:rFonts w:ascii="仿宋_GB2312" w:hAnsi="仿宋_GB2312" w:cs="仿宋_GB2312" w:eastAsia="仿宋_GB2312"/>
              </w:rPr>
              <w:t xml:space="preserve"> 无</w:t>
            </w:r>
          </w:p>
        </w:tc>
      </w:tr>
    </w:tbl>
    <w:p>
      <w:pPr>
        <w:pStyle w:val="null3"/>
        <w:jc w:val="both"/>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技术部分58.00分</w:t>
            </w:r>
          </w:p>
          <w:p>
            <w:pPr>
              <w:pStyle w:val="null3"/>
              <w:jc w:val="both"/>
            </w:pPr>
            <w:r>
              <w:rPr>
                <w:rFonts w:ascii="仿宋_GB2312" w:hAnsi="仿宋_GB2312" w:cs="仿宋_GB2312" w:eastAsia="仿宋_GB2312"/>
              </w:rPr>
              <w:t>商务部分32.00分</w:t>
            </w:r>
          </w:p>
          <w:p>
            <w:pPr>
              <w:pStyle w:val="null3"/>
              <w:jc w:val="both"/>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对接方案</w:t>
            </w:r>
          </w:p>
        </w:tc>
        <w:tc>
          <w:tcPr>
            <w:tcW w:type="dxa" w:w="2492"/>
          </w:tcPr>
          <w:p>
            <w:pPr>
              <w:pStyle w:val="null3"/>
              <w:jc w:val="both"/>
            </w:pPr>
            <w:r>
              <w:rPr>
                <w:rFonts w:ascii="仿宋_GB2312" w:hAnsi="仿宋_GB2312" w:cs="仿宋_GB2312" w:eastAsia="仿宋_GB2312"/>
              </w:rPr>
              <w:t>为确保非税收入征缴信息管理子系统和预算管理一体化系统、电子凭证汇聚系统无缝对接，保障项目的顺利实施，投标人需了解上述3个系统间的关系，对非税收入征缴信息管理子系统的重、难点进行分析，并提出解决方案。方案应满足采购需求。 1.对接方案，完全满足采购需求得6分； 2.对接方案，不完全满足采购需求得3分； 3.不提供不得分。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总体设计</w:t>
            </w:r>
          </w:p>
        </w:tc>
        <w:tc>
          <w:tcPr>
            <w:tcW w:type="dxa" w:w="2492"/>
          </w:tcPr>
          <w:p>
            <w:pPr>
              <w:pStyle w:val="null3"/>
              <w:jc w:val="both"/>
            </w:pPr>
            <w:r>
              <w:rPr>
                <w:rFonts w:ascii="仿宋_GB2312" w:hAnsi="仿宋_GB2312" w:cs="仿宋_GB2312" w:eastAsia="仿宋_GB2312"/>
              </w:rPr>
              <w:t>投标人对项目的总体设计合理，目标清晰，充分理解项目建设重点、难点，并提出解决思路，并能充分理解本项目所需的数据来源和财政部《电子凭证会计数据标准（试行版）》要求等，响应内容应满足采购需求。 1.总体设计中有完全符合项目需求的重难点分析得2分，其他或不提供不得分； 2.总体设计中有针对所有重难点解决思路得2分，其他或不提供不得分； 3.总体设计中有本项目所需的数据来源得2分，其他或不提供不得分。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总体架构</w:t>
            </w:r>
          </w:p>
        </w:tc>
        <w:tc>
          <w:tcPr>
            <w:tcW w:type="dxa" w:w="2492"/>
          </w:tcPr>
          <w:p>
            <w:pPr>
              <w:pStyle w:val="null3"/>
              <w:jc w:val="both"/>
            </w:pPr>
            <w:r>
              <w:rPr>
                <w:rFonts w:ascii="仿宋_GB2312" w:hAnsi="仿宋_GB2312" w:cs="仿宋_GB2312" w:eastAsia="仿宋_GB2312"/>
              </w:rPr>
              <w:t>结合本系统建设要求，采用微服务、报表、数据交换等技术路线，总体架构完整、先进、完善，逻辑结构清晰，具备二次开发的扩展能力，并能提出项目后续的规划内容，响应内容应满足采购需求。 1.具有上述要求的技术路线得1分，其他或不提供不得分； 2.具有上述要求的总体框架得1分，其他或不提供不得分； 2.具有二次开发的扩展能力得2分，其他或不提供不得分； 3.具有项目后续规划内容得2分，其他或不提供不得分。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设计方案</w:t>
            </w:r>
          </w:p>
        </w:tc>
        <w:tc>
          <w:tcPr>
            <w:tcW w:type="dxa" w:w="2492"/>
          </w:tcPr>
          <w:p>
            <w:pPr>
              <w:pStyle w:val="null3"/>
              <w:jc w:val="both"/>
            </w:pPr>
            <w:r>
              <w:rPr>
                <w:rFonts w:ascii="仿宋_GB2312" w:hAnsi="仿宋_GB2312" w:cs="仿宋_GB2312" w:eastAsia="仿宋_GB2312"/>
              </w:rPr>
              <w:t>投标人提供详细设计方案，方案须满足招标文件技术要求，具备非税业务系统电子会计凭证数据标准化改造、电子缴款书服务平台会计凭证标准化改造、收入调账管理功能改造、收入退付管理功能改造、非税数据管理功能改造、对账功能、收入退付、划款业务处理、与电子凭证汇聚子系统对接、迁移历史数据等功能。 1.具备所有功能得10分； 2.每缺失一项功能扣1分，直到扣完为止。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数据安全保障方案</w:t>
            </w:r>
          </w:p>
        </w:tc>
        <w:tc>
          <w:tcPr>
            <w:tcW w:type="dxa" w:w="2492"/>
          </w:tcPr>
          <w:p>
            <w:pPr>
              <w:pStyle w:val="null3"/>
              <w:jc w:val="both"/>
            </w:pPr>
            <w:r>
              <w:rPr>
                <w:rFonts w:ascii="仿宋_GB2312" w:hAnsi="仿宋_GB2312" w:cs="仿宋_GB2312" w:eastAsia="仿宋_GB2312"/>
              </w:rPr>
              <w:t>投标人全面分析数据安全需求，提供数据安全保障方案，提出数据安全建议，响应内容应满足采购需求。 1.有完全满足采购需求的数据安全保障方案得2分，部分满足采购需求的数据安全保障方案得1分，不提供不得分； 2.有完全针对本项目的数据安全建议得2分，部分针对本项目的数据安全建议得1分，不提供不得分。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实施方案</w:t>
            </w:r>
          </w:p>
        </w:tc>
        <w:tc>
          <w:tcPr>
            <w:tcW w:type="dxa" w:w="2492"/>
          </w:tcPr>
          <w:p>
            <w:pPr>
              <w:pStyle w:val="null3"/>
              <w:jc w:val="both"/>
            </w:pPr>
            <w:r>
              <w:rPr>
                <w:rFonts w:ascii="仿宋_GB2312" w:hAnsi="仿宋_GB2312" w:cs="仿宋_GB2312" w:eastAsia="仿宋_GB2312"/>
              </w:rPr>
              <w:t>投标人提供满足采购需求的内容全面的实施方案，包括工作分解结构与进度计划、质量保证、风险管控、组织架构、测试、验收、交付物、关键里程碑等方面内容和培训方案。 1.有全面的实施方案得4分，每缺失一小点内容扣0.5分，扣完为止； 2.有线上线下等多种培训方式，培训次数达3次及以上的培训方案得2分；有线上线下等多种培训方式，培训次数1-2次得1分，其余不得分。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系统演示</w:t>
            </w:r>
          </w:p>
        </w:tc>
        <w:tc>
          <w:tcPr>
            <w:tcW w:type="dxa" w:w="2492"/>
          </w:tcPr>
          <w:p>
            <w:pPr>
              <w:pStyle w:val="null3"/>
              <w:jc w:val="both"/>
            </w:pPr>
            <w:r>
              <w:rPr>
                <w:rFonts w:ascii="仿宋_GB2312" w:hAnsi="仿宋_GB2312" w:cs="仿宋_GB2312" w:eastAsia="仿宋_GB2312"/>
              </w:rPr>
              <w:t>投标要求提供系统演示，不演示不得分，投标人进行合理演说，语言简练。评标现场无网络，请投标人自带演示设备，现场系统演示时间控制在20分钟内。投标人须对以下内容进行演示： （1）非税收入调账功能； （2）非税收入退付功能； （3）非税收入对账功能； （4）通过非税收入子账户开具一般交款书功能； 以上演示内容，总分最高得20分： 1.采用真实案例或系统原型进行演示，演示内容完全满足招标需求，每个演示点得5分； 2.采用真实案例或系统原型进行演示，演示内容部分满足招标需求，每个演示点得2分； 3.未满足招标需求不得分。 注：演示功能以招标文件中建设需求为基准。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自定义格式</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企业管理服务能力</w:t>
            </w:r>
          </w:p>
        </w:tc>
        <w:tc>
          <w:tcPr>
            <w:tcW w:type="dxa" w:w="2492"/>
          </w:tcPr>
          <w:p>
            <w:pPr>
              <w:pStyle w:val="null3"/>
              <w:jc w:val="both"/>
            </w:pPr>
            <w:r>
              <w:rPr>
                <w:rFonts w:ascii="仿宋_GB2312" w:hAnsi="仿宋_GB2312" w:cs="仿宋_GB2312" w:eastAsia="仿宋_GB2312"/>
              </w:rPr>
              <w:t>1.投标人具有 ISO20000 信息技术服务管理体系认证证书。 2.投标人具有 ISO9001 质量管理体系认证证书。 3.投标人具有 ISO27001 信息安全管理体系认证证书。 4.投标人具有 CMMI 三级或以上资质证书。 5.投标人具有 ITSS 信息技术服务标准符合性证书。 以上证书每提供一项得1分，满分4分。 须提供有效期内的证书扫描件加盖公章，否则不得分。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项目经验</w:t>
            </w:r>
          </w:p>
        </w:tc>
        <w:tc>
          <w:tcPr>
            <w:tcW w:type="dxa" w:w="2492"/>
          </w:tcPr>
          <w:p>
            <w:pPr>
              <w:pStyle w:val="null3"/>
              <w:jc w:val="both"/>
            </w:pPr>
            <w:r>
              <w:rPr>
                <w:rFonts w:ascii="仿宋_GB2312" w:hAnsi="仿宋_GB2312" w:cs="仿宋_GB2312" w:eastAsia="仿宋_GB2312"/>
              </w:rPr>
              <w:t>2020年1月1日至今与本项目服务需求类似的开发业绩。每提供一个得1分，共4分。 须提供盖章合同（扫描件），证明材料均不得遮挡涂黑，否则不得分。 注：包括合同金额、双方名称及盖章、合同服务内容，业绩认定日期以合同签订日期为准。</w:t>
            </w:r>
          </w:p>
        </w:tc>
        <w:tc>
          <w:tcPr>
            <w:tcW w:type="dxa" w:w="831"/>
          </w:tcPr>
          <w:p>
            <w:pPr>
              <w:pStyle w:val="null3"/>
              <w:jc w:val="right"/>
            </w:pPr>
            <w:r>
              <w:rPr>
                <w:rFonts w:ascii="仿宋_GB2312" w:hAnsi="仿宋_GB2312" w:cs="仿宋_GB2312" w:eastAsia="仿宋_GB2312"/>
              </w:rPr>
              <w:t>4.0000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技术及产品实力</w:t>
            </w:r>
          </w:p>
        </w:tc>
        <w:tc>
          <w:tcPr>
            <w:tcW w:type="dxa" w:w="2492"/>
          </w:tcPr>
          <w:p>
            <w:pPr>
              <w:pStyle w:val="null3"/>
              <w:jc w:val="both"/>
            </w:pPr>
            <w:r>
              <w:rPr>
                <w:rFonts w:ascii="仿宋_GB2312" w:hAnsi="仿宋_GB2312" w:cs="仿宋_GB2312" w:eastAsia="仿宋_GB2312"/>
              </w:rPr>
              <w:t>1.投标人提供自主知识产权的财政系统类软件著作权证书得5分。 2.投标人提供自主知识产权的非税管理类软件著作权证书得5分。 备注：须提供开标前国家版权局颁发获得的软件著作权证书或专利证书的扫描件加盖公章，否则不得分。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项目负责人</w:t>
            </w:r>
          </w:p>
        </w:tc>
        <w:tc>
          <w:tcPr>
            <w:tcW w:type="dxa" w:w="2492"/>
          </w:tcPr>
          <w:p>
            <w:pPr>
              <w:pStyle w:val="null3"/>
              <w:jc w:val="both"/>
            </w:pPr>
            <w:r>
              <w:rPr>
                <w:rFonts w:ascii="仿宋_GB2312" w:hAnsi="仿宋_GB2312" w:cs="仿宋_GB2312" w:eastAsia="仿宋_GB2312"/>
              </w:rPr>
              <w:t>1.项目负责人具备信息系统项目管理师证书高级证书或IT服务项目经理，得1分。 2.项目负责人应具备信息化行业5年及以上相关工作经验，提供用户证明文件，得1分。 须提供相应证书（扫描件）、2025年1月至今任意3个月的社保缴纳的证明（扫描件）、用户单位出具的项目负责人项目工作经验证明，否则不得分。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项目团队要求</w:t>
            </w:r>
          </w:p>
        </w:tc>
        <w:tc>
          <w:tcPr>
            <w:tcW w:type="dxa" w:w="2492"/>
          </w:tcPr>
          <w:p>
            <w:pPr>
              <w:pStyle w:val="null3"/>
              <w:jc w:val="both"/>
            </w:pPr>
            <w:r>
              <w:rPr>
                <w:rFonts w:ascii="仿宋_GB2312" w:hAnsi="仿宋_GB2312" w:cs="仿宋_GB2312" w:eastAsia="仿宋_GB2312"/>
              </w:rPr>
              <w:t>1.投标人须承诺项目团队人数不少于5人，且拟提供的项目团队人员分工明确，提供承诺函（格式自拟，加盖公章）的得2分，未提供不得分。 2.投标人项目团队中技术负责人具有系统规划与管理师高级证书或系统分析师高级证书或系统架构设计师高级证书或信息系统项目管理师证书高级证书的，得2分。 3.投标人项目团队成员中具有信息系统管理工程师证书、数据库系统工程师证书、软件设计师证书、信息注册安全专业人员（CISP）证书、软件测评师证书，每提供1人（具有以上证书之一）得1分，最高得8分。 须提供相应证书扫描件、团队所有人员须提供2025年1月至今任意3个月的社保缴纳的证明(扫描件)，加盖公章，否则不得分。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自定义格式</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自定义格式</w:t>
            </w:r>
          </w:p>
        </w:tc>
      </w:tr>
    </w:tbl>
    <w:p>
      <w:pPr>
        <w:pStyle w:val="null3"/>
        <w:jc w:val="both"/>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技术部分46.00分</w:t>
            </w:r>
          </w:p>
          <w:p>
            <w:pPr>
              <w:pStyle w:val="null3"/>
              <w:jc w:val="both"/>
            </w:pPr>
            <w:r>
              <w:rPr>
                <w:rFonts w:ascii="仿宋_GB2312" w:hAnsi="仿宋_GB2312" w:cs="仿宋_GB2312" w:eastAsia="仿宋_GB2312"/>
              </w:rPr>
              <w:t>商务部分44.00分</w:t>
            </w:r>
          </w:p>
          <w:p>
            <w:pPr>
              <w:pStyle w:val="null3"/>
              <w:jc w:val="both"/>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项目理解和分析</w:t>
            </w:r>
          </w:p>
        </w:tc>
        <w:tc>
          <w:tcPr>
            <w:tcW w:type="dxa" w:w="2492"/>
          </w:tcPr>
          <w:p>
            <w:pPr>
              <w:pStyle w:val="null3"/>
              <w:jc w:val="both"/>
            </w:pPr>
            <w:r>
              <w:rPr>
                <w:rFonts w:ascii="仿宋_GB2312" w:hAnsi="仿宋_GB2312" w:cs="仿宋_GB2312" w:eastAsia="仿宋_GB2312"/>
              </w:rPr>
              <w:t>投标人提供对本项目的工作内容和工作目标的理解。理解和分析应满足采购需求。 1.根据上述要求，投标文件中该项响应内容完全满足采购需求得12分； 2.根据上述要求，投标文件中该项响应内容不完全满足采购需求得6分； 3.不提供不得分。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重难点分析</w:t>
            </w:r>
          </w:p>
        </w:tc>
        <w:tc>
          <w:tcPr>
            <w:tcW w:type="dxa" w:w="2492"/>
          </w:tcPr>
          <w:p>
            <w:pPr>
              <w:pStyle w:val="null3"/>
              <w:jc w:val="both"/>
            </w:pPr>
            <w:r>
              <w:rPr>
                <w:rFonts w:ascii="仿宋_GB2312" w:hAnsi="仿宋_GB2312" w:cs="仿宋_GB2312" w:eastAsia="仿宋_GB2312"/>
              </w:rPr>
              <w:t>投标人提供对本项目的工作内容和工作目标的理解，工作重难点的解读进行答疑，分析及解答应满足采购需求。 1.方案中有完全满足采购需求的工作重难点分析得3分，不提供不得分； 2.根据方案中提出的测评重难点，方案中有针对所有工作重难点分析得3分，总体设计中有针对部分工作重难点分析得2分，不提供不得分。 3.根据方案中提出的测评重难点，方案中有针对所有工作重难点解答得3分，总体设计中有针对部分工作重难点解答得2分，不提供不得分。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技术服务方案</w:t>
            </w:r>
          </w:p>
        </w:tc>
        <w:tc>
          <w:tcPr>
            <w:tcW w:type="dxa" w:w="2492"/>
          </w:tcPr>
          <w:p>
            <w:pPr>
              <w:pStyle w:val="null3"/>
              <w:jc w:val="both"/>
            </w:pPr>
            <w:r>
              <w:rPr>
                <w:rFonts w:ascii="仿宋_GB2312" w:hAnsi="仿宋_GB2312" w:cs="仿宋_GB2312" w:eastAsia="仿宋_GB2312"/>
              </w:rPr>
              <w:t>1.投标人按照投标文件针对等保测评项目流程、实施计划、测评方法、等保测评问题完整的整改咨询建议等响应情况进行评审打分，服务方案应满足采购需求。 总分8分，具体如下： （1）服务方案中存在满足采购需求的等保测评项目流程得2分，存在不完全满足采购需求的等保测评项目流程得1分，不提供不得分； （2）服务方案中存在满足采购需求的实施计划得2分，存在不完全满足采购需求的实施计划得1分，不提供不得分； （3）服务方案中存在满足采购需求的测评方法得2分，存在不完全满足采购需求的测评方法得1分，不提供不得分； （4）服务方案中存在满足采购需求的等保测评问题整改咨询建议得2分，存在不完全满足采购需求的等保测评问题整改咨询建议得1分，不提供不得分； 2.投标人针对代码审计服务需求提出详细的服务流程说明。主要包括系统代码审计内容综合评审，技术方案中对各项服务内容、服务流程等进行详细介绍、有详细的工作方法和思路，满足采购需求。总分6分，具体如下： （1）技术服务方案中存在完全满足采购需求的各项服务内容的得2分，存在不完全满足采购需求的各项服务内容的得1分，不提供不得分； （2）技术服务方案中存在完全满足采购需求的对各项服务的服务流程得2分，存在不完全满足采购需求的对各项服务的服务流程得1分，不提供不得分； （3）技术服务方案中存在完全满足采购需求的详细的工作方法和思路得2分，存在不完全满足采购需求的详细的工作方法和思路得1分，不提供不得分。 3.投标人按照投标文件针对渗透测试内容、测试方法、测试流程、测试步骤等响应情况进行评审打分，服务方案应满足采购需求。总分8分，具体如下： （1）服务方案中存在满足采购需求的测试内容得2分，存在不完全满足采购需求的测试内容的得1分，不提供不得分； （2）服务方案中存在满足采购需求的测试方法得2分，存在不完全满足采购需求的测试方法得1分，不提供不得分； （3）服务方案中存在满足采购需求的测试流程得2分，存在不完全满足采购需求的测试流程得1分，不提供不得分； （4）服务方案中存在满足采购需求的测试步骤得2分，存在不完全满足采购需求的测试步骤得1分，不提供不得分；</w:t>
            </w:r>
          </w:p>
        </w:tc>
        <w:tc>
          <w:tcPr>
            <w:tcW w:type="dxa" w:w="831"/>
          </w:tcPr>
          <w:p>
            <w:pPr>
              <w:pStyle w:val="null3"/>
              <w:jc w:val="right"/>
            </w:pPr>
            <w:r>
              <w:rPr>
                <w:rFonts w:ascii="仿宋_GB2312" w:hAnsi="仿宋_GB2312" w:cs="仿宋_GB2312" w:eastAsia="仿宋_GB2312"/>
              </w:rPr>
              <w:t>22.0000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服务工具的先进性与应用广泛性</w:t>
            </w:r>
          </w:p>
        </w:tc>
        <w:tc>
          <w:tcPr>
            <w:tcW w:type="dxa" w:w="2492"/>
          </w:tcPr>
          <w:p>
            <w:pPr>
              <w:pStyle w:val="null3"/>
              <w:jc w:val="both"/>
            </w:pPr>
            <w:r>
              <w:rPr>
                <w:rFonts w:ascii="仿宋_GB2312" w:hAnsi="仿宋_GB2312" w:cs="仿宋_GB2312" w:eastAsia="仿宋_GB2312"/>
              </w:rPr>
              <w:t>投标人具有安全评估服务工具，工具具备源代码审计和漏洞评估能力，同时具备得3分；工具具备代码审计或漏洞评估能力得1分，不满足不得分。 须提供相关证书（扫描件）及产品相关功能截图。</w:t>
            </w:r>
          </w:p>
        </w:tc>
        <w:tc>
          <w:tcPr>
            <w:tcW w:type="dxa" w:w="831"/>
          </w:tcPr>
          <w:p>
            <w:pPr>
              <w:pStyle w:val="null3"/>
              <w:jc w:val="right"/>
            </w:pPr>
            <w:r>
              <w:rPr>
                <w:rFonts w:ascii="仿宋_GB2312" w:hAnsi="仿宋_GB2312" w:cs="仿宋_GB2312" w:eastAsia="仿宋_GB2312"/>
              </w:rPr>
              <w:t>3.0000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自定义格式</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技术人员实力</w:t>
            </w:r>
          </w:p>
        </w:tc>
        <w:tc>
          <w:tcPr>
            <w:tcW w:type="dxa" w:w="2492"/>
          </w:tcPr>
          <w:p>
            <w:pPr>
              <w:pStyle w:val="null3"/>
              <w:jc w:val="both"/>
            </w:pPr>
            <w:r>
              <w:rPr>
                <w:rFonts w:ascii="仿宋_GB2312" w:hAnsi="仿宋_GB2312" w:cs="仿宋_GB2312" w:eastAsia="仿宋_GB2312"/>
              </w:rPr>
              <w:t>根据投标人在国内漏洞平台（CMVD、CNNVD、补天等）提交审计报告数量评分，30个及以上得2分，1-29个得1分，其他不得分。 须提供相应证明文件，否则不得分。以上资料皆为扫描件。</w:t>
            </w:r>
          </w:p>
        </w:tc>
        <w:tc>
          <w:tcPr>
            <w:tcW w:type="dxa" w:w="831"/>
          </w:tcPr>
          <w:p>
            <w:pPr>
              <w:pStyle w:val="null3"/>
              <w:jc w:val="right"/>
            </w:pPr>
            <w:r>
              <w:rPr>
                <w:rFonts w:ascii="仿宋_GB2312" w:hAnsi="仿宋_GB2312" w:cs="仿宋_GB2312" w:eastAsia="仿宋_GB2312"/>
              </w:rPr>
              <w:t>2.0000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投标人资质</w:t>
            </w:r>
          </w:p>
        </w:tc>
        <w:tc>
          <w:tcPr>
            <w:tcW w:type="dxa" w:w="2492"/>
          </w:tcPr>
          <w:p>
            <w:pPr>
              <w:pStyle w:val="null3"/>
              <w:jc w:val="both"/>
            </w:pPr>
            <w:r>
              <w:rPr>
                <w:rFonts w:ascii="仿宋_GB2312" w:hAnsi="仿宋_GB2312" w:cs="仿宋_GB2312" w:eastAsia="仿宋_GB2312"/>
              </w:rPr>
              <w:t>投标人具有IS09001质量管理体系认证证书、ISO20000信息技术服务管理体系认证证书、ISO27001信息安全管理体系认证证书，每提供一项证书的得3分，满分9分。 须提供有效期内的证书（扫描件），否则不得分。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团队能力</w:t>
            </w:r>
          </w:p>
        </w:tc>
        <w:tc>
          <w:tcPr>
            <w:tcW w:type="dxa" w:w="2492"/>
          </w:tcPr>
          <w:p>
            <w:pPr>
              <w:pStyle w:val="null3"/>
              <w:jc w:val="both"/>
            </w:pPr>
            <w:r>
              <w:rPr>
                <w:rFonts w:ascii="仿宋_GB2312" w:hAnsi="仿宋_GB2312" w:cs="仿宋_GB2312" w:eastAsia="仿宋_GB2312"/>
              </w:rPr>
              <w:t>拟派项目团队成员具有以下证书： （1）项目管理专业人士资格认证(PMP)证书； （2）信息系统项目管理师证书； （3）注册网络安全测评专业人员（NSATP）证书； （4）注册信息安全专业人员（CISP）证书； （5）高级或中级信息安全等级测评师资格； （6）信息安全保障人员认证证书（CISAW）； （7）信息安全管理师（CIIP-D）证书； （8）数据安全能力成熟度模型测评师证书（DSMM）；（9）信息安全工程师。 每具有1个证书得3分，同一人具有多项证书可重复得分，最高得18分。须提供相应证书、团队所有人员须提供2025年1月至今任意3个月在投标单位社保缴纳的证明，否则不得分。以上资料皆为扫描件。</w:t>
            </w:r>
          </w:p>
        </w:tc>
        <w:tc>
          <w:tcPr>
            <w:tcW w:type="dxa" w:w="831"/>
          </w:tcPr>
          <w:p>
            <w:pPr>
              <w:pStyle w:val="null3"/>
              <w:jc w:val="right"/>
            </w:pPr>
            <w:r>
              <w:rPr>
                <w:rFonts w:ascii="仿宋_GB2312" w:hAnsi="仿宋_GB2312" w:cs="仿宋_GB2312" w:eastAsia="仿宋_GB2312"/>
              </w:rPr>
              <w:t>18.0000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项目业绩</w:t>
            </w:r>
          </w:p>
        </w:tc>
        <w:tc>
          <w:tcPr>
            <w:tcW w:type="dxa" w:w="2492"/>
          </w:tcPr>
          <w:p>
            <w:pPr>
              <w:pStyle w:val="null3"/>
              <w:jc w:val="both"/>
            </w:pPr>
            <w:r>
              <w:rPr>
                <w:rFonts w:ascii="仿宋_GB2312" w:hAnsi="仿宋_GB2312" w:cs="仿宋_GB2312" w:eastAsia="仿宋_GB2312"/>
              </w:rPr>
              <w:t>投标人2022年1月1日至今承担过信息化项目等保测评服务或代码审计服务或渗透测试服务的，每有一个合同得3分，最高得15分。 须提供合同（扫描件），包括合同金额、双方名称及盖章、合同服务内容，业绩认定日期以合同签订日期为准，所有材料均不得遮挡涂黑，否则不得分。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自定义格式</w:t>
            </w:r>
          </w:p>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06"/>
            <w:gridSpan w:val="6"/>
          </w:tcPr>
          <w:p>
            <w:pPr>
              <w:pStyle w:val="null3"/>
              <w:jc w:val="both"/>
            </w:pPr>
            <w:r>
              <w:rPr>
                <w:rFonts w:ascii="仿宋_GB2312" w:hAnsi="仿宋_GB2312" w:cs="仿宋_GB2312" w:eastAsia="仿宋_GB2312"/>
              </w:rPr>
              <w:t xml:space="preserve"> 无</w:t>
            </w:r>
          </w:p>
        </w:tc>
      </w:tr>
    </w:tbl>
    <w:p>
      <w:pPr>
        <w:pStyle w:val="null3"/>
        <w:jc w:val="both"/>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技术部分32.00分</w:t>
            </w:r>
          </w:p>
          <w:p>
            <w:pPr>
              <w:pStyle w:val="null3"/>
              <w:jc w:val="both"/>
            </w:pPr>
            <w:r>
              <w:rPr>
                <w:rFonts w:ascii="仿宋_GB2312" w:hAnsi="仿宋_GB2312" w:cs="仿宋_GB2312" w:eastAsia="仿宋_GB2312"/>
              </w:rPr>
              <w:t>商务部分58.00分</w:t>
            </w:r>
          </w:p>
          <w:p>
            <w:pPr>
              <w:pStyle w:val="null3"/>
              <w:jc w:val="both"/>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对项目测评的理解及熟悉程度</w:t>
            </w:r>
          </w:p>
        </w:tc>
        <w:tc>
          <w:tcPr>
            <w:tcW w:type="dxa" w:w="2492"/>
          </w:tcPr>
          <w:p>
            <w:pPr>
              <w:pStyle w:val="null3"/>
              <w:jc w:val="both"/>
            </w:pPr>
            <w:r>
              <w:rPr>
                <w:rFonts w:ascii="仿宋_GB2312" w:hAnsi="仿宋_GB2312" w:cs="仿宋_GB2312" w:eastAsia="仿宋_GB2312"/>
              </w:rPr>
              <w:t>按照投标文件针对项目背景、建设目标、测评要求的理解响应情况进行评审打分，理解应满足采购需求 。 1.根据上述要求，投标文件中该项响应内容完全满足采购需求得7分； 2.根据上述要求，投标文件中该项响应内容不完全满足采购需求得4分； 3.不提供不得分。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项目重点难点分析和应对措施及相关的合理化建议</w:t>
            </w:r>
          </w:p>
        </w:tc>
        <w:tc>
          <w:tcPr>
            <w:tcW w:type="dxa" w:w="2492"/>
          </w:tcPr>
          <w:p>
            <w:pPr>
              <w:pStyle w:val="null3"/>
              <w:jc w:val="both"/>
            </w:pPr>
            <w:r>
              <w:rPr>
                <w:rFonts w:ascii="仿宋_GB2312" w:hAnsi="仿宋_GB2312" w:cs="仿宋_GB2312" w:eastAsia="仿宋_GB2312"/>
              </w:rPr>
              <w:t>投标人提供对项目的测评重点难点分析及解决措施，分析及措施应满足采购需求。 方案中有完全满足采购需求的测评重难点分析及解决措施，每提供一个测评重难点分析及对应的解决措施得2分，满分8分。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项目实施策略</w:t>
            </w:r>
          </w:p>
        </w:tc>
        <w:tc>
          <w:tcPr>
            <w:tcW w:type="dxa" w:w="2492"/>
          </w:tcPr>
          <w:p>
            <w:pPr>
              <w:pStyle w:val="null3"/>
              <w:jc w:val="both"/>
            </w:pPr>
            <w:r>
              <w:rPr>
                <w:rFonts w:ascii="仿宋_GB2312" w:hAnsi="仿宋_GB2312" w:cs="仿宋_GB2312" w:eastAsia="仿宋_GB2312"/>
              </w:rPr>
              <w:t>按照投标文件针对测评内容、测评方法、测评流程、测评步骤等策略的响应情况进行评审打分，实施策略应满足采购需求。 1.实施策略中存在满足采购需求的测试内容得2分； 2.实施策略中存在满足采购需求的测试方法得1分； 3.实施策略中存在满足采购需求的测试流程得1分； 4.实施策略中存在满足采购需求的测试步骤得1分。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项目管理制度及措施</w:t>
            </w:r>
          </w:p>
        </w:tc>
        <w:tc>
          <w:tcPr>
            <w:tcW w:type="dxa" w:w="2492"/>
          </w:tcPr>
          <w:p>
            <w:pPr>
              <w:pStyle w:val="null3"/>
              <w:jc w:val="both"/>
            </w:pPr>
            <w:r>
              <w:rPr>
                <w:rFonts w:ascii="仿宋_GB2312" w:hAnsi="仿宋_GB2312" w:cs="仿宋_GB2312" w:eastAsia="仿宋_GB2312"/>
              </w:rPr>
              <w:t>根据投标文件中项目管理制度、流程、措施、方法进行评审打分，制度及措施应满足采购需求 。 方案完全满足上述要求得4分；每有一项内容缺失或不满足采购需求扣1分，扣完为止。</w:t>
            </w:r>
          </w:p>
        </w:tc>
        <w:tc>
          <w:tcPr>
            <w:tcW w:type="dxa" w:w="831"/>
          </w:tcPr>
          <w:p>
            <w:pPr>
              <w:pStyle w:val="null3"/>
              <w:jc w:val="right"/>
            </w:pPr>
            <w:r>
              <w:rPr>
                <w:rFonts w:ascii="仿宋_GB2312" w:hAnsi="仿宋_GB2312" w:cs="仿宋_GB2312" w:eastAsia="仿宋_GB2312"/>
              </w:rPr>
              <w:t>4.0000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质量管理</w:t>
            </w:r>
          </w:p>
        </w:tc>
        <w:tc>
          <w:tcPr>
            <w:tcW w:type="dxa" w:w="2492"/>
          </w:tcPr>
          <w:p>
            <w:pPr>
              <w:pStyle w:val="null3"/>
              <w:jc w:val="both"/>
            </w:pPr>
            <w:r>
              <w:rPr>
                <w:rFonts w:ascii="仿宋_GB2312" w:hAnsi="仿宋_GB2312" w:cs="仿宋_GB2312" w:eastAsia="仿宋_GB2312"/>
              </w:rPr>
              <w:t>提供满足采购需求的质量保障体系，完善的质量保障措施，有对项目质量的承诺（提供承诺函并加盖公章），提供规范化的项目文档。 1.方案中存在质量保障体系得2分，不提供不得分； 2.方案中存在满足采购需求的质量保障措施得2分，不提供不得分； 3.方案中存在对项目质量的承诺（提供承诺函并加盖公章）得1分，不提供不得分。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风险管理</w:t>
            </w:r>
          </w:p>
        </w:tc>
        <w:tc>
          <w:tcPr>
            <w:tcW w:type="dxa" w:w="2492"/>
          </w:tcPr>
          <w:p>
            <w:pPr>
              <w:pStyle w:val="null3"/>
              <w:jc w:val="both"/>
            </w:pPr>
            <w:r>
              <w:rPr>
                <w:rFonts w:ascii="仿宋_GB2312" w:hAnsi="仿宋_GB2312" w:cs="仿宋_GB2312" w:eastAsia="仿宋_GB2312"/>
              </w:rPr>
              <w:t>能够识别风险且有风险应对措施者，按三个档次进行评审 。 1.根据上述要求，方案中存在风险识别及风险应对措施得2分； 2.根据上述要求，方案中存在满足采购需求的管理措施得2分； 3.不提供不得分。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自定义格式</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团队能力</w:t>
            </w:r>
          </w:p>
        </w:tc>
        <w:tc>
          <w:tcPr>
            <w:tcW w:type="dxa" w:w="2492"/>
          </w:tcPr>
          <w:p>
            <w:pPr>
              <w:pStyle w:val="null3"/>
              <w:jc w:val="both"/>
            </w:pPr>
            <w:r>
              <w:rPr>
                <w:rFonts w:ascii="仿宋_GB2312" w:hAnsi="仿宋_GB2312" w:cs="仿宋_GB2312" w:eastAsia="仿宋_GB2312"/>
              </w:rPr>
              <w:t>拟派项目团队成员具有以下证书： （1）项目管理专业人士资格认证(PMP)证书； （2）信息系统项目管理师证书； （3）商用密码应用安全性评估从业人员考核合格的证明文件； （4）注册信息安全专业人员（CISP）证书； （5）信息系统审计师（CISA）； （6）信息安全保障人员认证证书（CISAW）。 每具有1个证书得3分，同一人具有多项证书可重复得分，最高得30分 。 须提供相应证书、团队所有人员须提供2025年1月至今任意3个月在投标单位社保缴纳的证明，否则不得分。以上资料皆为扫描件。</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实验环境</w:t>
            </w:r>
          </w:p>
        </w:tc>
        <w:tc>
          <w:tcPr>
            <w:tcW w:type="dxa" w:w="2492"/>
          </w:tcPr>
          <w:p>
            <w:pPr>
              <w:pStyle w:val="null3"/>
              <w:jc w:val="both"/>
            </w:pPr>
            <w:r>
              <w:rPr>
                <w:rFonts w:ascii="仿宋_GB2312" w:hAnsi="仿宋_GB2312" w:cs="仿宋_GB2312" w:eastAsia="仿宋_GB2312"/>
              </w:rPr>
              <w:t>投标人具有商用密码设备搭建的模拟仿真实验环境，每提供一种商用密码设备得2分，最高得4分。 须提供产品采购合同或发票（扫描件）或国家版权局颁发的软件著作权证书。</w:t>
            </w:r>
          </w:p>
        </w:tc>
        <w:tc>
          <w:tcPr>
            <w:tcW w:type="dxa" w:w="831"/>
          </w:tcPr>
          <w:p>
            <w:pPr>
              <w:pStyle w:val="null3"/>
              <w:jc w:val="right"/>
            </w:pPr>
            <w:r>
              <w:rPr>
                <w:rFonts w:ascii="仿宋_GB2312" w:hAnsi="仿宋_GB2312" w:cs="仿宋_GB2312" w:eastAsia="仿宋_GB2312"/>
              </w:rPr>
              <w:t>4.0000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综合实力</w:t>
            </w:r>
          </w:p>
        </w:tc>
        <w:tc>
          <w:tcPr>
            <w:tcW w:type="dxa" w:w="2492"/>
          </w:tcPr>
          <w:p>
            <w:pPr>
              <w:pStyle w:val="null3"/>
              <w:jc w:val="both"/>
            </w:pPr>
            <w:r>
              <w:rPr>
                <w:rFonts w:ascii="仿宋_GB2312" w:hAnsi="仿宋_GB2312" w:cs="仿宋_GB2312" w:eastAsia="仿宋_GB2312"/>
              </w:rPr>
              <w:t>投标人具有ISO9001质量管理体系认证证书、ISO/IEC27001信息安全管理体系认证证书、ISO/IEC20000-1服务管理体系认证证书。每具有一项得3分，满分9分。须提供有效期内的证书（扫描件），否则不得分。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vMerge/>
          </w:tcPr>
          <w:p/>
        </w:tc>
        <w:tc>
          <w:tcPr>
            <w:tcW w:type="dxa" w:w="1661"/>
          </w:tcPr>
          <w:p>
            <w:pPr>
              <w:pStyle w:val="null3"/>
              <w:jc w:val="both"/>
            </w:pPr>
            <w:r>
              <w:rPr>
                <w:rFonts w:ascii="仿宋_GB2312" w:hAnsi="仿宋_GB2312" w:cs="仿宋_GB2312" w:eastAsia="仿宋_GB2312"/>
              </w:rPr>
              <w:t>项目业绩</w:t>
            </w:r>
          </w:p>
        </w:tc>
        <w:tc>
          <w:tcPr>
            <w:tcW w:type="dxa" w:w="2492"/>
          </w:tcPr>
          <w:p>
            <w:pPr>
              <w:pStyle w:val="null3"/>
              <w:jc w:val="both"/>
            </w:pPr>
            <w:r>
              <w:rPr>
                <w:rFonts w:ascii="仿宋_GB2312" w:hAnsi="仿宋_GB2312" w:cs="仿宋_GB2312" w:eastAsia="仿宋_GB2312"/>
              </w:rPr>
              <w:t>投标人2022年1月1日至今承担过信息化项目密码测评服务的，每有一个合同得3分，最高得15分 。 须提供合同（扫描件），包括合同金额、双方名称及盖章、合同服务内容，业绩认定日期以合同签订日期为准，所有材料均不得遮挡涂黑，否则不得分。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自定义格式</w:t>
            </w:r>
          </w:p>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自定义格式</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价格扣除评审内容</w:t>
            </w:r>
          </w:p>
        </w:tc>
        <w:tc>
          <w:tcPr>
            <w:tcW w:type="dxa" w:w="1661"/>
          </w:tcPr>
          <w:p>
            <w:pPr>
              <w:pStyle w:val="null3"/>
              <w:jc w:val="both"/>
            </w:pPr>
            <w:r>
              <w:rPr>
                <w:rFonts w:ascii="仿宋_GB2312" w:hAnsi="仿宋_GB2312" w:cs="仿宋_GB2312" w:eastAsia="仿宋_GB2312"/>
              </w:rPr>
              <w:t xml:space="preserve"> 适用情形</w:t>
            </w:r>
          </w:p>
        </w:tc>
        <w:tc>
          <w:tcPr>
            <w:tcW w:type="dxa" w:w="831"/>
          </w:tcPr>
          <w:p>
            <w:pPr>
              <w:pStyle w:val="null3"/>
              <w:jc w:val="both"/>
            </w:pPr>
            <w:r>
              <w:rPr>
                <w:rFonts w:ascii="仿宋_GB2312" w:hAnsi="仿宋_GB2312" w:cs="仿宋_GB2312" w:eastAsia="仿宋_GB2312"/>
              </w:rPr>
              <w:t xml:space="preserve"> 扣除比例（C1）</w:t>
            </w:r>
          </w:p>
        </w:tc>
        <w:tc>
          <w:tcPr>
            <w:tcW w:type="dxa" w:w="1661"/>
          </w:tcPr>
          <w:p>
            <w:pPr>
              <w:pStyle w:val="null3"/>
              <w:jc w:val="both"/>
            </w:pPr>
            <w:r>
              <w:rPr>
                <w:rFonts w:ascii="仿宋_GB2312" w:hAnsi="仿宋_GB2312" w:cs="仿宋_GB2312" w:eastAsia="仿宋_GB2312"/>
              </w:rPr>
              <w:t xml:space="preserve"> 具体标准和要求</w:t>
            </w:r>
          </w:p>
        </w:tc>
        <w:tc>
          <w:tcPr>
            <w:tcW w:type="dxa" w:w="1661"/>
          </w:tcPr>
          <w:p>
            <w:pPr>
              <w:pStyle w:val="null3"/>
              <w:jc w:val="both"/>
            </w:pPr>
            <w:r>
              <w:rPr>
                <w:rFonts w:ascii="仿宋_GB2312" w:hAnsi="仿宋_GB2312" w:cs="仿宋_GB2312" w:eastAsia="仿宋_GB2312"/>
              </w:rPr>
              <w:t xml:space="preserve"> 关联投标（响应）文件格式文件</w:t>
            </w:r>
          </w:p>
        </w:tc>
      </w:tr>
      <w:tr>
        <w:tc>
          <w:tcPr>
            <w:tcW w:type="dxa" w:w="8306"/>
            <w:gridSpan w:val="6"/>
          </w:tcPr>
          <w:p>
            <w:pPr>
              <w:pStyle w:val="null3"/>
              <w:jc w:val="both"/>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HNGP2025-39R</w:t>
      </w:r>
    </w:p>
    <w:p>
      <w:pPr>
        <w:pStyle w:val="null3"/>
        <w:jc w:val="left"/>
      </w:pPr>
      <w:r>
        <w:rPr>
          <w:rFonts w:ascii="仿宋_GB2312" w:hAnsi="仿宋_GB2312" w:cs="仿宋_GB2312" w:eastAsia="仿宋_GB2312"/>
        </w:rPr>
        <w:t>项目名称：</w:t>
      </w:r>
      <w:r>
        <w:rPr>
          <w:rFonts w:ascii="仿宋_GB2312" w:hAnsi="仿宋_GB2312" w:cs="仿宋_GB2312" w:eastAsia="仿宋_GB2312"/>
        </w:rPr>
        <w:t>省电子凭证会计数据标准化平台建设项目(第二次)</w:t>
      </w:r>
    </w:p>
    <w:p>
      <w:pPr>
        <w:pStyle w:val="null3"/>
        <w:jc w:val="left"/>
      </w:pPr>
      <w:r>
        <w:rPr>
          <w:rFonts w:ascii="仿宋_GB2312" w:hAnsi="仿宋_GB2312" w:cs="仿宋_GB2312" w:eastAsia="仿宋_GB2312"/>
        </w:rPr>
        <w:t>采购包：</w:t>
      </w:r>
      <w:r>
        <w:rPr>
          <w:rFonts w:ascii="仿宋_GB2312" w:hAnsi="仿宋_GB2312" w:cs="仿宋_GB2312" w:eastAsia="仿宋_GB2312"/>
        </w:rPr>
        <w:t>2</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服务地点</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C16010302-行业应用软件开发服务</w:t>
            </w:r>
          </w:p>
        </w:tc>
        <w:tc>
          <w:tcPr>
            <w:tcW w:type="dxa" w:w="1038"/>
          </w:tcPr>
          <w:p>
            <w:pPr>
              <w:pStyle w:val="null3"/>
              <w:jc w:val="left"/>
            </w:pPr>
            <w:r>
              <w:rPr>
                <w:rFonts w:ascii="仿宋_GB2312" w:hAnsi="仿宋_GB2312" w:cs="仿宋_GB2312" w:eastAsia="仿宋_GB2312"/>
              </w:rPr>
              <w:t xml:space="preserve"> 1.00套</w:t>
            </w:r>
          </w:p>
        </w:tc>
        <w:tc>
          <w:tcPr>
            <w:tcW w:type="dxa" w:w="1038"/>
          </w:tcPr>
          <w:p>
            <w:pPr>
              <w:pStyle w:val="null3"/>
              <w:jc w:val="left"/>
            </w:pPr>
            <w:r>
              <w:rPr>
                <w:rFonts w:ascii="仿宋_GB2312" w:hAnsi="仿宋_GB2312" w:cs="仿宋_GB2312" w:eastAsia="仿宋_GB2312"/>
              </w:rPr>
              <w:t xml:space="preserve"> 721775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HNGP2025-39R</w:t>
      </w:r>
    </w:p>
    <w:p>
      <w:pPr>
        <w:pStyle w:val="null3"/>
        <w:jc w:val="left"/>
      </w:pPr>
      <w:r>
        <w:rPr>
          <w:rFonts w:ascii="仿宋_GB2312" w:hAnsi="仿宋_GB2312" w:cs="仿宋_GB2312" w:eastAsia="仿宋_GB2312"/>
        </w:rPr>
        <w:t>项目名称：</w:t>
      </w:r>
      <w:r>
        <w:rPr>
          <w:rFonts w:ascii="仿宋_GB2312" w:hAnsi="仿宋_GB2312" w:cs="仿宋_GB2312" w:eastAsia="仿宋_GB2312"/>
        </w:rPr>
        <w:t>省电子凭证会计数据标准化平台建设项目(第二次)</w:t>
      </w:r>
    </w:p>
    <w:p>
      <w:pPr>
        <w:pStyle w:val="null3"/>
        <w:jc w:val="left"/>
      </w:pPr>
      <w:r>
        <w:rPr>
          <w:rFonts w:ascii="仿宋_GB2312" w:hAnsi="仿宋_GB2312" w:cs="仿宋_GB2312" w:eastAsia="仿宋_GB2312"/>
        </w:rPr>
        <w:t>采购包：</w:t>
      </w:r>
      <w:r>
        <w:rPr>
          <w:rFonts w:ascii="仿宋_GB2312" w:hAnsi="仿宋_GB2312" w:cs="仿宋_GB2312" w:eastAsia="仿宋_GB2312"/>
        </w:rPr>
        <w:t>3</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服务地点</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C16010302-行业应用软件开发服务</w:t>
            </w:r>
          </w:p>
        </w:tc>
        <w:tc>
          <w:tcPr>
            <w:tcW w:type="dxa" w:w="1038"/>
          </w:tcPr>
          <w:p>
            <w:pPr>
              <w:pStyle w:val="null3"/>
              <w:jc w:val="left"/>
            </w:pPr>
            <w:r>
              <w:rPr>
                <w:rFonts w:ascii="仿宋_GB2312" w:hAnsi="仿宋_GB2312" w:cs="仿宋_GB2312" w:eastAsia="仿宋_GB2312"/>
              </w:rPr>
              <w:t xml:space="preserve"> 1.00套</w:t>
            </w:r>
          </w:p>
        </w:tc>
        <w:tc>
          <w:tcPr>
            <w:tcW w:type="dxa" w:w="1038"/>
          </w:tcPr>
          <w:p>
            <w:pPr>
              <w:pStyle w:val="null3"/>
              <w:jc w:val="left"/>
            </w:pPr>
            <w:r>
              <w:rPr>
                <w:rFonts w:ascii="仿宋_GB2312" w:hAnsi="仿宋_GB2312" w:cs="仿宋_GB2312" w:eastAsia="仿宋_GB2312"/>
              </w:rPr>
              <w:t xml:space="preserve"> 481700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HNGP2025-39R</w:t>
      </w:r>
    </w:p>
    <w:p>
      <w:pPr>
        <w:pStyle w:val="null3"/>
        <w:jc w:val="left"/>
      </w:pPr>
      <w:r>
        <w:rPr>
          <w:rFonts w:ascii="仿宋_GB2312" w:hAnsi="仿宋_GB2312" w:cs="仿宋_GB2312" w:eastAsia="仿宋_GB2312"/>
        </w:rPr>
        <w:t>项目名称：</w:t>
      </w:r>
      <w:r>
        <w:rPr>
          <w:rFonts w:ascii="仿宋_GB2312" w:hAnsi="仿宋_GB2312" w:cs="仿宋_GB2312" w:eastAsia="仿宋_GB2312"/>
        </w:rPr>
        <w:t>省电子凭证会计数据标准化平台建设项目(第二次)</w:t>
      </w:r>
    </w:p>
    <w:p>
      <w:pPr>
        <w:pStyle w:val="null3"/>
        <w:jc w:val="left"/>
      </w:pPr>
      <w:r>
        <w:rPr>
          <w:rFonts w:ascii="仿宋_GB2312" w:hAnsi="仿宋_GB2312" w:cs="仿宋_GB2312" w:eastAsia="仿宋_GB2312"/>
        </w:rPr>
        <w:t>采购包：</w:t>
      </w:r>
      <w:r>
        <w:rPr>
          <w:rFonts w:ascii="仿宋_GB2312" w:hAnsi="仿宋_GB2312" w:cs="仿宋_GB2312" w:eastAsia="仿宋_GB2312"/>
        </w:rPr>
        <w:t>6</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服务地点</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C16070400-安全运维服务</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250400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HNGP2025-39R</w:t>
      </w:r>
    </w:p>
    <w:p>
      <w:pPr>
        <w:pStyle w:val="null3"/>
        <w:jc w:val="left"/>
      </w:pPr>
      <w:r>
        <w:rPr>
          <w:rFonts w:ascii="仿宋_GB2312" w:hAnsi="仿宋_GB2312" w:cs="仿宋_GB2312" w:eastAsia="仿宋_GB2312"/>
        </w:rPr>
        <w:t>项目名称：</w:t>
      </w:r>
      <w:r>
        <w:rPr>
          <w:rFonts w:ascii="仿宋_GB2312" w:hAnsi="仿宋_GB2312" w:cs="仿宋_GB2312" w:eastAsia="仿宋_GB2312"/>
        </w:rPr>
        <w:t>省电子凭证会计数据标准化平台建设项目(第二次)</w:t>
      </w:r>
    </w:p>
    <w:p>
      <w:pPr>
        <w:pStyle w:val="null3"/>
        <w:jc w:val="left"/>
      </w:pPr>
      <w:r>
        <w:rPr>
          <w:rFonts w:ascii="仿宋_GB2312" w:hAnsi="仿宋_GB2312" w:cs="仿宋_GB2312" w:eastAsia="仿宋_GB2312"/>
        </w:rPr>
        <w:t>采购包：</w:t>
      </w:r>
      <w:r>
        <w:rPr>
          <w:rFonts w:ascii="仿宋_GB2312" w:hAnsi="仿宋_GB2312" w:cs="仿宋_GB2312" w:eastAsia="仿宋_GB2312"/>
        </w:rPr>
        <w:t>8</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服务地点</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C16060000-测试评估认证服务</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120000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详见附件：自定义格式</w:t>
      </w:r>
    </w:p>
    <w:p>
      <w:pPr>
        <w:pStyle w:val="null3"/>
        <w:ind w:firstLine="960"/>
        <w:jc w:val="left"/>
      </w:pPr>
      <w:r>
        <w:rPr>
          <w:rFonts w:ascii="仿宋_GB2312" w:hAnsi="仿宋_GB2312" w:cs="仿宋_GB2312" w:eastAsia="仿宋_GB2312"/>
        </w:rPr>
        <w:t>详见附件：自定义格式</w:t>
      </w:r>
    </w:p>
    <w:p>
      <w:pPr>
        <w:pStyle w:val="null3"/>
        <w:ind w:firstLine="960"/>
        <w:jc w:val="left"/>
      </w:pPr>
      <w:r>
        <w:rPr>
          <w:rFonts w:ascii="仿宋_GB2312" w:hAnsi="仿宋_GB2312" w:cs="仿宋_GB2312" w:eastAsia="仿宋_GB2312"/>
        </w:rPr>
        <w:t>详见附件：自定义格式</w:t>
      </w:r>
    </w:p>
    <w:p>
      <w:pPr>
        <w:pStyle w:val="null3"/>
        <w:ind w:firstLine="960"/>
        <w:jc w:val="left"/>
      </w:pPr>
      <w:r>
        <w:rPr>
          <w:rFonts w:ascii="仿宋_GB2312" w:hAnsi="仿宋_GB2312" w:cs="仿宋_GB2312" w:eastAsia="仿宋_GB2312"/>
        </w:rPr>
        <w:t>详见附件：自定义格式</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 Id="rId5" Target="media/image1.png" Type="http://schemas.openxmlformats.org/officeDocument/2006/relationships/image"/><Relationship Id="rId6" Target="media/image2.png" Type="http://schemas.openxmlformats.org/officeDocument/2006/relationships/image"/><Relationship Id="rId7" Target="media/image3.png" Type="http://schemas.openxmlformats.org/officeDocument/2006/relationships/image"/><Relationship Id="rId8" Target="media/image4.png" Type="http://schemas.openxmlformats.org/officeDocument/2006/relationships/image"/><Relationship Id="rId9"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