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E0D6B">
      <w:pPr>
        <w:pStyle w:val="2"/>
        <w:pageBreakBefore/>
        <w:spacing w:line="480" w:lineRule="auto"/>
        <w:rPr>
          <w:rFonts w:hint="eastAsia" w:hAnsi="宋体"/>
          <w:sz w:val="36"/>
          <w:szCs w:val="36"/>
          <w:highlight w:val="none"/>
        </w:rPr>
      </w:pPr>
      <w:bookmarkStart w:id="0" w:name="_Hlk151394869"/>
      <w:bookmarkStart w:id="1" w:name="_Toc17806"/>
      <w:bookmarkStart w:id="2" w:name="_Toc18508"/>
      <w:bookmarkStart w:id="3" w:name="_Toc32407"/>
      <w:bookmarkStart w:id="4" w:name="_Toc17504"/>
      <w:r>
        <w:rPr>
          <w:rFonts w:hint="eastAsia" w:hAnsi="宋体" w:cs="宋体"/>
          <w:sz w:val="36"/>
          <w:szCs w:val="36"/>
          <w:highlight w:val="none"/>
        </w:rPr>
        <w:t>202</w:t>
      </w:r>
      <w:r>
        <w:rPr>
          <w:rFonts w:hint="eastAsia" w:hAnsi="宋体" w:cs="宋体"/>
          <w:sz w:val="36"/>
          <w:szCs w:val="36"/>
          <w:highlight w:val="none"/>
          <w:lang w:val="en-US" w:eastAsia="zh-CN"/>
        </w:rPr>
        <w:t>5</w:t>
      </w:r>
      <w:r>
        <w:rPr>
          <w:rFonts w:hint="eastAsia" w:hAnsi="宋体" w:cs="宋体"/>
          <w:sz w:val="36"/>
          <w:szCs w:val="36"/>
          <w:highlight w:val="none"/>
        </w:rPr>
        <w:t>年广播电视村村通、户户通运行维护服务</w:t>
      </w:r>
      <w:r>
        <w:rPr>
          <w:rFonts w:hint="eastAsia" w:hAnsi="宋体"/>
          <w:sz w:val="36"/>
          <w:szCs w:val="36"/>
          <w:highlight w:val="none"/>
        </w:rPr>
        <w:t>合同</w:t>
      </w:r>
      <w:bookmarkEnd w:id="0"/>
    </w:p>
    <w:p w14:paraId="19D00F72">
      <w:pPr>
        <w:jc w:val="center"/>
        <w:rPr>
          <w:rFonts w:hint="eastAsia" w:hAnsi="宋体"/>
          <w:color w:val="000000"/>
          <w:sz w:val="44"/>
          <w:szCs w:val="44"/>
          <w:highlight w:val="none"/>
        </w:rPr>
      </w:pPr>
      <w:r>
        <w:rPr>
          <w:rFonts w:hint="eastAsia" w:hAnsi="宋体"/>
          <w:color w:val="000000"/>
          <w:sz w:val="44"/>
          <w:szCs w:val="44"/>
          <w:highlight w:val="none"/>
        </w:rPr>
        <w:t xml:space="preserve">                   </w:t>
      </w:r>
    </w:p>
    <w:p w14:paraId="31A1FA88">
      <w:pPr>
        <w:spacing w:line="360" w:lineRule="auto"/>
        <w:jc w:val="center"/>
        <w:rPr>
          <w:rFonts w:hint="eastAsia" w:ascii="宋体" w:hAnsi="宋体" w:eastAsia="宋体"/>
          <w:b/>
          <w:sz w:val="24"/>
          <w:highlight w:val="none"/>
          <w:lang w:eastAsia="zh-CN"/>
        </w:rPr>
      </w:pPr>
      <w:r>
        <w:rPr>
          <w:rFonts w:hint="eastAsia" w:hAnsi="宋体"/>
          <w:color w:val="000000"/>
          <w:sz w:val="44"/>
          <w:szCs w:val="44"/>
          <w:highlight w:val="none"/>
        </w:rPr>
        <w:t xml:space="preserve">        </w:t>
      </w:r>
      <w:r>
        <w:rPr>
          <w:rFonts w:hint="eastAsia"/>
          <w:b/>
          <w:bCs/>
          <w:sz w:val="24"/>
          <w:highlight w:val="none"/>
        </w:rPr>
        <w:t>项目编号：</w:t>
      </w:r>
      <w:r>
        <w:rPr>
          <w:rFonts w:hint="eastAsia"/>
          <w:highlight w:val="none"/>
          <w:lang w:val="en-US" w:eastAsia="zh-CN"/>
        </w:rPr>
        <w:t xml:space="preserve"> </w:t>
      </w:r>
    </w:p>
    <w:p w14:paraId="13E0392C">
      <w:pPr>
        <w:widowControl/>
        <w:autoSpaceDE w:val="0"/>
        <w:autoSpaceDN w:val="0"/>
        <w:spacing w:line="480" w:lineRule="auto"/>
        <w:ind w:firstLine="1265" w:firstLineChars="525"/>
        <w:textAlignment w:val="bottom"/>
        <w:rPr>
          <w:rFonts w:hint="eastAsia"/>
          <w:b/>
          <w:bCs/>
          <w:sz w:val="24"/>
          <w:highlight w:val="none"/>
        </w:rPr>
      </w:pPr>
      <w:r>
        <w:rPr>
          <w:rFonts w:hint="eastAsia" w:ascii="宋体" w:hAnsi="宋体" w:cs="宋体"/>
          <w:b/>
          <w:color w:val="000000"/>
          <w:sz w:val="24"/>
          <w:szCs w:val="32"/>
          <w:highlight w:val="none"/>
        </w:rPr>
        <w:t xml:space="preserve"> </w:t>
      </w:r>
    </w:p>
    <w:p w14:paraId="7AAFA4AF">
      <w:pPr>
        <w:rPr>
          <w:rFonts w:hint="eastAsia"/>
          <w:highlight w:val="none"/>
        </w:rPr>
      </w:pPr>
    </w:p>
    <w:p w14:paraId="10D647C9">
      <w:pPr>
        <w:snapToGrid w:val="0"/>
        <w:spacing w:before="19" w:line="360" w:lineRule="auto"/>
        <w:rPr>
          <w:rFonts w:hint="eastAsia" w:ascii="宋体" w:hAnsi="宋体"/>
          <w:color w:val="000000"/>
          <w:sz w:val="24"/>
          <w:highlight w:val="none"/>
          <w:u w:val="single"/>
        </w:rPr>
      </w:pPr>
      <w:r>
        <w:rPr>
          <w:rFonts w:hint="eastAsia" w:ascii="宋体" w:hAnsi="宋体"/>
          <w:color w:val="000000"/>
          <w:sz w:val="24"/>
          <w:highlight w:val="none"/>
        </w:rPr>
        <w:t xml:space="preserve">甲方: </w:t>
      </w:r>
      <w:r>
        <w:rPr>
          <w:rFonts w:hint="eastAsia" w:ascii="宋体" w:hAnsi="宋体"/>
          <w:color w:val="000000"/>
          <w:sz w:val="24"/>
          <w:highlight w:val="none"/>
          <w:u w:val="single"/>
        </w:rPr>
        <w:t xml:space="preserve"> </w:t>
      </w:r>
      <w:bookmarkStart w:id="5" w:name="_Hlk151394877"/>
      <w:r>
        <w:rPr>
          <w:rFonts w:hint="eastAsia" w:ascii="宋体" w:hAnsi="宋体"/>
          <w:color w:val="000000"/>
          <w:sz w:val="24"/>
          <w:highlight w:val="none"/>
          <w:u w:val="single"/>
        </w:rPr>
        <w:t>海南省旅游和文化广电体育厅</w:t>
      </w:r>
      <w:bookmarkEnd w:id="5"/>
      <w:r>
        <w:rPr>
          <w:rFonts w:hint="eastAsia" w:ascii="宋体" w:hAnsi="宋体"/>
          <w:color w:val="000000"/>
          <w:sz w:val="24"/>
          <w:highlight w:val="none"/>
          <w:u w:val="single"/>
        </w:rPr>
        <w:t xml:space="preserve"> </w:t>
      </w:r>
    </w:p>
    <w:p w14:paraId="07FD2909">
      <w:pPr>
        <w:snapToGrid w:val="0"/>
        <w:spacing w:before="19" w:line="360" w:lineRule="auto"/>
        <w:rPr>
          <w:rFonts w:hint="eastAsia" w:ascii="宋体" w:hAnsi="宋体"/>
          <w:color w:val="000000"/>
          <w:sz w:val="24"/>
          <w:highlight w:val="none"/>
          <w:u w:val="single"/>
        </w:rPr>
      </w:pPr>
      <w:r>
        <w:rPr>
          <w:rFonts w:hint="eastAsia" w:ascii="宋体" w:hAnsi="宋体"/>
          <w:color w:val="000000"/>
          <w:sz w:val="24"/>
          <w:highlight w:val="none"/>
        </w:rPr>
        <w:t xml:space="preserve">乙方: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olor w:val="000000"/>
          <w:sz w:val="24"/>
          <w:highlight w:val="none"/>
          <w:u w:val="single"/>
        </w:rPr>
        <w:t xml:space="preserve"> </w:t>
      </w:r>
    </w:p>
    <w:p w14:paraId="16479645">
      <w:pPr>
        <w:widowControl/>
        <w:autoSpaceDE w:val="0"/>
        <w:autoSpaceDN w:val="0"/>
        <w:spacing w:line="480" w:lineRule="auto"/>
        <w:textAlignment w:val="bottom"/>
        <w:rPr>
          <w:rFonts w:hint="eastAsia" w:ascii="宋体" w:hAnsi="宋体"/>
          <w:color w:val="000000"/>
          <w:sz w:val="24"/>
          <w:highlight w:val="none"/>
        </w:rPr>
      </w:pPr>
      <w:bookmarkStart w:id="6" w:name="_Toc28773"/>
      <w:r>
        <w:rPr>
          <w:rFonts w:hint="eastAsia" w:ascii="宋体" w:hAnsi="宋体" w:cs="宋体"/>
          <w:color w:val="000000"/>
          <w:sz w:val="24"/>
          <w:highlight w:val="none"/>
        </w:rPr>
        <w:t xml:space="preserve">    甲乙双方</w:t>
      </w:r>
      <w:r>
        <w:rPr>
          <w:rFonts w:hint="eastAsia" w:ascii="宋体" w:hAnsi="宋体"/>
          <w:color w:val="000000"/>
          <w:sz w:val="24"/>
          <w:highlight w:val="none"/>
        </w:rPr>
        <w:t>根据《中华人民共和国民法典》和有关法律法规，遵循平等、自愿、公平和诚实信用原则，双方就</w:t>
      </w:r>
      <w:r>
        <w:rPr>
          <w:rFonts w:hint="eastAsia" w:ascii="宋体" w:hAnsi="宋体"/>
          <w:color w:val="000000"/>
          <w:sz w:val="24"/>
          <w:highlight w:val="none"/>
          <w:u w:val="single"/>
        </w:rPr>
        <w:t xml:space="preserve"> </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年广播电视村村通、户户通运行维护</w:t>
      </w:r>
      <w:r>
        <w:rPr>
          <w:rFonts w:hint="eastAsia" w:ascii="宋体" w:hAnsi="宋体"/>
          <w:color w:val="000000"/>
          <w:sz w:val="24"/>
          <w:highlight w:val="none"/>
          <w:u w:val="single"/>
        </w:rPr>
        <w:t xml:space="preserve">项目 </w:t>
      </w:r>
      <w:r>
        <w:rPr>
          <w:rFonts w:hint="eastAsia" w:ascii="宋体" w:hAnsi="宋体"/>
          <w:color w:val="000000"/>
          <w:sz w:val="24"/>
          <w:highlight w:val="none"/>
        </w:rPr>
        <w:t>，同意按照下面的条款和条件订立本政府采购合同，共同信守。</w:t>
      </w:r>
    </w:p>
    <w:bookmarkEnd w:id="1"/>
    <w:bookmarkEnd w:id="2"/>
    <w:bookmarkEnd w:id="3"/>
    <w:bookmarkEnd w:id="4"/>
    <w:bookmarkEnd w:id="6"/>
    <w:p w14:paraId="1528B8CC">
      <w:pPr>
        <w:pStyle w:val="12"/>
        <w:tabs>
          <w:tab w:val="left" w:pos="630"/>
        </w:tabs>
        <w:snapToGrid w:val="0"/>
        <w:spacing w:before="19" w:line="44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   一、</w:t>
      </w:r>
      <w:r>
        <w:rPr>
          <w:rFonts w:hint="eastAsia" w:ascii="宋体" w:hAnsi="宋体" w:cs="宋体"/>
          <w:b/>
          <w:bCs/>
          <w:color w:val="000000"/>
          <w:sz w:val="24"/>
          <w:szCs w:val="24"/>
          <w:highlight w:val="none"/>
        </w:rPr>
        <w:t>项目目的</w:t>
      </w:r>
    </w:p>
    <w:p w14:paraId="7BB863D9">
      <w:pPr>
        <w:tabs>
          <w:tab w:val="left" w:pos="630"/>
          <w:tab w:val="left" w:pos="900"/>
        </w:tabs>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为了推进政府向社会力量购买公共文化服务模式，建立我省广播电视公共服务长效机制，</w:t>
      </w:r>
      <w:r>
        <w:rPr>
          <w:rFonts w:hint="eastAsia" w:ascii="宋体" w:hAnsi="宋体" w:cs="宋体"/>
          <w:bCs/>
          <w:color w:val="000000"/>
          <w:sz w:val="24"/>
          <w:highlight w:val="none"/>
          <w:lang w:eastAsia="zh-CN"/>
        </w:rPr>
        <w:t>巩固和完善</w:t>
      </w:r>
      <w:r>
        <w:rPr>
          <w:rFonts w:hint="eastAsia" w:ascii="宋体" w:hAnsi="宋体" w:cs="宋体"/>
          <w:bCs/>
          <w:color w:val="000000"/>
          <w:sz w:val="24"/>
          <w:highlight w:val="none"/>
        </w:rPr>
        <w:t>“县级以上有机构管理、乡镇有网点支撑、村组有专人负责、用户合负担”的公共服务长效运行维护体系。通过政府采购，确保2024年度（2024.11</w:t>
      </w:r>
      <w:r>
        <w:rPr>
          <w:rFonts w:hint="eastAsia" w:ascii="仿宋_GB2312" w:hAnsi="仿宋_GB2312" w:eastAsia="仿宋_GB2312" w:cs="仿宋_GB2312"/>
          <w:bCs/>
          <w:color w:val="000000"/>
          <w:sz w:val="24"/>
          <w:highlight w:val="none"/>
        </w:rPr>
        <w:t>～</w:t>
      </w:r>
      <w:r>
        <w:rPr>
          <w:rFonts w:hint="eastAsia" w:ascii="宋体" w:hAnsi="宋体" w:cs="宋体"/>
          <w:bCs/>
          <w:color w:val="000000"/>
          <w:sz w:val="24"/>
          <w:highlight w:val="none"/>
        </w:rPr>
        <w:t>2025.11,一年时间）我省农村广播电视接收设施维修维护服务工作正常运行，确保为广大农村群众提供优质快捷的服务，确保群众满意。</w:t>
      </w:r>
    </w:p>
    <w:p w14:paraId="5813AE11">
      <w:pPr>
        <w:tabs>
          <w:tab w:val="left" w:pos="630"/>
          <w:tab w:val="left" w:pos="900"/>
        </w:tabs>
        <w:spacing w:line="440" w:lineRule="exact"/>
        <w:rPr>
          <w:rFonts w:hint="eastAsia" w:ascii="宋体" w:hAnsi="宋体" w:cs="宋体"/>
          <w:b/>
          <w:color w:val="000000"/>
          <w:sz w:val="24"/>
          <w:highlight w:val="none"/>
        </w:rPr>
      </w:pPr>
      <w:r>
        <w:rPr>
          <w:rFonts w:hint="eastAsia" w:ascii="宋体" w:hAnsi="宋体" w:cs="宋体"/>
          <w:b/>
          <w:color w:val="000000"/>
          <w:sz w:val="24"/>
          <w:highlight w:val="none"/>
        </w:rPr>
        <w:t xml:space="preserve">   二、合同价款</w:t>
      </w:r>
    </w:p>
    <w:p w14:paraId="61B7D87B">
      <w:pPr>
        <w:tabs>
          <w:tab w:val="left" w:pos="1980"/>
        </w:tabs>
        <w:snapToGrid w:val="0"/>
        <w:spacing w:before="156" w:beforeLines="50" w:line="440" w:lineRule="exact"/>
        <w:ind w:firstLine="470" w:firstLineChars="196"/>
        <w:rPr>
          <w:rFonts w:hint="eastAsia" w:ascii="宋体" w:hAnsi="宋体" w:cs="宋体"/>
          <w:color w:val="000000"/>
          <w:sz w:val="24"/>
          <w:highlight w:val="none"/>
          <w:u w:val="single"/>
        </w:rPr>
      </w:pPr>
      <w:r>
        <w:rPr>
          <w:rFonts w:hint="eastAsia" w:ascii="宋体" w:hAnsi="宋体" w:cs="宋体"/>
          <w:color w:val="000000"/>
          <w:sz w:val="24"/>
          <w:highlight w:val="none"/>
        </w:rPr>
        <w:t>合同价款为人民币</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u w:val="single"/>
        </w:rPr>
        <w:t>元</w:t>
      </w:r>
      <w:r>
        <w:rPr>
          <w:rFonts w:hint="eastAsia" w:ascii="宋体" w:hAnsi="宋体" w:cs="宋体"/>
          <w:color w:val="E36C09"/>
          <w:sz w:val="24"/>
          <w:highlight w:val="none"/>
          <w:u w:val="single"/>
        </w:rPr>
        <w:t>（</w:t>
      </w:r>
      <w:r>
        <w:rPr>
          <w:rFonts w:hint="eastAsia" w:ascii="宋体" w:hAnsi="宋体" w:cs="宋体"/>
          <w:color w:val="000000"/>
          <w:sz w:val="24"/>
          <w:highlight w:val="none"/>
          <w:u w:val="single"/>
        </w:rPr>
        <w:t>大写金额：</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），该金额为包干价，包含乙方履行本合同所需的全部费用，除双方另有约定，甲方无需另行支付任何其他费用。</w:t>
      </w:r>
    </w:p>
    <w:p w14:paraId="7691F220">
      <w:pPr>
        <w:tabs>
          <w:tab w:val="left" w:pos="1980"/>
        </w:tabs>
        <w:snapToGrid w:val="0"/>
        <w:spacing w:before="156" w:beforeLines="50" w:line="440" w:lineRule="exact"/>
        <w:ind w:firstLine="413" w:firstLineChars="196"/>
        <w:rPr>
          <w:rFonts w:hint="eastAsia" w:ascii="宋体" w:hAnsi="宋体" w:eastAsia="宋体" w:cs="宋体"/>
          <w:b/>
          <w:bCs/>
          <w:color w:val="000000"/>
          <w:sz w:val="24"/>
          <w:highlight w:val="none"/>
          <w:lang w:val="en-US" w:eastAsia="zh-CN"/>
        </w:rPr>
      </w:pPr>
      <w:r>
        <w:rPr>
          <w:rFonts w:hint="eastAsia" w:ascii="宋体" w:hAnsi="宋体"/>
          <w:b/>
          <w:bCs/>
          <w:highlight w:val="none"/>
        </w:rPr>
        <w:t xml:space="preserve">三、 </w:t>
      </w:r>
      <w:r>
        <w:rPr>
          <w:rFonts w:hint="eastAsia" w:ascii="宋体" w:hAnsi="宋体" w:cs="宋体"/>
          <w:b/>
          <w:bCs/>
          <w:color w:val="000000"/>
          <w:sz w:val="24"/>
          <w:highlight w:val="none"/>
        </w:rPr>
        <w:t>乙方工作内容</w:t>
      </w:r>
    </w:p>
    <w:p w14:paraId="59885100">
      <w:pPr>
        <w:pStyle w:val="8"/>
        <w:rPr>
          <w:rFonts w:hint="eastAsia" w:ascii="宋体" w:hAnsi="宋体" w:cs="宋体"/>
          <w:sz w:val="24"/>
          <w:highlight w:val="none"/>
          <w:lang w:eastAsia="zh-CN"/>
        </w:rPr>
      </w:pPr>
      <w:r>
        <w:rPr>
          <w:rFonts w:hint="eastAsia" w:ascii="宋体" w:hAnsi="宋体" w:cs="宋体"/>
          <w:color w:val="000000"/>
          <w:sz w:val="24"/>
          <w:highlight w:val="none"/>
        </w:rPr>
        <w:t>通过建立“省、市县、乡镇、村”四级广播电视接收设备维修维护服务网络，为我省广大直播卫星用户提供良好维修服务，建立和培</w:t>
      </w:r>
      <w:r>
        <w:rPr>
          <w:rFonts w:hint="eastAsia" w:ascii="宋体" w:hAnsi="宋体" w:cs="宋体"/>
          <w:color w:val="000000"/>
          <w:sz w:val="24"/>
          <w:highlight w:val="none"/>
          <w:lang w:eastAsia="zh-CN"/>
        </w:rPr>
        <w:t>育</w:t>
      </w:r>
      <w:r>
        <w:rPr>
          <w:rFonts w:hint="eastAsia" w:ascii="宋体" w:hAnsi="宋体" w:cs="宋体"/>
          <w:color w:val="000000"/>
          <w:sz w:val="24"/>
          <w:highlight w:val="none"/>
        </w:rPr>
        <w:t>一支经验丰富、技术精</w:t>
      </w:r>
      <w:r>
        <w:rPr>
          <w:rFonts w:hint="eastAsia" w:ascii="宋体" w:hAnsi="宋体" w:cs="宋体"/>
          <w:color w:val="auto"/>
          <w:sz w:val="24"/>
          <w:highlight w:val="none"/>
        </w:rPr>
        <w:t>湛的技术队伍，确保</w:t>
      </w:r>
      <w:r>
        <w:rPr>
          <w:rFonts w:hint="eastAsia" w:ascii="宋体" w:hAnsi="宋体" w:cs="宋体"/>
          <w:color w:val="auto"/>
          <w:sz w:val="24"/>
          <w:highlight w:val="none"/>
          <w:lang w:eastAsia="zh-CN"/>
        </w:rPr>
        <w:t>在</w:t>
      </w: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年</w:t>
      </w:r>
      <w:r>
        <w:rPr>
          <w:rFonts w:ascii="宋体" w:hAnsi="宋体" w:cs="宋体"/>
          <w:color w:val="auto"/>
          <w:sz w:val="24"/>
          <w:highlight w:val="none"/>
          <w:lang w:val="en"/>
        </w:rPr>
        <w:t>1</w:t>
      </w:r>
      <w:r>
        <w:rPr>
          <w:rFonts w:hint="eastAsia" w:ascii="宋体" w:hAnsi="宋体" w:cs="宋体"/>
          <w:color w:val="auto"/>
          <w:sz w:val="24"/>
          <w:highlight w:val="none"/>
        </w:rPr>
        <w:t>1月至202</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年</w:t>
      </w:r>
      <w:r>
        <w:rPr>
          <w:rFonts w:ascii="宋体" w:hAnsi="宋体" w:cs="宋体"/>
          <w:color w:val="auto"/>
          <w:sz w:val="24"/>
          <w:highlight w:val="none"/>
          <w:lang w:val="en"/>
        </w:rPr>
        <w:t>1</w:t>
      </w:r>
      <w:r>
        <w:rPr>
          <w:rFonts w:hint="eastAsia" w:ascii="宋体" w:hAnsi="宋体" w:cs="宋体"/>
          <w:color w:val="auto"/>
          <w:sz w:val="24"/>
          <w:highlight w:val="none"/>
        </w:rPr>
        <w:t>1月（</w:t>
      </w:r>
      <w:r>
        <w:rPr>
          <w:rFonts w:hint="eastAsia" w:ascii="宋体" w:hAnsi="宋体" w:cs="宋体"/>
          <w:b/>
          <w:bCs/>
          <w:color w:val="auto"/>
          <w:sz w:val="24"/>
          <w:highlight w:val="none"/>
        </w:rPr>
        <w:t>一年时间，有效时间以甲、乙双方合同签订日期计算</w:t>
      </w:r>
      <w:r>
        <w:rPr>
          <w:rFonts w:hint="eastAsia" w:ascii="宋体" w:hAnsi="宋体" w:cs="宋体"/>
          <w:color w:val="auto"/>
          <w:sz w:val="24"/>
          <w:highlight w:val="none"/>
        </w:rPr>
        <w:t>）</w:t>
      </w:r>
      <w:r>
        <w:rPr>
          <w:rFonts w:hint="eastAsia" w:ascii="宋体" w:hAnsi="宋体" w:cs="宋体"/>
          <w:color w:val="auto"/>
          <w:sz w:val="24"/>
          <w:highlight w:val="none"/>
          <w:lang w:eastAsia="zh-CN"/>
        </w:rPr>
        <w:t>服务期内，为</w:t>
      </w:r>
      <w:r>
        <w:rPr>
          <w:rFonts w:hint="eastAsia" w:ascii="宋体" w:hAnsi="宋体" w:cs="宋体"/>
          <w:color w:val="auto"/>
          <w:sz w:val="24"/>
          <w:highlight w:val="none"/>
        </w:rPr>
        <w:t>我省广播电视村村通工程、户户通工程</w:t>
      </w:r>
      <w:r>
        <w:rPr>
          <w:rFonts w:hint="eastAsia" w:ascii="宋体" w:hAnsi="宋体" w:cs="宋体"/>
          <w:sz w:val="24"/>
          <w:highlight w:val="none"/>
        </w:rPr>
        <w:t>（包括直播卫星村村通、户户通、渔船通、乡镇和村级广播设施等）</w:t>
      </w:r>
      <w:r>
        <w:rPr>
          <w:rFonts w:hint="eastAsia" w:ascii="宋体" w:hAnsi="宋体" w:cs="宋体"/>
          <w:sz w:val="24"/>
          <w:highlight w:val="none"/>
          <w:lang w:eastAsia="zh-CN"/>
        </w:rPr>
        <w:t>广大用户提供良好</w:t>
      </w:r>
      <w:r>
        <w:rPr>
          <w:rFonts w:hint="eastAsia" w:ascii="宋体" w:hAnsi="宋体" w:cs="宋体"/>
          <w:sz w:val="24"/>
          <w:highlight w:val="none"/>
        </w:rPr>
        <w:t>维修维护服务。合同签订之日起，中标人须在30个日历天内完成服务站点组建，</w:t>
      </w:r>
      <w:r>
        <w:rPr>
          <w:rFonts w:hint="eastAsia" w:ascii="宋体" w:hAnsi="宋体" w:cs="宋体"/>
          <w:b/>
          <w:bCs/>
          <w:sz w:val="24"/>
          <w:highlight w:val="none"/>
        </w:rPr>
        <w:t>35</w:t>
      </w:r>
      <w:r>
        <w:rPr>
          <w:rFonts w:hint="eastAsia" w:ascii="宋体" w:hAnsi="宋体" w:cs="宋体"/>
          <w:sz w:val="24"/>
          <w:highlight w:val="none"/>
        </w:rPr>
        <w:t>个日历天内各服务站点正常运行提供服务，</w:t>
      </w:r>
      <w:r>
        <w:rPr>
          <w:rFonts w:hint="eastAsia" w:ascii="宋体" w:hAnsi="宋体" w:cs="宋体"/>
          <w:b/>
          <w:bCs/>
          <w:sz w:val="24"/>
          <w:highlight w:val="none"/>
        </w:rPr>
        <w:t>40</w:t>
      </w:r>
      <w:r>
        <w:rPr>
          <w:rFonts w:hint="eastAsia" w:ascii="宋体" w:hAnsi="宋体" w:cs="宋体"/>
          <w:sz w:val="24"/>
          <w:highlight w:val="none"/>
        </w:rPr>
        <w:t>个日历天内完成与各服务站点签订服务协议，</w:t>
      </w:r>
      <w:r>
        <w:rPr>
          <w:rFonts w:hint="eastAsia" w:ascii="宋体" w:hAnsi="宋体" w:cs="宋体"/>
          <w:b/>
          <w:bCs/>
          <w:sz w:val="24"/>
          <w:highlight w:val="none"/>
        </w:rPr>
        <w:t>45</w:t>
      </w:r>
      <w:r>
        <w:rPr>
          <w:rFonts w:hint="eastAsia" w:ascii="宋体" w:hAnsi="宋体" w:cs="宋体"/>
          <w:sz w:val="24"/>
          <w:highlight w:val="none"/>
        </w:rPr>
        <w:t>个日历天内将所建服务站点明细汇总表报甲方并在相关网站对外公示 ，将所签订的服务协议报甲方备案（电子扫描件）。</w:t>
      </w:r>
      <w:r>
        <w:rPr>
          <w:rFonts w:hint="eastAsia" w:ascii="宋体" w:hAnsi="宋体" w:cs="宋体"/>
          <w:sz w:val="24"/>
          <w:highlight w:val="none"/>
          <w:lang w:eastAsia="zh-CN"/>
        </w:rPr>
        <w:t>组建广播电视村村通、户户通运维服务网点数量如下：</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5880"/>
        <w:gridCol w:w="960"/>
        <w:gridCol w:w="1060"/>
      </w:tblGrid>
      <w:tr w14:paraId="75B7C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48F4231A">
            <w:pPr>
              <w:jc w:val="center"/>
              <w:rPr>
                <w:rFonts w:hint="default"/>
                <w:highlight w:val="none"/>
                <w:vertAlign w:val="baseline"/>
                <w:lang w:val="en-US" w:eastAsia="zh-CN"/>
              </w:rPr>
            </w:pPr>
            <w:r>
              <w:rPr>
                <w:rFonts w:hint="eastAsia"/>
                <w:highlight w:val="none"/>
                <w:vertAlign w:val="baseline"/>
                <w:lang w:eastAsia="zh-CN"/>
              </w:rPr>
              <w:t>序列号</w:t>
            </w:r>
          </w:p>
        </w:tc>
        <w:tc>
          <w:tcPr>
            <w:tcW w:w="5880" w:type="dxa"/>
            <w:noWrap w:val="0"/>
            <w:vAlign w:val="top"/>
          </w:tcPr>
          <w:p w14:paraId="4F5601FE">
            <w:pPr>
              <w:jc w:val="center"/>
              <w:rPr>
                <w:rFonts w:hint="eastAsia"/>
                <w:highlight w:val="none"/>
                <w:vertAlign w:val="baseline"/>
                <w:lang w:eastAsia="zh-CN"/>
              </w:rPr>
            </w:pPr>
            <w:r>
              <w:rPr>
                <w:rFonts w:hint="eastAsia"/>
                <w:highlight w:val="none"/>
                <w:vertAlign w:val="baseline"/>
                <w:lang w:eastAsia="zh-CN"/>
              </w:rPr>
              <w:t>服务站点类型</w:t>
            </w:r>
          </w:p>
        </w:tc>
        <w:tc>
          <w:tcPr>
            <w:tcW w:w="960" w:type="dxa"/>
            <w:noWrap w:val="0"/>
            <w:vAlign w:val="top"/>
          </w:tcPr>
          <w:p w14:paraId="670E2AC9">
            <w:pPr>
              <w:jc w:val="center"/>
              <w:rPr>
                <w:rFonts w:hint="eastAsia"/>
                <w:highlight w:val="none"/>
                <w:vertAlign w:val="baseline"/>
                <w:lang w:eastAsia="zh-CN"/>
              </w:rPr>
            </w:pPr>
            <w:r>
              <w:rPr>
                <w:rFonts w:hint="eastAsia"/>
                <w:highlight w:val="none"/>
                <w:vertAlign w:val="baseline"/>
                <w:lang w:eastAsia="zh-CN"/>
              </w:rPr>
              <w:t>单位</w:t>
            </w:r>
          </w:p>
        </w:tc>
        <w:tc>
          <w:tcPr>
            <w:tcW w:w="1060" w:type="dxa"/>
            <w:noWrap w:val="0"/>
            <w:vAlign w:val="top"/>
          </w:tcPr>
          <w:p w14:paraId="15F5DC63">
            <w:pPr>
              <w:jc w:val="center"/>
              <w:rPr>
                <w:rFonts w:hint="eastAsia"/>
                <w:highlight w:val="none"/>
                <w:vertAlign w:val="baseline"/>
                <w:lang w:eastAsia="zh-CN"/>
              </w:rPr>
            </w:pPr>
            <w:r>
              <w:rPr>
                <w:rFonts w:hint="eastAsia"/>
                <w:highlight w:val="none"/>
                <w:vertAlign w:val="baseline"/>
                <w:lang w:eastAsia="zh-CN"/>
              </w:rPr>
              <w:t>数量</w:t>
            </w:r>
          </w:p>
        </w:tc>
      </w:tr>
      <w:tr w14:paraId="26A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70DA4005">
            <w:pPr>
              <w:rPr>
                <w:rFonts w:hint="default"/>
                <w:highlight w:val="none"/>
                <w:vertAlign w:val="baseline"/>
                <w:lang w:val="en-US" w:eastAsia="zh-CN"/>
              </w:rPr>
            </w:pPr>
            <w:r>
              <w:rPr>
                <w:rFonts w:hint="eastAsia"/>
                <w:highlight w:val="none"/>
                <w:vertAlign w:val="baseline"/>
                <w:lang w:val="en-US" w:eastAsia="zh-CN"/>
              </w:rPr>
              <w:t>1</w:t>
            </w:r>
          </w:p>
        </w:tc>
        <w:tc>
          <w:tcPr>
            <w:tcW w:w="5880" w:type="dxa"/>
            <w:noWrap w:val="0"/>
            <w:vAlign w:val="top"/>
          </w:tcPr>
          <w:p w14:paraId="13B25B6E">
            <w:pPr>
              <w:rPr>
                <w:rFonts w:hint="default"/>
                <w:highlight w:val="none"/>
                <w:vertAlign w:val="baseline"/>
                <w:lang w:val="en-US" w:eastAsia="zh-CN"/>
              </w:rPr>
            </w:pPr>
            <w:r>
              <w:rPr>
                <w:rFonts w:hint="eastAsia"/>
                <w:highlight w:val="none"/>
                <w:vertAlign w:val="baseline"/>
                <w:lang w:val="en-US" w:eastAsia="zh-CN"/>
              </w:rPr>
              <w:t>省级服务中心 （含</w:t>
            </w:r>
            <w:r>
              <w:rPr>
                <w:rFonts w:hint="eastAsia"/>
                <w:highlight w:val="none"/>
                <w:vertAlign w:val="baseline"/>
                <w:lang w:eastAsia="zh-CN"/>
              </w:rPr>
              <w:t>办公点、</w:t>
            </w:r>
            <w:r>
              <w:rPr>
                <w:rFonts w:hint="eastAsia"/>
                <w:highlight w:val="none"/>
                <w:vertAlign w:val="baseline"/>
                <w:lang w:val="en-US" w:eastAsia="zh-CN"/>
              </w:rPr>
              <w:t>维修备品备件</w:t>
            </w:r>
            <w:r>
              <w:rPr>
                <w:rFonts w:hint="eastAsia"/>
                <w:highlight w:val="none"/>
                <w:vertAlign w:val="baseline"/>
                <w:lang w:eastAsia="zh-CN"/>
              </w:rPr>
              <w:t>仓储室</w:t>
            </w:r>
            <w:r>
              <w:rPr>
                <w:rFonts w:hint="eastAsia"/>
                <w:highlight w:val="none"/>
                <w:vertAlign w:val="baseline"/>
                <w:lang w:val="en-US" w:eastAsia="zh-CN"/>
              </w:rPr>
              <w:t>）</w:t>
            </w:r>
          </w:p>
        </w:tc>
        <w:tc>
          <w:tcPr>
            <w:tcW w:w="960" w:type="dxa"/>
            <w:noWrap w:val="0"/>
            <w:vAlign w:val="top"/>
          </w:tcPr>
          <w:p w14:paraId="09F169D0">
            <w:pPr>
              <w:rPr>
                <w:rFonts w:hint="eastAsia"/>
                <w:highlight w:val="none"/>
                <w:vertAlign w:val="baseline"/>
                <w:lang w:eastAsia="zh-CN"/>
              </w:rPr>
            </w:pPr>
            <w:r>
              <w:rPr>
                <w:rFonts w:hint="eastAsia"/>
                <w:highlight w:val="none"/>
                <w:vertAlign w:val="baseline"/>
                <w:lang w:eastAsia="zh-CN"/>
              </w:rPr>
              <w:t>个</w:t>
            </w:r>
          </w:p>
        </w:tc>
        <w:tc>
          <w:tcPr>
            <w:tcW w:w="1060" w:type="dxa"/>
            <w:noWrap w:val="0"/>
            <w:vAlign w:val="top"/>
          </w:tcPr>
          <w:p w14:paraId="59826E5B">
            <w:pPr>
              <w:rPr>
                <w:rFonts w:hint="default"/>
                <w:highlight w:val="none"/>
                <w:vertAlign w:val="baseline"/>
                <w:lang w:val="en-US" w:eastAsia="zh-CN"/>
              </w:rPr>
            </w:pPr>
          </w:p>
        </w:tc>
      </w:tr>
      <w:tr w14:paraId="4ACD7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7C3FA187">
            <w:pPr>
              <w:rPr>
                <w:rFonts w:hint="default"/>
                <w:highlight w:val="none"/>
                <w:vertAlign w:val="baseline"/>
                <w:lang w:val="en-US" w:eastAsia="zh-CN"/>
              </w:rPr>
            </w:pPr>
            <w:r>
              <w:rPr>
                <w:rFonts w:hint="eastAsia"/>
                <w:highlight w:val="none"/>
                <w:vertAlign w:val="baseline"/>
                <w:lang w:val="en-US" w:eastAsia="zh-CN"/>
              </w:rPr>
              <w:t>2</w:t>
            </w:r>
          </w:p>
        </w:tc>
        <w:tc>
          <w:tcPr>
            <w:tcW w:w="5880" w:type="dxa"/>
            <w:noWrap w:val="0"/>
            <w:vAlign w:val="top"/>
          </w:tcPr>
          <w:p w14:paraId="355890F3">
            <w:pPr>
              <w:rPr>
                <w:rFonts w:hint="eastAsia"/>
                <w:highlight w:val="none"/>
                <w:vertAlign w:val="baseline"/>
                <w:lang w:eastAsia="zh-CN"/>
              </w:rPr>
            </w:pPr>
            <w:r>
              <w:rPr>
                <w:rFonts w:hint="eastAsia"/>
                <w:highlight w:val="none"/>
                <w:vertAlign w:val="baseline"/>
                <w:lang w:eastAsia="zh-CN"/>
              </w:rPr>
              <w:t>市县服务分中心</w:t>
            </w:r>
          </w:p>
        </w:tc>
        <w:tc>
          <w:tcPr>
            <w:tcW w:w="960" w:type="dxa"/>
            <w:noWrap w:val="0"/>
            <w:vAlign w:val="top"/>
          </w:tcPr>
          <w:p w14:paraId="62C41D92">
            <w:pPr>
              <w:rPr>
                <w:rFonts w:hint="eastAsia"/>
                <w:highlight w:val="none"/>
                <w:vertAlign w:val="baseline"/>
                <w:lang w:eastAsia="zh-CN"/>
              </w:rPr>
            </w:pPr>
            <w:r>
              <w:rPr>
                <w:rFonts w:hint="eastAsia"/>
                <w:highlight w:val="none"/>
                <w:vertAlign w:val="baseline"/>
                <w:lang w:eastAsia="zh-CN"/>
              </w:rPr>
              <w:t>个</w:t>
            </w:r>
          </w:p>
        </w:tc>
        <w:tc>
          <w:tcPr>
            <w:tcW w:w="1060" w:type="dxa"/>
            <w:noWrap w:val="0"/>
            <w:vAlign w:val="top"/>
          </w:tcPr>
          <w:p w14:paraId="3DFEBB65">
            <w:pPr>
              <w:rPr>
                <w:rFonts w:hint="default"/>
                <w:highlight w:val="none"/>
                <w:vertAlign w:val="baseline"/>
                <w:lang w:val="en-US" w:eastAsia="zh-CN"/>
              </w:rPr>
            </w:pPr>
          </w:p>
        </w:tc>
      </w:tr>
      <w:tr w14:paraId="6A99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566049E6">
            <w:pPr>
              <w:rPr>
                <w:rFonts w:hint="default"/>
                <w:highlight w:val="none"/>
                <w:vertAlign w:val="baseline"/>
                <w:lang w:val="en-US" w:eastAsia="zh-CN"/>
              </w:rPr>
            </w:pPr>
            <w:r>
              <w:rPr>
                <w:rFonts w:hint="eastAsia"/>
                <w:highlight w:val="none"/>
                <w:vertAlign w:val="baseline"/>
                <w:lang w:val="en-US" w:eastAsia="zh-CN"/>
              </w:rPr>
              <w:t>3</w:t>
            </w:r>
          </w:p>
        </w:tc>
        <w:tc>
          <w:tcPr>
            <w:tcW w:w="5880" w:type="dxa"/>
            <w:noWrap w:val="0"/>
            <w:vAlign w:val="top"/>
          </w:tcPr>
          <w:p w14:paraId="2EF8F1F2">
            <w:pPr>
              <w:rPr>
                <w:rFonts w:hint="default"/>
                <w:highlight w:val="none"/>
                <w:vertAlign w:val="baseline"/>
                <w:lang w:val="en-US" w:eastAsia="zh-CN"/>
              </w:rPr>
            </w:pPr>
            <w:r>
              <w:rPr>
                <w:rFonts w:hint="eastAsia"/>
                <w:highlight w:val="none"/>
                <w:vertAlign w:val="baseline"/>
                <w:lang w:eastAsia="zh-CN"/>
              </w:rPr>
              <w:t>乡镇服务站</w:t>
            </w:r>
            <w:r>
              <w:rPr>
                <w:rFonts w:hint="eastAsia"/>
                <w:highlight w:val="none"/>
                <w:vertAlign w:val="baseline"/>
                <w:lang w:val="en-US" w:eastAsia="zh-CN"/>
              </w:rPr>
              <w:t xml:space="preserve"> </w:t>
            </w:r>
          </w:p>
        </w:tc>
        <w:tc>
          <w:tcPr>
            <w:tcW w:w="960" w:type="dxa"/>
            <w:noWrap w:val="0"/>
            <w:vAlign w:val="top"/>
          </w:tcPr>
          <w:p w14:paraId="3C8FACAF">
            <w:pPr>
              <w:rPr>
                <w:rFonts w:hint="eastAsia"/>
                <w:highlight w:val="none"/>
                <w:vertAlign w:val="baseline"/>
                <w:lang w:eastAsia="zh-CN"/>
              </w:rPr>
            </w:pPr>
            <w:r>
              <w:rPr>
                <w:rFonts w:hint="eastAsia"/>
                <w:highlight w:val="none"/>
                <w:vertAlign w:val="baseline"/>
                <w:lang w:eastAsia="zh-CN"/>
              </w:rPr>
              <w:t>个</w:t>
            </w:r>
          </w:p>
        </w:tc>
        <w:tc>
          <w:tcPr>
            <w:tcW w:w="1060" w:type="dxa"/>
            <w:noWrap w:val="0"/>
            <w:vAlign w:val="top"/>
          </w:tcPr>
          <w:p w14:paraId="16354393">
            <w:pPr>
              <w:rPr>
                <w:rFonts w:hint="default"/>
                <w:highlight w:val="none"/>
                <w:vertAlign w:val="baseline"/>
                <w:lang w:val="en-US" w:eastAsia="zh-CN"/>
              </w:rPr>
            </w:pPr>
          </w:p>
        </w:tc>
      </w:tr>
      <w:tr w14:paraId="0E69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075A8E65">
            <w:pPr>
              <w:rPr>
                <w:rFonts w:hint="default"/>
                <w:highlight w:val="none"/>
                <w:vertAlign w:val="baseline"/>
                <w:lang w:val="en-US" w:eastAsia="zh-CN"/>
              </w:rPr>
            </w:pPr>
            <w:r>
              <w:rPr>
                <w:rFonts w:hint="eastAsia"/>
                <w:highlight w:val="none"/>
                <w:vertAlign w:val="baseline"/>
                <w:lang w:val="en-US" w:eastAsia="zh-CN"/>
              </w:rPr>
              <w:t>4</w:t>
            </w:r>
          </w:p>
        </w:tc>
        <w:tc>
          <w:tcPr>
            <w:tcW w:w="5880" w:type="dxa"/>
            <w:noWrap w:val="0"/>
            <w:vAlign w:val="top"/>
          </w:tcPr>
          <w:p w14:paraId="18C32749">
            <w:pPr>
              <w:rPr>
                <w:rFonts w:hint="eastAsia"/>
                <w:highlight w:val="none"/>
                <w:vertAlign w:val="baseline"/>
                <w:lang w:eastAsia="zh-CN"/>
              </w:rPr>
            </w:pPr>
            <w:r>
              <w:rPr>
                <w:rFonts w:hint="eastAsia"/>
                <w:highlight w:val="none"/>
                <w:vertAlign w:val="baseline"/>
                <w:lang w:eastAsia="zh-CN"/>
              </w:rPr>
              <w:t>村级代办点</w:t>
            </w:r>
          </w:p>
        </w:tc>
        <w:tc>
          <w:tcPr>
            <w:tcW w:w="960" w:type="dxa"/>
            <w:noWrap w:val="0"/>
            <w:vAlign w:val="top"/>
          </w:tcPr>
          <w:p w14:paraId="7125BFD4">
            <w:pPr>
              <w:rPr>
                <w:rFonts w:hint="eastAsia"/>
                <w:highlight w:val="none"/>
                <w:vertAlign w:val="baseline"/>
                <w:lang w:eastAsia="zh-CN"/>
              </w:rPr>
            </w:pPr>
            <w:r>
              <w:rPr>
                <w:rFonts w:hint="eastAsia"/>
                <w:highlight w:val="none"/>
                <w:vertAlign w:val="baseline"/>
                <w:lang w:eastAsia="zh-CN"/>
              </w:rPr>
              <w:t>个</w:t>
            </w:r>
          </w:p>
        </w:tc>
        <w:tc>
          <w:tcPr>
            <w:tcW w:w="1060" w:type="dxa"/>
            <w:noWrap w:val="0"/>
            <w:vAlign w:val="top"/>
          </w:tcPr>
          <w:p w14:paraId="4C1A14FF">
            <w:pPr>
              <w:rPr>
                <w:rFonts w:hint="default"/>
                <w:highlight w:val="none"/>
                <w:vertAlign w:val="baseline"/>
                <w:lang w:val="en-US" w:eastAsia="zh-CN"/>
              </w:rPr>
            </w:pPr>
          </w:p>
        </w:tc>
      </w:tr>
      <w:tr w14:paraId="298CF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105361DC">
            <w:pPr>
              <w:rPr>
                <w:rFonts w:hint="default"/>
                <w:highlight w:val="none"/>
                <w:vertAlign w:val="baseline"/>
                <w:lang w:val="en-US" w:eastAsia="zh-CN"/>
              </w:rPr>
            </w:pPr>
            <w:r>
              <w:rPr>
                <w:rFonts w:hint="eastAsia"/>
                <w:highlight w:val="none"/>
                <w:vertAlign w:val="baseline"/>
                <w:lang w:val="en-US" w:eastAsia="zh-CN"/>
              </w:rPr>
              <w:t>5</w:t>
            </w:r>
          </w:p>
        </w:tc>
        <w:tc>
          <w:tcPr>
            <w:tcW w:w="5880" w:type="dxa"/>
            <w:noWrap w:val="0"/>
            <w:vAlign w:val="top"/>
          </w:tcPr>
          <w:p w14:paraId="16FC1680">
            <w:pPr>
              <w:rPr>
                <w:rFonts w:hint="eastAsia"/>
                <w:highlight w:val="none"/>
                <w:vertAlign w:val="baseline"/>
                <w:lang w:eastAsia="zh-CN"/>
              </w:rPr>
            </w:pPr>
            <w:r>
              <w:rPr>
                <w:rFonts w:hint="eastAsia"/>
                <w:highlight w:val="none"/>
                <w:vertAlign w:val="baseline"/>
                <w:lang w:eastAsia="zh-CN"/>
              </w:rPr>
              <w:t>全省服务网日常工作人员数量（保有量）</w:t>
            </w:r>
          </w:p>
        </w:tc>
        <w:tc>
          <w:tcPr>
            <w:tcW w:w="960" w:type="dxa"/>
            <w:noWrap w:val="0"/>
            <w:vAlign w:val="top"/>
          </w:tcPr>
          <w:p w14:paraId="0A61BD16">
            <w:pPr>
              <w:rPr>
                <w:rFonts w:hint="eastAsia"/>
                <w:highlight w:val="none"/>
                <w:vertAlign w:val="baseline"/>
                <w:lang w:eastAsia="zh-CN"/>
              </w:rPr>
            </w:pPr>
            <w:r>
              <w:rPr>
                <w:rFonts w:hint="eastAsia"/>
                <w:highlight w:val="none"/>
                <w:vertAlign w:val="baseline"/>
                <w:lang w:eastAsia="zh-CN"/>
              </w:rPr>
              <w:t>人</w:t>
            </w:r>
          </w:p>
        </w:tc>
        <w:tc>
          <w:tcPr>
            <w:tcW w:w="1060" w:type="dxa"/>
            <w:noWrap w:val="0"/>
            <w:vAlign w:val="top"/>
          </w:tcPr>
          <w:p w14:paraId="3A04EB85">
            <w:pPr>
              <w:rPr>
                <w:rFonts w:hint="default"/>
                <w:highlight w:val="none"/>
                <w:vertAlign w:val="baseline"/>
                <w:lang w:val="en-US" w:eastAsia="zh-CN"/>
              </w:rPr>
            </w:pPr>
          </w:p>
        </w:tc>
      </w:tr>
      <w:tr w14:paraId="2293B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 w:type="dxa"/>
            <w:noWrap w:val="0"/>
            <w:vAlign w:val="top"/>
          </w:tcPr>
          <w:p w14:paraId="181EA10A">
            <w:pPr>
              <w:rPr>
                <w:rFonts w:hint="default"/>
                <w:highlight w:val="none"/>
                <w:vertAlign w:val="baseline"/>
                <w:lang w:val="en-US" w:eastAsia="zh-CN"/>
              </w:rPr>
            </w:pPr>
          </w:p>
        </w:tc>
        <w:tc>
          <w:tcPr>
            <w:tcW w:w="5880" w:type="dxa"/>
            <w:noWrap w:val="0"/>
            <w:vAlign w:val="top"/>
          </w:tcPr>
          <w:p w14:paraId="31A2EA58">
            <w:pPr>
              <w:rPr>
                <w:rFonts w:hint="eastAsia"/>
                <w:highlight w:val="none"/>
                <w:vertAlign w:val="baseline"/>
                <w:lang w:eastAsia="zh-CN"/>
              </w:rPr>
            </w:pPr>
          </w:p>
        </w:tc>
        <w:tc>
          <w:tcPr>
            <w:tcW w:w="960" w:type="dxa"/>
            <w:noWrap w:val="0"/>
            <w:vAlign w:val="top"/>
          </w:tcPr>
          <w:p w14:paraId="6BEE123A">
            <w:pPr>
              <w:rPr>
                <w:rFonts w:hint="eastAsia"/>
                <w:highlight w:val="none"/>
                <w:vertAlign w:val="baseline"/>
                <w:lang w:eastAsia="zh-CN"/>
              </w:rPr>
            </w:pPr>
          </w:p>
        </w:tc>
        <w:tc>
          <w:tcPr>
            <w:tcW w:w="1060" w:type="dxa"/>
            <w:noWrap w:val="0"/>
            <w:vAlign w:val="top"/>
          </w:tcPr>
          <w:p w14:paraId="44F0BE05">
            <w:pPr>
              <w:rPr>
                <w:rFonts w:hint="default"/>
                <w:highlight w:val="none"/>
                <w:vertAlign w:val="baseline"/>
                <w:lang w:val="en-US" w:eastAsia="zh-CN"/>
              </w:rPr>
            </w:pPr>
          </w:p>
        </w:tc>
      </w:tr>
    </w:tbl>
    <w:p w14:paraId="0C744600">
      <w:pPr>
        <w:rPr>
          <w:rFonts w:hint="eastAsia"/>
          <w:highlight w:val="none"/>
          <w:lang w:eastAsia="zh-CN"/>
        </w:rPr>
      </w:pPr>
    </w:p>
    <w:p w14:paraId="6C254DEB">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sz w:val="24"/>
          <w:highlight w:val="none"/>
        </w:rPr>
        <w:t>维护设</w:t>
      </w:r>
      <w:r>
        <w:rPr>
          <w:rFonts w:hint="eastAsia" w:ascii="宋体" w:hAnsi="宋体" w:cs="宋体"/>
          <w:color w:val="000000"/>
          <w:sz w:val="24"/>
          <w:highlight w:val="none"/>
        </w:rPr>
        <w:t>备数量参考如下：</w:t>
      </w:r>
    </w:p>
    <w:p w14:paraId="4CF44B62">
      <w:pPr>
        <w:pStyle w:val="8"/>
        <w:ind w:firstLine="540"/>
        <w:rPr>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73"/>
        <w:gridCol w:w="1475"/>
        <w:gridCol w:w="903"/>
        <w:gridCol w:w="1042"/>
        <w:gridCol w:w="1103"/>
        <w:gridCol w:w="952"/>
        <w:gridCol w:w="1295"/>
      </w:tblGrid>
      <w:tr w14:paraId="29DA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9" w:type="dxa"/>
            <w:noWrap w:val="0"/>
            <w:vAlign w:val="center"/>
          </w:tcPr>
          <w:p w14:paraId="6AF172C1">
            <w:pPr>
              <w:adjustRightInd w:val="0"/>
              <w:snapToGrid w:val="0"/>
              <w:jc w:val="center"/>
              <w:rPr>
                <w:rFonts w:hint="eastAsia" w:ascii="宋体" w:hAnsi="宋体" w:cs="宋体"/>
                <w:color w:val="000000"/>
                <w:kern w:val="28"/>
                <w:highlight w:val="none"/>
              </w:rPr>
            </w:pPr>
            <w:r>
              <w:rPr>
                <w:rFonts w:hint="eastAsia" w:ascii="宋体" w:hAnsi="宋体" w:cs="宋体"/>
                <w:color w:val="000000"/>
                <w:kern w:val="28"/>
                <w:highlight w:val="none"/>
              </w:rPr>
              <w:t>序号</w:t>
            </w:r>
          </w:p>
        </w:tc>
        <w:tc>
          <w:tcPr>
            <w:tcW w:w="1073" w:type="dxa"/>
            <w:noWrap w:val="0"/>
            <w:vAlign w:val="center"/>
          </w:tcPr>
          <w:p w14:paraId="301E12E8">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招标内容</w:t>
            </w:r>
          </w:p>
        </w:tc>
        <w:tc>
          <w:tcPr>
            <w:tcW w:w="1475" w:type="dxa"/>
            <w:noWrap w:val="0"/>
            <w:vAlign w:val="center"/>
          </w:tcPr>
          <w:p w14:paraId="3D1603BE">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服务区域</w:t>
            </w:r>
          </w:p>
        </w:tc>
        <w:tc>
          <w:tcPr>
            <w:tcW w:w="903" w:type="dxa"/>
            <w:noWrap w:val="0"/>
            <w:vAlign w:val="center"/>
          </w:tcPr>
          <w:p w14:paraId="73707DA8">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村村通用户数（套）</w:t>
            </w:r>
          </w:p>
        </w:tc>
        <w:tc>
          <w:tcPr>
            <w:tcW w:w="1042" w:type="dxa"/>
            <w:noWrap w:val="0"/>
            <w:vAlign w:val="center"/>
          </w:tcPr>
          <w:p w14:paraId="2F5F2207">
            <w:pPr>
              <w:adjustRightInd w:val="0"/>
              <w:snapToGrid w:val="0"/>
              <w:jc w:val="center"/>
              <w:rPr>
                <w:rFonts w:ascii="宋体" w:hAnsi="宋体" w:cs="宋体"/>
                <w:color w:val="000000"/>
                <w:kern w:val="28"/>
                <w:highlight w:val="none"/>
              </w:rPr>
            </w:pPr>
            <w:r>
              <w:rPr>
                <w:rFonts w:hint="eastAsia" w:ascii="宋体" w:hAnsi="宋体" w:cs="宋体"/>
                <w:color w:val="000000"/>
                <w:kern w:val="28"/>
                <w:sz w:val="18"/>
                <w:highlight w:val="none"/>
              </w:rPr>
              <w:t>户户通第一期用户数（套）</w:t>
            </w:r>
          </w:p>
        </w:tc>
        <w:tc>
          <w:tcPr>
            <w:tcW w:w="1103" w:type="dxa"/>
            <w:noWrap w:val="0"/>
            <w:vAlign w:val="center"/>
          </w:tcPr>
          <w:p w14:paraId="17B5B722">
            <w:pPr>
              <w:adjustRightInd w:val="0"/>
              <w:snapToGrid w:val="0"/>
              <w:jc w:val="center"/>
              <w:rPr>
                <w:rFonts w:ascii="宋体" w:hAnsi="宋体" w:cs="宋体"/>
                <w:color w:val="000000"/>
                <w:kern w:val="28"/>
                <w:sz w:val="18"/>
                <w:highlight w:val="none"/>
              </w:rPr>
            </w:pPr>
            <w:r>
              <w:rPr>
                <w:rFonts w:hint="eastAsia" w:ascii="宋体" w:hAnsi="宋体" w:cs="宋体"/>
                <w:color w:val="000000"/>
                <w:kern w:val="28"/>
                <w:sz w:val="18"/>
                <w:highlight w:val="none"/>
              </w:rPr>
              <w:t>户户通第二期用户数（套）</w:t>
            </w:r>
          </w:p>
        </w:tc>
        <w:tc>
          <w:tcPr>
            <w:tcW w:w="952" w:type="dxa"/>
            <w:noWrap w:val="0"/>
            <w:vAlign w:val="center"/>
          </w:tcPr>
          <w:p w14:paraId="5DF19542">
            <w:pPr>
              <w:adjustRightInd w:val="0"/>
              <w:snapToGrid w:val="0"/>
              <w:jc w:val="center"/>
              <w:rPr>
                <w:rFonts w:ascii="宋体" w:hAnsi="宋体" w:cs="宋体"/>
                <w:highlight w:val="none"/>
              </w:rPr>
            </w:pPr>
            <w:r>
              <w:rPr>
                <w:rFonts w:hint="eastAsia" w:ascii="宋体" w:hAnsi="宋体" w:cs="宋体"/>
                <w:color w:val="000000"/>
                <w:kern w:val="28"/>
                <w:highlight w:val="none"/>
              </w:rPr>
              <w:t>渔船通（条）</w:t>
            </w:r>
          </w:p>
        </w:tc>
        <w:tc>
          <w:tcPr>
            <w:tcW w:w="1295" w:type="dxa"/>
            <w:noWrap w:val="0"/>
            <w:vAlign w:val="center"/>
          </w:tcPr>
          <w:p w14:paraId="6505CAFB">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乡镇、村（居）级广播设备（市县）</w:t>
            </w:r>
          </w:p>
        </w:tc>
      </w:tr>
      <w:tr w14:paraId="37501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9" w:type="dxa"/>
            <w:noWrap w:val="0"/>
            <w:vAlign w:val="center"/>
          </w:tcPr>
          <w:p w14:paraId="43C45E2B">
            <w:pPr>
              <w:adjustRightInd w:val="0"/>
              <w:snapToGrid w:val="0"/>
              <w:jc w:val="center"/>
              <w:rPr>
                <w:rFonts w:ascii="宋体" w:hAnsi="宋体" w:cs="宋体"/>
                <w:color w:val="000000"/>
                <w:kern w:val="28"/>
                <w:sz w:val="18"/>
                <w:highlight w:val="none"/>
              </w:rPr>
            </w:pPr>
          </w:p>
        </w:tc>
        <w:tc>
          <w:tcPr>
            <w:tcW w:w="1073" w:type="dxa"/>
            <w:noWrap w:val="0"/>
            <w:vAlign w:val="center"/>
          </w:tcPr>
          <w:p w14:paraId="4595D645">
            <w:pPr>
              <w:adjustRightInd w:val="0"/>
              <w:snapToGrid w:val="0"/>
              <w:jc w:val="center"/>
              <w:rPr>
                <w:rFonts w:ascii="宋体" w:hAnsi="宋体" w:cs="宋体"/>
                <w:kern w:val="28"/>
                <w:highlight w:val="none"/>
              </w:rPr>
            </w:pPr>
            <w:r>
              <w:rPr>
                <w:rFonts w:hint="eastAsia" w:ascii="宋体" w:hAnsi="宋体" w:cs="宋体"/>
                <w:kern w:val="28"/>
                <w:highlight w:val="none"/>
              </w:rPr>
              <w:t>广播电视村村通、户户通运行维护服务</w:t>
            </w:r>
          </w:p>
        </w:tc>
        <w:tc>
          <w:tcPr>
            <w:tcW w:w="1475" w:type="dxa"/>
            <w:noWrap w:val="0"/>
            <w:vAlign w:val="center"/>
          </w:tcPr>
          <w:p w14:paraId="47F0C904">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全省19个市县：</w:t>
            </w:r>
            <w:r>
              <w:rPr>
                <w:rFonts w:hint="eastAsia" w:ascii="宋体" w:hAnsi="宋体" w:cs="宋体"/>
                <w:color w:val="000000"/>
                <w:highlight w:val="none"/>
              </w:rPr>
              <w:t>海口、三亚、儋州、万宁、陵水、五指山、东方、乐东、保亭、白沙、昌江定安、琼海、文昌、屯昌、澄迈、琼中、临高、三沙19市县</w:t>
            </w:r>
            <w:r>
              <w:rPr>
                <w:rFonts w:hint="eastAsia" w:ascii="宋体" w:hAnsi="宋体" w:cs="宋体"/>
                <w:color w:val="000000"/>
                <w:kern w:val="28"/>
                <w:highlight w:val="none"/>
              </w:rPr>
              <w:t>（含农垦系统、林业系统）</w:t>
            </w:r>
          </w:p>
        </w:tc>
        <w:tc>
          <w:tcPr>
            <w:tcW w:w="903" w:type="dxa"/>
            <w:noWrap w:val="0"/>
            <w:vAlign w:val="center"/>
          </w:tcPr>
          <w:p w14:paraId="4A175D2D">
            <w:pPr>
              <w:adjustRightInd w:val="0"/>
              <w:snapToGrid w:val="0"/>
              <w:jc w:val="center"/>
              <w:rPr>
                <w:rFonts w:ascii="宋体" w:hAnsi="宋体" w:cs="宋体"/>
                <w:color w:val="000000"/>
                <w:kern w:val="28"/>
                <w:highlight w:val="none"/>
              </w:rPr>
            </w:pPr>
            <w:r>
              <w:rPr>
                <w:rFonts w:hint="eastAsia" w:ascii="仿宋" w:hAnsi="仿宋" w:eastAsia="仿宋" w:cs="仿宋"/>
                <w:color w:val="auto"/>
                <w:kern w:val="28"/>
                <w:sz w:val="20"/>
                <w:szCs w:val="20"/>
                <w:highlight w:val="none"/>
              </w:rPr>
              <w:t>178447</w:t>
            </w:r>
          </w:p>
        </w:tc>
        <w:tc>
          <w:tcPr>
            <w:tcW w:w="1042" w:type="dxa"/>
            <w:noWrap w:val="0"/>
            <w:vAlign w:val="center"/>
          </w:tcPr>
          <w:p w14:paraId="3BE8D7A2">
            <w:pPr>
              <w:adjustRightInd w:val="0"/>
              <w:snapToGrid w:val="0"/>
              <w:jc w:val="center"/>
              <w:rPr>
                <w:rFonts w:ascii="宋体" w:hAnsi="宋体" w:cs="宋体"/>
                <w:color w:val="000000"/>
                <w:kern w:val="28"/>
                <w:highlight w:val="none"/>
              </w:rPr>
            </w:pPr>
            <w:r>
              <w:rPr>
                <w:rFonts w:hint="eastAsia" w:ascii="仿宋" w:hAnsi="仿宋" w:eastAsia="仿宋" w:cs="仿宋"/>
                <w:color w:val="auto"/>
                <w:kern w:val="28"/>
                <w:sz w:val="20"/>
                <w:szCs w:val="20"/>
                <w:highlight w:val="none"/>
              </w:rPr>
              <w:t>294803</w:t>
            </w:r>
          </w:p>
        </w:tc>
        <w:tc>
          <w:tcPr>
            <w:tcW w:w="1103" w:type="dxa"/>
            <w:noWrap w:val="0"/>
            <w:vAlign w:val="center"/>
          </w:tcPr>
          <w:p w14:paraId="7A5B4E4F">
            <w:pPr>
              <w:adjustRightInd w:val="0"/>
              <w:snapToGrid w:val="0"/>
              <w:jc w:val="center"/>
              <w:rPr>
                <w:rFonts w:ascii="宋体" w:hAnsi="宋体" w:cs="宋体"/>
                <w:color w:val="000000"/>
                <w:kern w:val="28"/>
                <w:highlight w:val="none"/>
              </w:rPr>
            </w:pPr>
            <w:r>
              <w:rPr>
                <w:rFonts w:hint="eastAsia" w:ascii="仿宋" w:hAnsi="仿宋" w:eastAsia="仿宋" w:cs="仿宋"/>
                <w:color w:val="auto"/>
                <w:kern w:val="28"/>
                <w:sz w:val="20"/>
                <w:szCs w:val="20"/>
                <w:highlight w:val="none"/>
              </w:rPr>
              <w:t>125312</w:t>
            </w:r>
          </w:p>
        </w:tc>
        <w:tc>
          <w:tcPr>
            <w:tcW w:w="952" w:type="dxa"/>
            <w:noWrap w:val="0"/>
            <w:vAlign w:val="center"/>
          </w:tcPr>
          <w:p w14:paraId="4F0C8EA1">
            <w:pPr>
              <w:adjustRightInd w:val="0"/>
              <w:snapToGrid w:val="0"/>
              <w:jc w:val="center"/>
              <w:rPr>
                <w:rFonts w:ascii="宋体" w:hAnsi="宋体" w:cs="宋体"/>
                <w:highlight w:val="none"/>
              </w:rPr>
            </w:pPr>
            <w:r>
              <w:rPr>
                <w:rFonts w:hint="eastAsia" w:ascii="仿宋" w:hAnsi="仿宋" w:eastAsia="仿宋" w:cs="仿宋"/>
                <w:color w:val="auto"/>
                <w:kern w:val="28"/>
                <w:sz w:val="20"/>
                <w:szCs w:val="20"/>
                <w:highlight w:val="none"/>
              </w:rPr>
              <w:t>2617</w:t>
            </w:r>
          </w:p>
        </w:tc>
        <w:tc>
          <w:tcPr>
            <w:tcW w:w="1295" w:type="dxa"/>
            <w:noWrap w:val="0"/>
            <w:vAlign w:val="center"/>
          </w:tcPr>
          <w:p w14:paraId="4BB0EF3D">
            <w:pPr>
              <w:adjustRightInd w:val="0"/>
              <w:snapToGrid w:val="0"/>
              <w:jc w:val="center"/>
              <w:rPr>
                <w:rFonts w:ascii="宋体" w:hAnsi="宋体" w:cs="宋体"/>
                <w:color w:val="000000"/>
                <w:kern w:val="28"/>
                <w:highlight w:val="none"/>
              </w:rPr>
            </w:pPr>
            <w:r>
              <w:rPr>
                <w:rFonts w:hint="eastAsia" w:ascii="宋体" w:hAnsi="宋体" w:cs="宋体"/>
                <w:color w:val="000000"/>
                <w:kern w:val="28"/>
                <w:highlight w:val="none"/>
              </w:rPr>
              <w:t xml:space="preserve">各相关市县乡镇、村应（居）急广播终端设备 </w:t>
            </w:r>
          </w:p>
        </w:tc>
      </w:tr>
    </w:tbl>
    <w:p w14:paraId="022DE7FC">
      <w:pPr>
        <w:pStyle w:val="7"/>
        <w:adjustRightInd w:val="0"/>
        <w:snapToGrid w:val="0"/>
        <w:spacing w:before="0" w:after="0" w:line="240" w:lineRule="auto"/>
        <w:jc w:val="left"/>
        <w:outlineLvl w:val="9"/>
        <w:rPr>
          <w:rFonts w:ascii="宋体" w:hAnsi="宋体"/>
          <w:highlight w:val="none"/>
        </w:rPr>
      </w:pPr>
      <w:r>
        <w:rPr>
          <w:rFonts w:hint="eastAsia" w:ascii="宋体" w:hAnsi="宋体"/>
          <w:highlight w:val="none"/>
        </w:rPr>
        <w:t>具体数据如下：</w:t>
      </w:r>
    </w:p>
    <w:p w14:paraId="548ACDA2">
      <w:pPr>
        <w:pStyle w:val="7"/>
        <w:adjustRightInd w:val="0"/>
        <w:snapToGrid w:val="0"/>
        <w:spacing w:before="0" w:after="0" w:line="240" w:lineRule="auto"/>
        <w:jc w:val="left"/>
        <w:outlineLvl w:val="9"/>
        <w:rPr>
          <w:rFonts w:hint="eastAsia" w:ascii="宋体" w:hAnsi="宋体"/>
          <w:highlight w:val="none"/>
        </w:rPr>
      </w:pPr>
    </w:p>
    <w:tbl>
      <w:tblPr>
        <w:tblStyle w:val="9"/>
        <w:tblW w:w="8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494"/>
        <w:gridCol w:w="1545"/>
        <w:gridCol w:w="1475"/>
        <w:gridCol w:w="917"/>
        <w:gridCol w:w="998"/>
        <w:gridCol w:w="1239"/>
      </w:tblGrid>
      <w:tr w14:paraId="53855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FD4C9B2">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市县名称</w:t>
            </w:r>
          </w:p>
        </w:tc>
        <w:tc>
          <w:tcPr>
            <w:tcW w:w="1494" w:type="dxa"/>
            <w:noWrap w:val="0"/>
            <w:vAlign w:val="center"/>
          </w:tcPr>
          <w:p w14:paraId="624A300E">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村村通用户数（套）</w:t>
            </w:r>
          </w:p>
        </w:tc>
        <w:tc>
          <w:tcPr>
            <w:tcW w:w="1545" w:type="dxa"/>
            <w:noWrap w:val="0"/>
            <w:vAlign w:val="center"/>
          </w:tcPr>
          <w:p w14:paraId="0235B9D4">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户户通一期用户数（套）</w:t>
            </w:r>
          </w:p>
        </w:tc>
        <w:tc>
          <w:tcPr>
            <w:tcW w:w="1475" w:type="dxa"/>
            <w:noWrap w:val="0"/>
            <w:vAlign w:val="center"/>
          </w:tcPr>
          <w:p w14:paraId="3960E99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户户通二期用户数（套）</w:t>
            </w:r>
          </w:p>
        </w:tc>
        <w:tc>
          <w:tcPr>
            <w:tcW w:w="917" w:type="dxa"/>
            <w:noWrap w:val="0"/>
            <w:vAlign w:val="center"/>
          </w:tcPr>
          <w:p w14:paraId="7A27D4D0">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渔船通（条）</w:t>
            </w:r>
          </w:p>
        </w:tc>
        <w:tc>
          <w:tcPr>
            <w:tcW w:w="998" w:type="dxa"/>
            <w:noWrap w:val="0"/>
            <w:vAlign w:val="center"/>
          </w:tcPr>
          <w:p w14:paraId="1E5177A4">
            <w:pPr>
              <w:adjustRightInd w:val="0"/>
              <w:snapToGrid w:val="0"/>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乡镇数</w:t>
            </w:r>
          </w:p>
          <w:p w14:paraId="4B2462C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（个）</w:t>
            </w:r>
          </w:p>
        </w:tc>
        <w:tc>
          <w:tcPr>
            <w:tcW w:w="1239" w:type="dxa"/>
            <w:noWrap w:val="0"/>
            <w:vAlign w:val="center"/>
          </w:tcPr>
          <w:p w14:paraId="122838C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行政村数</w:t>
            </w:r>
          </w:p>
          <w:p w14:paraId="1B0AC373">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（个）</w:t>
            </w:r>
          </w:p>
        </w:tc>
      </w:tr>
      <w:tr w14:paraId="0305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00990615">
            <w:pPr>
              <w:tabs>
                <w:tab w:val="left" w:pos="371"/>
              </w:tabs>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海口（渔监）</w:t>
            </w:r>
          </w:p>
        </w:tc>
        <w:tc>
          <w:tcPr>
            <w:tcW w:w="1494" w:type="dxa"/>
            <w:noWrap w:val="0"/>
            <w:vAlign w:val="center"/>
          </w:tcPr>
          <w:p w14:paraId="2A98A85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c>
          <w:tcPr>
            <w:tcW w:w="1545" w:type="dxa"/>
            <w:noWrap w:val="0"/>
            <w:vAlign w:val="center"/>
          </w:tcPr>
          <w:p w14:paraId="7573F91C">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1858</w:t>
            </w:r>
          </w:p>
        </w:tc>
        <w:tc>
          <w:tcPr>
            <w:tcW w:w="1475" w:type="dxa"/>
            <w:noWrap w:val="0"/>
            <w:vAlign w:val="center"/>
          </w:tcPr>
          <w:p w14:paraId="647AF612">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2288</w:t>
            </w:r>
          </w:p>
        </w:tc>
        <w:tc>
          <w:tcPr>
            <w:tcW w:w="917" w:type="dxa"/>
            <w:noWrap w:val="0"/>
            <w:vAlign w:val="center"/>
          </w:tcPr>
          <w:p w14:paraId="71038C39">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60（＋渔监6）</w:t>
            </w:r>
          </w:p>
        </w:tc>
        <w:tc>
          <w:tcPr>
            <w:tcW w:w="998" w:type="dxa"/>
            <w:noWrap w:val="0"/>
            <w:vAlign w:val="center"/>
          </w:tcPr>
          <w:p w14:paraId="654E4903">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22</w:t>
            </w:r>
          </w:p>
        </w:tc>
        <w:tc>
          <w:tcPr>
            <w:tcW w:w="1239" w:type="dxa"/>
            <w:noWrap w:val="0"/>
            <w:vAlign w:val="center"/>
          </w:tcPr>
          <w:p w14:paraId="0A6459A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245</w:t>
            </w:r>
          </w:p>
        </w:tc>
      </w:tr>
      <w:tr w14:paraId="7D4D7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57DC38A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文昌</w:t>
            </w:r>
          </w:p>
        </w:tc>
        <w:tc>
          <w:tcPr>
            <w:tcW w:w="1494" w:type="dxa"/>
            <w:noWrap w:val="0"/>
            <w:vAlign w:val="center"/>
          </w:tcPr>
          <w:p w14:paraId="6B4D4B9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24620</w:t>
            </w:r>
          </w:p>
        </w:tc>
        <w:tc>
          <w:tcPr>
            <w:tcW w:w="1545" w:type="dxa"/>
            <w:noWrap w:val="0"/>
            <w:vAlign w:val="center"/>
          </w:tcPr>
          <w:p w14:paraId="14483145">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17557</w:t>
            </w:r>
          </w:p>
        </w:tc>
        <w:tc>
          <w:tcPr>
            <w:tcW w:w="1475" w:type="dxa"/>
            <w:noWrap w:val="0"/>
            <w:vAlign w:val="center"/>
          </w:tcPr>
          <w:p w14:paraId="5F515A3F">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11000</w:t>
            </w:r>
          </w:p>
        </w:tc>
        <w:tc>
          <w:tcPr>
            <w:tcW w:w="917" w:type="dxa"/>
            <w:noWrap w:val="0"/>
            <w:vAlign w:val="center"/>
          </w:tcPr>
          <w:p w14:paraId="5F2FBCF3">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58</w:t>
            </w:r>
          </w:p>
        </w:tc>
        <w:tc>
          <w:tcPr>
            <w:tcW w:w="998" w:type="dxa"/>
            <w:noWrap w:val="0"/>
            <w:vAlign w:val="center"/>
          </w:tcPr>
          <w:p w14:paraId="5FB28C20">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17</w:t>
            </w:r>
          </w:p>
        </w:tc>
        <w:tc>
          <w:tcPr>
            <w:tcW w:w="1239" w:type="dxa"/>
            <w:noWrap w:val="0"/>
            <w:vAlign w:val="center"/>
          </w:tcPr>
          <w:p w14:paraId="06E061D5">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255</w:t>
            </w:r>
          </w:p>
        </w:tc>
      </w:tr>
      <w:tr w14:paraId="7BEC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5175EE0C">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琼海</w:t>
            </w:r>
          </w:p>
        </w:tc>
        <w:tc>
          <w:tcPr>
            <w:tcW w:w="1494" w:type="dxa"/>
            <w:noWrap w:val="0"/>
            <w:vAlign w:val="center"/>
          </w:tcPr>
          <w:p w14:paraId="58EE5F35">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987</w:t>
            </w:r>
          </w:p>
        </w:tc>
        <w:tc>
          <w:tcPr>
            <w:tcW w:w="1545" w:type="dxa"/>
            <w:noWrap w:val="0"/>
            <w:vAlign w:val="center"/>
          </w:tcPr>
          <w:p w14:paraId="3B6D2F1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29277</w:t>
            </w:r>
          </w:p>
        </w:tc>
        <w:tc>
          <w:tcPr>
            <w:tcW w:w="1475" w:type="dxa"/>
            <w:noWrap w:val="0"/>
            <w:vAlign w:val="center"/>
          </w:tcPr>
          <w:p w14:paraId="4ACB561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10000</w:t>
            </w:r>
          </w:p>
        </w:tc>
        <w:tc>
          <w:tcPr>
            <w:tcW w:w="917" w:type="dxa"/>
            <w:noWrap w:val="0"/>
            <w:vAlign w:val="center"/>
          </w:tcPr>
          <w:p w14:paraId="3C22E9B4">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177</w:t>
            </w:r>
          </w:p>
        </w:tc>
        <w:tc>
          <w:tcPr>
            <w:tcW w:w="998" w:type="dxa"/>
            <w:noWrap w:val="0"/>
            <w:vAlign w:val="center"/>
          </w:tcPr>
          <w:p w14:paraId="4408C783">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12</w:t>
            </w:r>
          </w:p>
        </w:tc>
        <w:tc>
          <w:tcPr>
            <w:tcW w:w="1239" w:type="dxa"/>
            <w:noWrap w:val="0"/>
            <w:vAlign w:val="center"/>
          </w:tcPr>
          <w:p w14:paraId="3AA1699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189</w:t>
            </w:r>
          </w:p>
        </w:tc>
      </w:tr>
      <w:tr w14:paraId="588F8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3F72EAF">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定安</w:t>
            </w:r>
          </w:p>
        </w:tc>
        <w:tc>
          <w:tcPr>
            <w:tcW w:w="1494" w:type="dxa"/>
            <w:noWrap w:val="0"/>
            <w:vAlign w:val="center"/>
          </w:tcPr>
          <w:p w14:paraId="38D0E3A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9103</w:t>
            </w:r>
          </w:p>
        </w:tc>
        <w:tc>
          <w:tcPr>
            <w:tcW w:w="1545" w:type="dxa"/>
            <w:noWrap w:val="0"/>
            <w:vAlign w:val="center"/>
          </w:tcPr>
          <w:p w14:paraId="5C525C5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33163</w:t>
            </w:r>
          </w:p>
        </w:tc>
        <w:tc>
          <w:tcPr>
            <w:tcW w:w="1475" w:type="dxa"/>
            <w:noWrap w:val="0"/>
            <w:vAlign w:val="center"/>
          </w:tcPr>
          <w:p w14:paraId="25368E30">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2500</w:t>
            </w:r>
          </w:p>
        </w:tc>
        <w:tc>
          <w:tcPr>
            <w:tcW w:w="917" w:type="dxa"/>
            <w:noWrap w:val="0"/>
            <w:vAlign w:val="center"/>
          </w:tcPr>
          <w:p w14:paraId="365265A5">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0</w:t>
            </w:r>
          </w:p>
        </w:tc>
        <w:tc>
          <w:tcPr>
            <w:tcW w:w="998" w:type="dxa"/>
            <w:noWrap w:val="0"/>
            <w:vAlign w:val="center"/>
          </w:tcPr>
          <w:p w14:paraId="26AE7026">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w:t>
            </w:r>
          </w:p>
        </w:tc>
        <w:tc>
          <w:tcPr>
            <w:tcW w:w="1239" w:type="dxa"/>
            <w:noWrap w:val="0"/>
            <w:vAlign w:val="center"/>
          </w:tcPr>
          <w:p w14:paraId="604B82D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108</w:t>
            </w:r>
          </w:p>
        </w:tc>
      </w:tr>
      <w:tr w14:paraId="63BB4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6A430F82">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澄迈</w:t>
            </w:r>
          </w:p>
        </w:tc>
        <w:tc>
          <w:tcPr>
            <w:tcW w:w="1494" w:type="dxa"/>
            <w:noWrap w:val="0"/>
            <w:vAlign w:val="center"/>
          </w:tcPr>
          <w:p w14:paraId="328A0B65">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14108</w:t>
            </w:r>
          </w:p>
        </w:tc>
        <w:tc>
          <w:tcPr>
            <w:tcW w:w="1545" w:type="dxa"/>
            <w:noWrap w:val="0"/>
            <w:vAlign w:val="center"/>
          </w:tcPr>
          <w:p w14:paraId="3843064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35267</w:t>
            </w:r>
          </w:p>
        </w:tc>
        <w:tc>
          <w:tcPr>
            <w:tcW w:w="1475" w:type="dxa"/>
            <w:noWrap w:val="0"/>
            <w:vAlign w:val="center"/>
          </w:tcPr>
          <w:p w14:paraId="0A61828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229</w:t>
            </w:r>
          </w:p>
        </w:tc>
        <w:tc>
          <w:tcPr>
            <w:tcW w:w="917" w:type="dxa"/>
            <w:noWrap w:val="0"/>
            <w:vAlign w:val="center"/>
          </w:tcPr>
          <w:p w14:paraId="31EE9276">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4</w:t>
            </w:r>
          </w:p>
        </w:tc>
        <w:tc>
          <w:tcPr>
            <w:tcW w:w="998" w:type="dxa"/>
            <w:noWrap w:val="0"/>
            <w:vAlign w:val="center"/>
          </w:tcPr>
          <w:p w14:paraId="77C61A6F">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11</w:t>
            </w:r>
          </w:p>
        </w:tc>
        <w:tc>
          <w:tcPr>
            <w:tcW w:w="1239" w:type="dxa"/>
            <w:noWrap w:val="0"/>
            <w:vAlign w:val="center"/>
          </w:tcPr>
          <w:p w14:paraId="1F7C03D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144</w:t>
            </w:r>
          </w:p>
        </w:tc>
      </w:tr>
      <w:tr w14:paraId="2DC2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02A432F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屯昌</w:t>
            </w:r>
          </w:p>
        </w:tc>
        <w:tc>
          <w:tcPr>
            <w:tcW w:w="1494" w:type="dxa"/>
            <w:noWrap w:val="0"/>
            <w:vAlign w:val="center"/>
          </w:tcPr>
          <w:p w14:paraId="626FF5AA">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26102</w:t>
            </w:r>
          </w:p>
        </w:tc>
        <w:tc>
          <w:tcPr>
            <w:tcW w:w="1545" w:type="dxa"/>
            <w:noWrap w:val="0"/>
            <w:vAlign w:val="center"/>
          </w:tcPr>
          <w:p w14:paraId="38BE5AB7">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5478</w:t>
            </w:r>
          </w:p>
        </w:tc>
        <w:tc>
          <w:tcPr>
            <w:tcW w:w="1475" w:type="dxa"/>
            <w:noWrap w:val="0"/>
            <w:vAlign w:val="center"/>
          </w:tcPr>
          <w:p w14:paraId="3723C5A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c>
          <w:tcPr>
            <w:tcW w:w="917" w:type="dxa"/>
            <w:noWrap w:val="0"/>
            <w:vAlign w:val="center"/>
          </w:tcPr>
          <w:p w14:paraId="6DD76981">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0</w:t>
            </w:r>
          </w:p>
        </w:tc>
        <w:tc>
          <w:tcPr>
            <w:tcW w:w="998" w:type="dxa"/>
            <w:noWrap w:val="0"/>
            <w:vAlign w:val="center"/>
          </w:tcPr>
          <w:p w14:paraId="294D2DCF">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8</w:t>
            </w:r>
          </w:p>
        </w:tc>
        <w:tc>
          <w:tcPr>
            <w:tcW w:w="1239" w:type="dxa"/>
            <w:noWrap w:val="0"/>
            <w:vAlign w:val="center"/>
          </w:tcPr>
          <w:p w14:paraId="6224436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104</w:t>
            </w:r>
          </w:p>
        </w:tc>
      </w:tr>
      <w:tr w14:paraId="66358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0B1F4107">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琼中</w:t>
            </w:r>
          </w:p>
        </w:tc>
        <w:tc>
          <w:tcPr>
            <w:tcW w:w="1494" w:type="dxa"/>
            <w:noWrap w:val="0"/>
            <w:vAlign w:val="center"/>
          </w:tcPr>
          <w:p w14:paraId="70118222">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10455</w:t>
            </w:r>
          </w:p>
        </w:tc>
        <w:tc>
          <w:tcPr>
            <w:tcW w:w="1545" w:type="dxa"/>
            <w:noWrap w:val="0"/>
            <w:vAlign w:val="center"/>
          </w:tcPr>
          <w:p w14:paraId="23B4B5FE">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6508</w:t>
            </w:r>
          </w:p>
        </w:tc>
        <w:tc>
          <w:tcPr>
            <w:tcW w:w="1475" w:type="dxa"/>
            <w:noWrap w:val="0"/>
            <w:vAlign w:val="center"/>
          </w:tcPr>
          <w:p w14:paraId="1FD38956">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5004</w:t>
            </w:r>
          </w:p>
        </w:tc>
        <w:tc>
          <w:tcPr>
            <w:tcW w:w="917" w:type="dxa"/>
            <w:noWrap w:val="0"/>
            <w:vAlign w:val="center"/>
          </w:tcPr>
          <w:p w14:paraId="0BDEB475">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0</w:t>
            </w:r>
          </w:p>
        </w:tc>
        <w:tc>
          <w:tcPr>
            <w:tcW w:w="998" w:type="dxa"/>
            <w:noWrap w:val="0"/>
            <w:vAlign w:val="center"/>
          </w:tcPr>
          <w:p w14:paraId="43EC2897">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7</w:t>
            </w:r>
          </w:p>
        </w:tc>
        <w:tc>
          <w:tcPr>
            <w:tcW w:w="1239" w:type="dxa"/>
            <w:noWrap w:val="0"/>
            <w:vAlign w:val="center"/>
          </w:tcPr>
          <w:p w14:paraId="1A5D4380">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100</w:t>
            </w:r>
          </w:p>
        </w:tc>
      </w:tr>
      <w:tr w14:paraId="1C627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265B5A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临高</w:t>
            </w:r>
          </w:p>
        </w:tc>
        <w:tc>
          <w:tcPr>
            <w:tcW w:w="1494" w:type="dxa"/>
            <w:noWrap w:val="0"/>
            <w:vAlign w:val="center"/>
          </w:tcPr>
          <w:p w14:paraId="6241997C">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12810</w:t>
            </w:r>
          </w:p>
        </w:tc>
        <w:tc>
          <w:tcPr>
            <w:tcW w:w="1545" w:type="dxa"/>
            <w:noWrap w:val="0"/>
            <w:vAlign w:val="center"/>
          </w:tcPr>
          <w:p w14:paraId="4D64CAF9">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31260</w:t>
            </w:r>
          </w:p>
        </w:tc>
        <w:tc>
          <w:tcPr>
            <w:tcW w:w="1475" w:type="dxa"/>
            <w:noWrap w:val="0"/>
            <w:vAlign w:val="center"/>
          </w:tcPr>
          <w:p w14:paraId="240CCE4E">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c>
          <w:tcPr>
            <w:tcW w:w="917" w:type="dxa"/>
            <w:noWrap w:val="0"/>
            <w:vAlign w:val="center"/>
          </w:tcPr>
          <w:p w14:paraId="69CE8F55">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1137</w:t>
            </w:r>
          </w:p>
        </w:tc>
        <w:tc>
          <w:tcPr>
            <w:tcW w:w="998" w:type="dxa"/>
            <w:noWrap w:val="0"/>
            <w:vAlign w:val="center"/>
          </w:tcPr>
          <w:p w14:paraId="59861704">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11</w:t>
            </w:r>
          </w:p>
        </w:tc>
        <w:tc>
          <w:tcPr>
            <w:tcW w:w="1239" w:type="dxa"/>
            <w:noWrap w:val="0"/>
            <w:vAlign w:val="center"/>
          </w:tcPr>
          <w:p w14:paraId="08D0406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156</w:t>
            </w:r>
          </w:p>
        </w:tc>
      </w:tr>
      <w:tr w14:paraId="5051D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2F50876">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三沙</w:t>
            </w:r>
          </w:p>
        </w:tc>
        <w:tc>
          <w:tcPr>
            <w:tcW w:w="1494" w:type="dxa"/>
            <w:noWrap w:val="0"/>
            <w:vAlign w:val="center"/>
          </w:tcPr>
          <w:p w14:paraId="7D2C6AF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210</w:t>
            </w:r>
          </w:p>
        </w:tc>
        <w:tc>
          <w:tcPr>
            <w:tcW w:w="1545" w:type="dxa"/>
            <w:noWrap w:val="0"/>
            <w:vAlign w:val="center"/>
          </w:tcPr>
          <w:p w14:paraId="7EAB7355">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c>
          <w:tcPr>
            <w:tcW w:w="1475" w:type="dxa"/>
            <w:noWrap w:val="0"/>
            <w:vAlign w:val="center"/>
          </w:tcPr>
          <w:p w14:paraId="18BF45BD">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50</w:t>
            </w:r>
          </w:p>
        </w:tc>
        <w:tc>
          <w:tcPr>
            <w:tcW w:w="917" w:type="dxa"/>
            <w:noWrap w:val="0"/>
            <w:vAlign w:val="center"/>
          </w:tcPr>
          <w:p w14:paraId="46A6EC8D">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2</w:t>
            </w:r>
          </w:p>
        </w:tc>
        <w:tc>
          <w:tcPr>
            <w:tcW w:w="998" w:type="dxa"/>
            <w:noWrap w:val="0"/>
            <w:vAlign w:val="center"/>
          </w:tcPr>
          <w:p w14:paraId="6B18F15D">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w:t>
            </w:r>
          </w:p>
        </w:tc>
        <w:tc>
          <w:tcPr>
            <w:tcW w:w="1239" w:type="dxa"/>
            <w:noWrap w:val="0"/>
            <w:vAlign w:val="center"/>
          </w:tcPr>
          <w:p w14:paraId="5EB55D28">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r>
      <w:tr w14:paraId="4C34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C097AB8">
            <w:pPr>
              <w:tabs>
                <w:tab w:val="left" w:pos="371"/>
              </w:tabs>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三亚</w:t>
            </w:r>
          </w:p>
        </w:tc>
        <w:tc>
          <w:tcPr>
            <w:tcW w:w="1494" w:type="dxa"/>
            <w:noWrap w:val="0"/>
            <w:vAlign w:val="center"/>
          </w:tcPr>
          <w:p w14:paraId="2DA4BA0B">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0</w:t>
            </w:r>
          </w:p>
        </w:tc>
        <w:tc>
          <w:tcPr>
            <w:tcW w:w="1545" w:type="dxa"/>
            <w:noWrap w:val="0"/>
            <w:vAlign w:val="center"/>
          </w:tcPr>
          <w:p w14:paraId="29349C5A">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23638</w:t>
            </w:r>
          </w:p>
        </w:tc>
        <w:tc>
          <w:tcPr>
            <w:tcW w:w="1475" w:type="dxa"/>
            <w:noWrap w:val="0"/>
            <w:vAlign w:val="center"/>
          </w:tcPr>
          <w:p w14:paraId="0462F73C">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148</w:t>
            </w:r>
          </w:p>
        </w:tc>
        <w:tc>
          <w:tcPr>
            <w:tcW w:w="917" w:type="dxa"/>
            <w:noWrap w:val="0"/>
            <w:vAlign w:val="center"/>
          </w:tcPr>
          <w:p w14:paraId="4197DAA6">
            <w:pPr>
              <w:adjustRightInd w:val="0"/>
              <w:snapToGrid w:val="0"/>
              <w:jc w:val="center"/>
              <w:rPr>
                <w:rFonts w:hint="eastAsia" w:ascii="仿宋" w:hAnsi="仿宋" w:eastAsia="仿宋" w:cs="仿宋"/>
                <w:color w:val="auto"/>
                <w:sz w:val="20"/>
                <w:szCs w:val="20"/>
                <w:highlight w:val="none"/>
              </w:rPr>
            </w:pPr>
            <w:r>
              <w:rPr>
                <w:rFonts w:hint="eastAsia" w:ascii="仿宋" w:hAnsi="仿宋" w:eastAsia="仿宋" w:cs="仿宋"/>
                <w:color w:val="auto"/>
                <w:kern w:val="28"/>
                <w:sz w:val="20"/>
                <w:szCs w:val="20"/>
                <w:highlight w:val="none"/>
              </w:rPr>
              <w:t>230</w:t>
            </w:r>
          </w:p>
        </w:tc>
        <w:tc>
          <w:tcPr>
            <w:tcW w:w="998" w:type="dxa"/>
            <w:noWrap w:val="0"/>
            <w:vAlign w:val="center"/>
          </w:tcPr>
          <w:p w14:paraId="42E136A6">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4</w:t>
            </w:r>
          </w:p>
        </w:tc>
        <w:tc>
          <w:tcPr>
            <w:tcW w:w="1239" w:type="dxa"/>
            <w:noWrap w:val="0"/>
            <w:vAlign w:val="center"/>
          </w:tcPr>
          <w:p w14:paraId="02F30A81">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rPr>
              <w:t>92</w:t>
            </w:r>
          </w:p>
        </w:tc>
      </w:tr>
      <w:tr w14:paraId="69E68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BAB9382">
            <w:pPr>
              <w:tabs>
                <w:tab w:val="left" w:pos="371"/>
              </w:tabs>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儋州</w:t>
            </w:r>
          </w:p>
        </w:tc>
        <w:tc>
          <w:tcPr>
            <w:tcW w:w="1494" w:type="dxa"/>
            <w:noWrap w:val="0"/>
            <w:vAlign w:val="center"/>
          </w:tcPr>
          <w:p w14:paraId="65DC9BF3">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20265</w:t>
            </w:r>
          </w:p>
        </w:tc>
        <w:tc>
          <w:tcPr>
            <w:tcW w:w="1545" w:type="dxa"/>
            <w:noWrap w:val="0"/>
            <w:vAlign w:val="center"/>
          </w:tcPr>
          <w:p w14:paraId="0E4F1BF6">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9223</w:t>
            </w:r>
          </w:p>
        </w:tc>
        <w:tc>
          <w:tcPr>
            <w:tcW w:w="1475" w:type="dxa"/>
            <w:noWrap w:val="0"/>
            <w:vAlign w:val="center"/>
          </w:tcPr>
          <w:p w14:paraId="47FF4B44">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21428</w:t>
            </w:r>
          </w:p>
        </w:tc>
        <w:tc>
          <w:tcPr>
            <w:tcW w:w="917" w:type="dxa"/>
            <w:noWrap w:val="0"/>
            <w:vAlign w:val="center"/>
          </w:tcPr>
          <w:p w14:paraId="34034483">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496</w:t>
            </w:r>
          </w:p>
        </w:tc>
        <w:tc>
          <w:tcPr>
            <w:tcW w:w="998" w:type="dxa"/>
            <w:noWrap w:val="0"/>
            <w:vAlign w:val="center"/>
          </w:tcPr>
          <w:p w14:paraId="525A83B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16</w:t>
            </w:r>
          </w:p>
        </w:tc>
        <w:tc>
          <w:tcPr>
            <w:tcW w:w="1239" w:type="dxa"/>
            <w:noWrap w:val="0"/>
            <w:vAlign w:val="center"/>
          </w:tcPr>
          <w:p w14:paraId="39FAFC4B">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231</w:t>
            </w:r>
          </w:p>
        </w:tc>
      </w:tr>
      <w:tr w14:paraId="141A3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15A36994">
            <w:pPr>
              <w:tabs>
                <w:tab w:val="left" w:pos="371"/>
              </w:tabs>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万宁</w:t>
            </w:r>
          </w:p>
        </w:tc>
        <w:tc>
          <w:tcPr>
            <w:tcW w:w="1494" w:type="dxa"/>
            <w:noWrap w:val="0"/>
            <w:vAlign w:val="center"/>
          </w:tcPr>
          <w:p w14:paraId="40DD106F">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4321</w:t>
            </w:r>
          </w:p>
        </w:tc>
        <w:tc>
          <w:tcPr>
            <w:tcW w:w="1545" w:type="dxa"/>
            <w:noWrap w:val="0"/>
            <w:vAlign w:val="center"/>
          </w:tcPr>
          <w:p w14:paraId="58CAB0DB">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11040</w:t>
            </w:r>
          </w:p>
        </w:tc>
        <w:tc>
          <w:tcPr>
            <w:tcW w:w="1475" w:type="dxa"/>
            <w:noWrap w:val="0"/>
            <w:vAlign w:val="center"/>
          </w:tcPr>
          <w:p w14:paraId="637EBE9B">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3574</w:t>
            </w:r>
          </w:p>
        </w:tc>
        <w:tc>
          <w:tcPr>
            <w:tcW w:w="917" w:type="dxa"/>
            <w:noWrap w:val="0"/>
            <w:vAlign w:val="center"/>
          </w:tcPr>
          <w:p w14:paraId="36A1A6E4">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46</w:t>
            </w:r>
          </w:p>
        </w:tc>
        <w:tc>
          <w:tcPr>
            <w:tcW w:w="998" w:type="dxa"/>
            <w:noWrap w:val="0"/>
            <w:vAlign w:val="center"/>
          </w:tcPr>
          <w:p w14:paraId="12193D0D">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12</w:t>
            </w:r>
          </w:p>
        </w:tc>
        <w:tc>
          <w:tcPr>
            <w:tcW w:w="1239" w:type="dxa"/>
            <w:noWrap w:val="0"/>
            <w:vAlign w:val="center"/>
          </w:tcPr>
          <w:p w14:paraId="0F708A4C">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197</w:t>
            </w:r>
          </w:p>
        </w:tc>
      </w:tr>
      <w:tr w14:paraId="4EECF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03A99E7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五指山</w:t>
            </w:r>
          </w:p>
        </w:tc>
        <w:tc>
          <w:tcPr>
            <w:tcW w:w="1494" w:type="dxa"/>
            <w:noWrap w:val="0"/>
            <w:vAlign w:val="center"/>
          </w:tcPr>
          <w:p w14:paraId="71B6449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6878</w:t>
            </w:r>
          </w:p>
        </w:tc>
        <w:tc>
          <w:tcPr>
            <w:tcW w:w="1545" w:type="dxa"/>
            <w:noWrap w:val="0"/>
            <w:vAlign w:val="center"/>
          </w:tcPr>
          <w:p w14:paraId="0AA5840D">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1863</w:t>
            </w:r>
          </w:p>
        </w:tc>
        <w:tc>
          <w:tcPr>
            <w:tcW w:w="1475" w:type="dxa"/>
            <w:noWrap w:val="0"/>
            <w:vAlign w:val="center"/>
          </w:tcPr>
          <w:p w14:paraId="7DD0DFBB">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91</w:t>
            </w:r>
          </w:p>
        </w:tc>
        <w:tc>
          <w:tcPr>
            <w:tcW w:w="917" w:type="dxa"/>
            <w:noWrap w:val="0"/>
            <w:vAlign w:val="center"/>
          </w:tcPr>
          <w:p w14:paraId="29070F3F">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0</w:t>
            </w:r>
          </w:p>
        </w:tc>
        <w:tc>
          <w:tcPr>
            <w:tcW w:w="998" w:type="dxa"/>
            <w:noWrap w:val="0"/>
            <w:vAlign w:val="center"/>
          </w:tcPr>
          <w:p w14:paraId="406F2629">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7</w:t>
            </w:r>
          </w:p>
        </w:tc>
        <w:tc>
          <w:tcPr>
            <w:tcW w:w="1239" w:type="dxa"/>
            <w:noWrap w:val="0"/>
            <w:vAlign w:val="center"/>
          </w:tcPr>
          <w:p w14:paraId="57240CC4">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59</w:t>
            </w:r>
          </w:p>
        </w:tc>
      </w:tr>
      <w:tr w14:paraId="04D8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5C84EC7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东方市</w:t>
            </w:r>
          </w:p>
        </w:tc>
        <w:tc>
          <w:tcPr>
            <w:tcW w:w="1494" w:type="dxa"/>
            <w:noWrap w:val="0"/>
            <w:vAlign w:val="center"/>
          </w:tcPr>
          <w:p w14:paraId="260BE8EC">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2929</w:t>
            </w:r>
          </w:p>
        </w:tc>
        <w:tc>
          <w:tcPr>
            <w:tcW w:w="1545" w:type="dxa"/>
            <w:noWrap w:val="0"/>
            <w:vAlign w:val="center"/>
          </w:tcPr>
          <w:p w14:paraId="638A11B0">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5449</w:t>
            </w:r>
          </w:p>
        </w:tc>
        <w:tc>
          <w:tcPr>
            <w:tcW w:w="1475" w:type="dxa"/>
            <w:noWrap w:val="0"/>
            <w:vAlign w:val="center"/>
          </w:tcPr>
          <w:p w14:paraId="3ACC077E">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35545</w:t>
            </w:r>
          </w:p>
        </w:tc>
        <w:tc>
          <w:tcPr>
            <w:tcW w:w="917" w:type="dxa"/>
            <w:noWrap w:val="0"/>
            <w:vAlign w:val="center"/>
          </w:tcPr>
          <w:p w14:paraId="4B889EEE">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35</w:t>
            </w:r>
          </w:p>
        </w:tc>
        <w:tc>
          <w:tcPr>
            <w:tcW w:w="998" w:type="dxa"/>
            <w:noWrap w:val="0"/>
            <w:vAlign w:val="center"/>
          </w:tcPr>
          <w:p w14:paraId="6837B71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10</w:t>
            </w:r>
          </w:p>
        </w:tc>
        <w:tc>
          <w:tcPr>
            <w:tcW w:w="1239" w:type="dxa"/>
            <w:noWrap w:val="0"/>
            <w:vAlign w:val="center"/>
          </w:tcPr>
          <w:p w14:paraId="3D4E69F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181</w:t>
            </w:r>
          </w:p>
        </w:tc>
      </w:tr>
      <w:tr w14:paraId="0901F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4E87990E">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陵水</w:t>
            </w:r>
          </w:p>
        </w:tc>
        <w:tc>
          <w:tcPr>
            <w:tcW w:w="1494" w:type="dxa"/>
            <w:noWrap w:val="0"/>
            <w:vAlign w:val="center"/>
          </w:tcPr>
          <w:p w14:paraId="7F9D1529">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10167</w:t>
            </w:r>
          </w:p>
        </w:tc>
        <w:tc>
          <w:tcPr>
            <w:tcW w:w="1545" w:type="dxa"/>
            <w:noWrap w:val="0"/>
            <w:vAlign w:val="center"/>
          </w:tcPr>
          <w:p w14:paraId="08CF4276">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27258</w:t>
            </w:r>
          </w:p>
        </w:tc>
        <w:tc>
          <w:tcPr>
            <w:tcW w:w="1475" w:type="dxa"/>
            <w:noWrap w:val="0"/>
            <w:vAlign w:val="center"/>
          </w:tcPr>
          <w:p w14:paraId="240AF86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6260</w:t>
            </w:r>
          </w:p>
        </w:tc>
        <w:tc>
          <w:tcPr>
            <w:tcW w:w="917" w:type="dxa"/>
            <w:noWrap w:val="0"/>
            <w:vAlign w:val="center"/>
          </w:tcPr>
          <w:p w14:paraId="69EB3244">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125</w:t>
            </w:r>
          </w:p>
        </w:tc>
        <w:tc>
          <w:tcPr>
            <w:tcW w:w="998" w:type="dxa"/>
            <w:noWrap w:val="0"/>
            <w:vAlign w:val="center"/>
          </w:tcPr>
          <w:p w14:paraId="6FC3E3B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11</w:t>
            </w:r>
          </w:p>
        </w:tc>
        <w:tc>
          <w:tcPr>
            <w:tcW w:w="1239" w:type="dxa"/>
            <w:noWrap w:val="0"/>
            <w:vAlign w:val="center"/>
          </w:tcPr>
          <w:p w14:paraId="5225C391">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107</w:t>
            </w:r>
          </w:p>
        </w:tc>
      </w:tr>
      <w:tr w14:paraId="2CFC7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073" w:type="dxa"/>
            <w:noWrap w:val="0"/>
            <w:vAlign w:val="center"/>
          </w:tcPr>
          <w:p w14:paraId="5B5E708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乐东</w:t>
            </w:r>
          </w:p>
        </w:tc>
        <w:tc>
          <w:tcPr>
            <w:tcW w:w="1494" w:type="dxa"/>
            <w:noWrap w:val="0"/>
            <w:vAlign w:val="center"/>
          </w:tcPr>
          <w:p w14:paraId="21A3837C">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7407</w:t>
            </w:r>
          </w:p>
        </w:tc>
        <w:tc>
          <w:tcPr>
            <w:tcW w:w="1545" w:type="dxa"/>
            <w:noWrap w:val="0"/>
            <w:vAlign w:val="center"/>
          </w:tcPr>
          <w:p w14:paraId="55F58C9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32626</w:t>
            </w:r>
          </w:p>
        </w:tc>
        <w:tc>
          <w:tcPr>
            <w:tcW w:w="1475" w:type="dxa"/>
            <w:noWrap w:val="0"/>
            <w:vAlign w:val="center"/>
          </w:tcPr>
          <w:p w14:paraId="5E3A0BEC">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lang w:eastAsia="zh-CN"/>
              </w:rPr>
              <w:t>室</w:t>
            </w:r>
            <w:r>
              <w:rPr>
                <w:rFonts w:hint="eastAsia" w:ascii="仿宋" w:hAnsi="仿宋" w:eastAsia="仿宋" w:cs="仿宋"/>
                <w:color w:val="auto"/>
                <w:kern w:val="28"/>
                <w:sz w:val="20"/>
                <w:szCs w:val="20"/>
                <w:highlight w:val="none"/>
              </w:rPr>
              <w:t>7580</w:t>
            </w:r>
          </w:p>
        </w:tc>
        <w:tc>
          <w:tcPr>
            <w:tcW w:w="917" w:type="dxa"/>
            <w:noWrap w:val="0"/>
            <w:vAlign w:val="center"/>
          </w:tcPr>
          <w:p w14:paraId="5E5025D7">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61</w:t>
            </w:r>
          </w:p>
        </w:tc>
        <w:tc>
          <w:tcPr>
            <w:tcW w:w="998" w:type="dxa"/>
            <w:noWrap w:val="0"/>
            <w:vAlign w:val="center"/>
          </w:tcPr>
          <w:p w14:paraId="0FFC78E4">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11</w:t>
            </w:r>
          </w:p>
        </w:tc>
        <w:tc>
          <w:tcPr>
            <w:tcW w:w="1239" w:type="dxa"/>
            <w:noWrap w:val="0"/>
            <w:vAlign w:val="center"/>
          </w:tcPr>
          <w:p w14:paraId="4F51C473">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173</w:t>
            </w:r>
          </w:p>
        </w:tc>
      </w:tr>
      <w:tr w14:paraId="56AF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2FA5A23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保亭</w:t>
            </w:r>
          </w:p>
        </w:tc>
        <w:tc>
          <w:tcPr>
            <w:tcW w:w="1494" w:type="dxa"/>
            <w:noWrap w:val="0"/>
            <w:vAlign w:val="center"/>
          </w:tcPr>
          <w:p w14:paraId="113B68B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4850</w:t>
            </w:r>
          </w:p>
        </w:tc>
        <w:tc>
          <w:tcPr>
            <w:tcW w:w="1545" w:type="dxa"/>
            <w:noWrap w:val="0"/>
            <w:vAlign w:val="center"/>
          </w:tcPr>
          <w:p w14:paraId="4F46ADD0">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10538</w:t>
            </w:r>
          </w:p>
        </w:tc>
        <w:tc>
          <w:tcPr>
            <w:tcW w:w="1475" w:type="dxa"/>
            <w:noWrap w:val="0"/>
            <w:vAlign w:val="center"/>
          </w:tcPr>
          <w:p w14:paraId="5749644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3804</w:t>
            </w:r>
          </w:p>
        </w:tc>
        <w:tc>
          <w:tcPr>
            <w:tcW w:w="917" w:type="dxa"/>
            <w:noWrap w:val="0"/>
            <w:vAlign w:val="center"/>
          </w:tcPr>
          <w:p w14:paraId="1497EC39">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0</w:t>
            </w:r>
          </w:p>
        </w:tc>
        <w:tc>
          <w:tcPr>
            <w:tcW w:w="998" w:type="dxa"/>
            <w:noWrap w:val="0"/>
            <w:vAlign w:val="center"/>
          </w:tcPr>
          <w:p w14:paraId="39934C6E">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9</w:t>
            </w:r>
          </w:p>
        </w:tc>
        <w:tc>
          <w:tcPr>
            <w:tcW w:w="1239" w:type="dxa"/>
            <w:noWrap w:val="0"/>
            <w:vAlign w:val="center"/>
          </w:tcPr>
          <w:p w14:paraId="01D5E62F">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60</w:t>
            </w:r>
          </w:p>
        </w:tc>
      </w:tr>
      <w:tr w14:paraId="4D3DD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5A309A98">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白沙</w:t>
            </w:r>
          </w:p>
        </w:tc>
        <w:tc>
          <w:tcPr>
            <w:tcW w:w="1494" w:type="dxa"/>
            <w:noWrap w:val="0"/>
            <w:vAlign w:val="center"/>
          </w:tcPr>
          <w:p w14:paraId="4E200F93">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8738</w:t>
            </w:r>
          </w:p>
        </w:tc>
        <w:tc>
          <w:tcPr>
            <w:tcW w:w="1545" w:type="dxa"/>
            <w:noWrap w:val="0"/>
            <w:vAlign w:val="center"/>
          </w:tcPr>
          <w:p w14:paraId="2AF1E92E">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9655</w:t>
            </w:r>
          </w:p>
        </w:tc>
        <w:tc>
          <w:tcPr>
            <w:tcW w:w="1475" w:type="dxa"/>
            <w:noWrap w:val="0"/>
            <w:vAlign w:val="center"/>
          </w:tcPr>
          <w:p w14:paraId="1EB4ABFA">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14548</w:t>
            </w:r>
          </w:p>
        </w:tc>
        <w:tc>
          <w:tcPr>
            <w:tcW w:w="917" w:type="dxa"/>
            <w:noWrap w:val="0"/>
            <w:vAlign w:val="center"/>
          </w:tcPr>
          <w:p w14:paraId="508413FA">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0</w:t>
            </w:r>
          </w:p>
        </w:tc>
        <w:tc>
          <w:tcPr>
            <w:tcW w:w="998" w:type="dxa"/>
            <w:noWrap w:val="0"/>
            <w:vAlign w:val="center"/>
          </w:tcPr>
          <w:p w14:paraId="7368976D">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11</w:t>
            </w:r>
          </w:p>
        </w:tc>
        <w:tc>
          <w:tcPr>
            <w:tcW w:w="1239" w:type="dxa"/>
            <w:noWrap w:val="0"/>
            <w:vAlign w:val="center"/>
          </w:tcPr>
          <w:p w14:paraId="714DC41A">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74</w:t>
            </w:r>
          </w:p>
        </w:tc>
      </w:tr>
      <w:tr w14:paraId="4C47E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174FC1B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昌江</w:t>
            </w:r>
          </w:p>
        </w:tc>
        <w:tc>
          <w:tcPr>
            <w:tcW w:w="1494" w:type="dxa"/>
            <w:noWrap w:val="0"/>
            <w:vAlign w:val="center"/>
          </w:tcPr>
          <w:p w14:paraId="5ED7B79E">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14497</w:t>
            </w:r>
          </w:p>
        </w:tc>
        <w:tc>
          <w:tcPr>
            <w:tcW w:w="1545" w:type="dxa"/>
            <w:noWrap w:val="0"/>
            <w:vAlign w:val="center"/>
          </w:tcPr>
          <w:p w14:paraId="1B97F53A">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3145</w:t>
            </w:r>
          </w:p>
        </w:tc>
        <w:tc>
          <w:tcPr>
            <w:tcW w:w="1475" w:type="dxa"/>
            <w:noWrap w:val="0"/>
            <w:vAlign w:val="center"/>
          </w:tcPr>
          <w:p w14:paraId="494FABD5">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1204</w:t>
            </w:r>
          </w:p>
        </w:tc>
        <w:tc>
          <w:tcPr>
            <w:tcW w:w="917" w:type="dxa"/>
            <w:noWrap w:val="0"/>
            <w:vAlign w:val="center"/>
          </w:tcPr>
          <w:p w14:paraId="0803654A">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64</w:t>
            </w:r>
          </w:p>
        </w:tc>
        <w:tc>
          <w:tcPr>
            <w:tcW w:w="998" w:type="dxa"/>
            <w:noWrap w:val="0"/>
            <w:vAlign w:val="center"/>
          </w:tcPr>
          <w:p w14:paraId="6284816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8</w:t>
            </w:r>
          </w:p>
        </w:tc>
        <w:tc>
          <w:tcPr>
            <w:tcW w:w="1239" w:type="dxa"/>
            <w:noWrap w:val="0"/>
            <w:vAlign w:val="center"/>
          </w:tcPr>
          <w:p w14:paraId="2FC989ED">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74</w:t>
            </w:r>
          </w:p>
        </w:tc>
      </w:tr>
      <w:tr w14:paraId="71E90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00765C12">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洋浦</w:t>
            </w:r>
          </w:p>
        </w:tc>
        <w:tc>
          <w:tcPr>
            <w:tcW w:w="1494" w:type="dxa"/>
            <w:noWrap w:val="0"/>
            <w:vAlign w:val="center"/>
          </w:tcPr>
          <w:p w14:paraId="5B2AAE13">
            <w:pPr>
              <w:adjustRightInd w:val="0"/>
              <w:snapToGrid w:val="0"/>
              <w:jc w:val="center"/>
              <w:rPr>
                <w:rFonts w:hint="eastAsia" w:ascii="仿宋" w:hAnsi="仿宋" w:eastAsia="仿宋" w:cs="仿宋"/>
                <w:color w:val="auto"/>
                <w:kern w:val="28"/>
                <w:sz w:val="20"/>
                <w:szCs w:val="20"/>
                <w:highlight w:val="none"/>
                <w:lang w:val="en-US" w:eastAsia="zh-CN" w:bidi="ar-SA"/>
              </w:rPr>
            </w:pPr>
          </w:p>
        </w:tc>
        <w:tc>
          <w:tcPr>
            <w:tcW w:w="1545" w:type="dxa"/>
            <w:noWrap w:val="0"/>
            <w:vAlign w:val="center"/>
          </w:tcPr>
          <w:p w14:paraId="2578B311">
            <w:pPr>
              <w:adjustRightInd w:val="0"/>
              <w:snapToGrid w:val="0"/>
              <w:jc w:val="center"/>
              <w:rPr>
                <w:rFonts w:hint="eastAsia" w:ascii="仿宋" w:hAnsi="仿宋" w:eastAsia="仿宋" w:cs="仿宋"/>
                <w:color w:val="auto"/>
                <w:kern w:val="28"/>
                <w:sz w:val="20"/>
                <w:szCs w:val="20"/>
                <w:highlight w:val="none"/>
                <w:lang w:val="en-US" w:eastAsia="zh-CN" w:bidi="ar-SA"/>
              </w:rPr>
            </w:pPr>
          </w:p>
        </w:tc>
        <w:tc>
          <w:tcPr>
            <w:tcW w:w="1475" w:type="dxa"/>
            <w:noWrap w:val="0"/>
            <w:vAlign w:val="center"/>
          </w:tcPr>
          <w:p w14:paraId="6370E006">
            <w:pPr>
              <w:adjustRightInd w:val="0"/>
              <w:snapToGrid w:val="0"/>
              <w:jc w:val="center"/>
              <w:rPr>
                <w:rFonts w:hint="eastAsia" w:ascii="仿宋" w:hAnsi="仿宋" w:eastAsia="仿宋" w:cs="仿宋"/>
                <w:color w:val="auto"/>
                <w:kern w:val="28"/>
                <w:sz w:val="20"/>
                <w:szCs w:val="20"/>
                <w:highlight w:val="none"/>
                <w:lang w:val="en-US" w:eastAsia="zh-CN" w:bidi="ar-SA"/>
              </w:rPr>
            </w:pPr>
          </w:p>
        </w:tc>
        <w:tc>
          <w:tcPr>
            <w:tcW w:w="917" w:type="dxa"/>
            <w:noWrap w:val="0"/>
            <w:vAlign w:val="center"/>
          </w:tcPr>
          <w:p w14:paraId="5FF4D9CB">
            <w:pPr>
              <w:adjustRightInd w:val="0"/>
              <w:snapToGrid w:val="0"/>
              <w:jc w:val="center"/>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8"/>
                <w:sz w:val="20"/>
                <w:szCs w:val="20"/>
                <w:highlight w:val="none"/>
              </w:rPr>
              <w:t>122</w:t>
            </w:r>
          </w:p>
        </w:tc>
        <w:tc>
          <w:tcPr>
            <w:tcW w:w="998" w:type="dxa"/>
            <w:noWrap w:val="0"/>
            <w:vAlign w:val="center"/>
          </w:tcPr>
          <w:p w14:paraId="4843C0AC">
            <w:pPr>
              <w:adjustRightInd w:val="0"/>
              <w:snapToGrid w:val="0"/>
              <w:jc w:val="center"/>
              <w:rPr>
                <w:rFonts w:hint="eastAsia" w:ascii="仿宋" w:hAnsi="仿宋" w:eastAsia="仿宋" w:cs="仿宋"/>
                <w:color w:val="auto"/>
                <w:kern w:val="28"/>
                <w:sz w:val="20"/>
                <w:szCs w:val="20"/>
                <w:highlight w:val="none"/>
                <w:lang w:val="en-US" w:eastAsia="zh-CN" w:bidi="ar-SA"/>
              </w:rPr>
            </w:pPr>
          </w:p>
        </w:tc>
        <w:tc>
          <w:tcPr>
            <w:tcW w:w="1239" w:type="dxa"/>
            <w:noWrap w:val="0"/>
            <w:vAlign w:val="center"/>
          </w:tcPr>
          <w:p w14:paraId="6E82988E">
            <w:pPr>
              <w:adjustRightInd w:val="0"/>
              <w:snapToGrid w:val="0"/>
              <w:jc w:val="center"/>
              <w:rPr>
                <w:rFonts w:hint="eastAsia" w:ascii="仿宋" w:hAnsi="仿宋" w:eastAsia="仿宋" w:cs="仿宋"/>
                <w:color w:val="auto"/>
                <w:kern w:val="28"/>
                <w:sz w:val="20"/>
                <w:szCs w:val="20"/>
                <w:highlight w:val="none"/>
                <w:lang w:val="en-US" w:eastAsia="zh-CN" w:bidi="ar-SA"/>
              </w:rPr>
            </w:pPr>
          </w:p>
        </w:tc>
      </w:tr>
      <w:tr w14:paraId="55B56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135BC6F2">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rPr>
              <w:t>合计</w:t>
            </w:r>
          </w:p>
        </w:tc>
        <w:tc>
          <w:tcPr>
            <w:tcW w:w="1494" w:type="dxa"/>
            <w:noWrap w:val="0"/>
            <w:vAlign w:val="center"/>
          </w:tcPr>
          <w:p w14:paraId="23C1E18E">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lang w:val="en"/>
              </w:rPr>
              <w:t>178447</w:t>
            </w:r>
          </w:p>
        </w:tc>
        <w:tc>
          <w:tcPr>
            <w:tcW w:w="1545" w:type="dxa"/>
            <w:noWrap w:val="0"/>
            <w:vAlign w:val="center"/>
          </w:tcPr>
          <w:p w14:paraId="3403B7BC">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lang w:val="en"/>
              </w:rPr>
              <w:t>294803</w:t>
            </w:r>
          </w:p>
        </w:tc>
        <w:tc>
          <w:tcPr>
            <w:tcW w:w="1475" w:type="dxa"/>
            <w:noWrap w:val="0"/>
            <w:vAlign w:val="center"/>
          </w:tcPr>
          <w:p w14:paraId="6348F473">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lang w:val="en"/>
              </w:rPr>
              <w:t>125312</w:t>
            </w:r>
          </w:p>
        </w:tc>
        <w:tc>
          <w:tcPr>
            <w:tcW w:w="917" w:type="dxa"/>
            <w:noWrap w:val="0"/>
            <w:vAlign w:val="center"/>
          </w:tcPr>
          <w:p w14:paraId="56C1C81B">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lang w:val="en"/>
              </w:rPr>
              <w:t>2617</w:t>
            </w:r>
          </w:p>
        </w:tc>
        <w:tc>
          <w:tcPr>
            <w:tcW w:w="998" w:type="dxa"/>
            <w:noWrap w:val="0"/>
            <w:vAlign w:val="center"/>
          </w:tcPr>
          <w:p w14:paraId="7575A2A7">
            <w:pPr>
              <w:adjustRightInd w:val="0"/>
              <w:snapToGrid w:val="0"/>
              <w:jc w:val="center"/>
              <w:rPr>
                <w:rFonts w:hint="eastAsia" w:ascii="仿宋" w:hAnsi="仿宋" w:eastAsia="仿宋" w:cs="仿宋"/>
                <w:color w:val="auto"/>
                <w:kern w:val="28"/>
                <w:sz w:val="20"/>
                <w:szCs w:val="20"/>
                <w:highlight w:val="none"/>
                <w:lang w:val="en-US" w:eastAsia="zh-CN" w:bidi="ar-SA"/>
              </w:rPr>
            </w:pPr>
            <w:r>
              <w:rPr>
                <w:rFonts w:hint="eastAsia" w:ascii="仿宋" w:hAnsi="仿宋" w:eastAsia="仿宋" w:cs="仿宋"/>
                <w:color w:val="auto"/>
                <w:kern w:val="28"/>
                <w:sz w:val="20"/>
                <w:szCs w:val="20"/>
                <w:highlight w:val="none"/>
                <w:lang w:val="en"/>
              </w:rPr>
              <w:t>198</w:t>
            </w:r>
          </w:p>
        </w:tc>
        <w:tc>
          <w:tcPr>
            <w:tcW w:w="1239" w:type="dxa"/>
            <w:noWrap w:val="0"/>
            <w:vAlign w:val="center"/>
          </w:tcPr>
          <w:p w14:paraId="70E01B76">
            <w:pPr>
              <w:adjustRightInd w:val="0"/>
              <w:snapToGrid w:val="0"/>
              <w:jc w:val="center"/>
              <w:rPr>
                <w:rFonts w:hint="eastAsia" w:ascii="仿宋" w:hAnsi="仿宋" w:eastAsia="仿宋" w:cs="仿宋"/>
                <w:color w:val="auto"/>
                <w:kern w:val="28"/>
                <w:sz w:val="20"/>
                <w:szCs w:val="20"/>
                <w:highlight w:val="none"/>
              </w:rPr>
            </w:pPr>
            <w:r>
              <w:rPr>
                <w:rFonts w:hint="eastAsia" w:ascii="仿宋" w:hAnsi="仿宋" w:eastAsia="仿宋" w:cs="仿宋"/>
                <w:color w:val="auto"/>
                <w:kern w:val="28"/>
                <w:sz w:val="20"/>
                <w:szCs w:val="20"/>
                <w:highlight w:val="none"/>
                <w:lang w:val="en"/>
              </w:rPr>
              <w:t>2549</w:t>
            </w:r>
          </w:p>
        </w:tc>
      </w:tr>
      <w:tr w14:paraId="5D1A5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73" w:type="dxa"/>
            <w:noWrap w:val="0"/>
            <w:vAlign w:val="center"/>
          </w:tcPr>
          <w:p w14:paraId="7543ABD3">
            <w:pPr>
              <w:adjustRightInd w:val="0"/>
              <w:snapToGrid w:val="0"/>
              <w:jc w:val="center"/>
              <w:rPr>
                <w:rFonts w:hint="eastAsia" w:ascii="仿宋" w:hAnsi="仿宋" w:eastAsia="仿宋" w:cs="仿宋"/>
                <w:color w:val="auto"/>
                <w:kern w:val="28"/>
                <w:sz w:val="20"/>
                <w:szCs w:val="20"/>
                <w:highlight w:val="none"/>
              </w:rPr>
            </w:pPr>
          </w:p>
        </w:tc>
        <w:tc>
          <w:tcPr>
            <w:tcW w:w="1494" w:type="dxa"/>
            <w:noWrap w:val="0"/>
            <w:vAlign w:val="center"/>
          </w:tcPr>
          <w:p w14:paraId="121600A5">
            <w:pPr>
              <w:adjustRightInd w:val="0"/>
              <w:snapToGrid w:val="0"/>
              <w:jc w:val="center"/>
              <w:rPr>
                <w:rFonts w:hint="eastAsia" w:ascii="仿宋" w:hAnsi="仿宋" w:eastAsia="仿宋" w:cs="仿宋"/>
                <w:color w:val="auto"/>
                <w:kern w:val="28"/>
                <w:sz w:val="20"/>
                <w:szCs w:val="20"/>
                <w:highlight w:val="none"/>
                <w:lang w:val="en"/>
              </w:rPr>
            </w:pPr>
          </w:p>
        </w:tc>
        <w:tc>
          <w:tcPr>
            <w:tcW w:w="1545" w:type="dxa"/>
            <w:noWrap w:val="0"/>
            <w:vAlign w:val="center"/>
          </w:tcPr>
          <w:p w14:paraId="67612E71">
            <w:pPr>
              <w:adjustRightInd w:val="0"/>
              <w:snapToGrid w:val="0"/>
              <w:jc w:val="center"/>
              <w:rPr>
                <w:rFonts w:hint="eastAsia" w:ascii="仿宋" w:hAnsi="仿宋" w:eastAsia="仿宋" w:cs="仿宋"/>
                <w:color w:val="auto"/>
                <w:kern w:val="28"/>
                <w:sz w:val="20"/>
                <w:szCs w:val="20"/>
                <w:highlight w:val="none"/>
                <w:lang w:val="en"/>
              </w:rPr>
            </w:pPr>
          </w:p>
        </w:tc>
        <w:tc>
          <w:tcPr>
            <w:tcW w:w="1475" w:type="dxa"/>
            <w:noWrap w:val="0"/>
            <w:vAlign w:val="center"/>
          </w:tcPr>
          <w:p w14:paraId="271BD67B">
            <w:pPr>
              <w:adjustRightInd w:val="0"/>
              <w:snapToGrid w:val="0"/>
              <w:jc w:val="center"/>
              <w:rPr>
                <w:rFonts w:hint="eastAsia" w:ascii="仿宋" w:hAnsi="仿宋" w:eastAsia="仿宋" w:cs="仿宋"/>
                <w:color w:val="auto"/>
                <w:kern w:val="28"/>
                <w:sz w:val="20"/>
                <w:szCs w:val="20"/>
                <w:highlight w:val="none"/>
                <w:lang w:val="en"/>
              </w:rPr>
            </w:pPr>
          </w:p>
        </w:tc>
        <w:tc>
          <w:tcPr>
            <w:tcW w:w="917" w:type="dxa"/>
            <w:noWrap w:val="0"/>
            <w:vAlign w:val="center"/>
          </w:tcPr>
          <w:p w14:paraId="765B4219">
            <w:pPr>
              <w:adjustRightInd w:val="0"/>
              <w:snapToGrid w:val="0"/>
              <w:jc w:val="center"/>
              <w:rPr>
                <w:rFonts w:hint="eastAsia" w:ascii="仿宋" w:hAnsi="仿宋" w:eastAsia="仿宋" w:cs="仿宋"/>
                <w:color w:val="auto"/>
                <w:kern w:val="28"/>
                <w:sz w:val="20"/>
                <w:szCs w:val="20"/>
                <w:highlight w:val="none"/>
                <w:lang w:val="en"/>
              </w:rPr>
            </w:pPr>
          </w:p>
        </w:tc>
        <w:tc>
          <w:tcPr>
            <w:tcW w:w="998" w:type="dxa"/>
            <w:noWrap w:val="0"/>
            <w:vAlign w:val="center"/>
          </w:tcPr>
          <w:p w14:paraId="5837066C">
            <w:pPr>
              <w:adjustRightInd w:val="0"/>
              <w:snapToGrid w:val="0"/>
              <w:jc w:val="center"/>
              <w:rPr>
                <w:rFonts w:hint="eastAsia" w:ascii="仿宋" w:hAnsi="仿宋" w:eastAsia="仿宋" w:cs="仿宋"/>
                <w:color w:val="auto"/>
                <w:kern w:val="28"/>
                <w:sz w:val="20"/>
                <w:szCs w:val="20"/>
                <w:highlight w:val="none"/>
                <w:lang w:val="en"/>
              </w:rPr>
            </w:pPr>
          </w:p>
        </w:tc>
        <w:tc>
          <w:tcPr>
            <w:tcW w:w="1239" w:type="dxa"/>
            <w:noWrap w:val="0"/>
            <w:vAlign w:val="center"/>
          </w:tcPr>
          <w:p w14:paraId="48120B21">
            <w:pPr>
              <w:adjustRightInd w:val="0"/>
              <w:snapToGrid w:val="0"/>
              <w:jc w:val="center"/>
              <w:rPr>
                <w:rFonts w:hint="eastAsia" w:ascii="仿宋" w:hAnsi="仿宋" w:eastAsia="仿宋" w:cs="仿宋"/>
                <w:color w:val="auto"/>
                <w:kern w:val="28"/>
                <w:sz w:val="20"/>
                <w:szCs w:val="20"/>
                <w:highlight w:val="none"/>
                <w:lang w:val="en"/>
              </w:rPr>
            </w:pPr>
          </w:p>
        </w:tc>
      </w:tr>
    </w:tbl>
    <w:p w14:paraId="57003B00">
      <w:pPr>
        <w:pStyle w:val="7"/>
        <w:adjustRightInd w:val="0"/>
        <w:snapToGrid w:val="0"/>
        <w:spacing w:before="0" w:after="0" w:line="240" w:lineRule="auto"/>
        <w:jc w:val="left"/>
        <w:outlineLvl w:val="9"/>
        <w:rPr>
          <w:rFonts w:hint="eastAsia" w:ascii="宋体" w:hAnsi="宋体"/>
          <w:highlight w:val="none"/>
        </w:rPr>
      </w:pPr>
    </w:p>
    <w:p w14:paraId="179A2353">
      <w:pPr>
        <w:pStyle w:val="7"/>
        <w:adjustRightInd w:val="0"/>
        <w:snapToGrid w:val="0"/>
        <w:spacing w:before="0" w:after="0" w:line="240" w:lineRule="auto"/>
        <w:jc w:val="left"/>
        <w:outlineLvl w:val="9"/>
        <w:rPr>
          <w:rFonts w:hint="eastAsia" w:ascii="宋体" w:hAnsi="宋体"/>
          <w:highlight w:val="none"/>
        </w:rPr>
      </w:pPr>
    </w:p>
    <w:p w14:paraId="0349F9D6">
      <w:pPr>
        <w:pStyle w:val="8"/>
        <w:ind w:firstLine="0" w:firstLineChars="0"/>
        <w:rPr>
          <w:rFonts w:ascii="宋体" w:hAnsi="宋体" w:cs="宋体"/>
          <w:b/>
          <w:sz w:val="28"/>
          <w:szCs w:val="28"/>
          <w:highlight w:val="none"/>
        </w:rPr>
      </w:pPr>
    </w:p>
    <w:p w14:paraId="5371351A">
      <w:pPr>
        <w:pStyle w:val="7"/>
        <w:adjustRightInd w:val="0"/>
        <w:snapToGrid w:val="0"/>
        <w:spacing w:before="0" w:after="0" w:line="240" w:lineRule="auto"/>
        <w:jc w:val="left"/>
        <w:outlineLvl w:val="9"/>
        <w:rPr>
          <w:rFonts w:ascii="宋体" w:hAnsi="宋体"/>
          <w:highlight w:val="none"/>
        </w:rPr>
      </w:pPr>
      <w:r>
        <w:rPr>
          <w:rFonts w:hint="eastAsia" w:ascii="宋体" w:hAnsi="宋体"/>
          <w:highlight w:val="none"/>
        </w:rPr>
        <w:t>渔船通工程建设汇总表</w:t>
      </w:r>
    </w:p>
    <w:tbl>
      <w:tblPr>
        <w:tblStyle w:val="9"/>
        <w:tblW w:w="0" w:type="auto"/>
        <w:tblInd w:w="0" w:type="dxa"/>
        <w:tblLayout w:type="fixed"/>
        <w:tblCellMar>
          <w:top w:w="0" w:type="dxa"/>
          <w:left w:w="108" w:type="dxa"/>
          <w:bottom w:w="0" w:type="dxa"/>
          <w:right w:w="108" w:type="dxa"/>
        </w:tblCellMar>
      </w:tblPr>
      <w:tblGrid>
        <w:gridCol w:w="726"/>
        <w:gridCol w:w="598"/>
        <w:gridCol w:w="2062"/>
        <w:gridCol w:w="1224"/>
        <w:gridCol w:w="1195"/>
        <w:gridCol w:w="1266"/>
        <w:gridCol w:w="1451"/>
      </w:tblGrid>
      <w:tr w14:paraId="22C5EDCD">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57213B82">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序号</w:t>
            </w:r>
          </w:p>
        </w:tc>
        <w:tc>
          <w:tcPr>
            <w:tcW w:w="2660" w:type="dxa"/>
            <w:gridSpan w:val="2"/>
            <w:tcBorders>
              <w:top w:val="single" w:color="000000" w:sz="4" w:space="0"/>
              <w:left w:val="single" w:color="000000" w:sz="4" w:space="0"/>
              <w:bottom w:val="single" w:color="000000" w:sz="4" w:space="0"/>
              <w:right w:val="single" w:color="000000" w:sz="4" w:space="0"/>
            </w:tcBorders>
            <w:noWrap w:val="0"/>
            <w:vAlign w:val="center"/>
          </w:tcPr>
          <w:p w14:paraId="22F92B53">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建设地点</w:t>
            </w:r>
            <w:r>
              <w:rPr>
                <w:rFonts w:hint="eastAsia" w:ascii="仿宋" w:hAnsi="仿宋" w:eastAsia="仿宋" w:cs="仿宋"/>
                <w:b/>
                <w:color w:val="auto"/>
                <w:sz w:val="20"/>
                <w:szCs w:val="20"/>
                <w:highlight w:val="none"/>
              </w:rPr>
              <w:br w:type="textWrapping"/>
            </w:r>
            <w:r>
              <w:rPr>
                <w:rFonts w:hint="eastAsia" w:ascii="仿宋" w:hAnsi="仿宋" w:eastAsia="仿宋" w:cs="仿宋"/>
                <w:b/>
                <w:color w:val="auto"/>
                <w:sz w:val="20"/>
                <w:szCs w:val="20"/>
                <w:highlight w:val="none"/>
              </w:rPr>
              <w:t>（市县）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2A37691">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渔船数量（条）</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5A8418F0">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45CM</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26F1F8B0">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60CM</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7DD81B4E">
            <w:pPr>
              <w:tabs>
                <w:tab w:val="left" w:pos="200"/>
              </w:tabs>
              <w:autoSpaceDN w:val="0"/>
              <w:adjustRightInd w:val="0"/>
              <w:snapToGrid w:val="0"/>
              <w:jc w:val="left"/>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ab/>
            </w:r>
            <w:r>
              <w:rPr>
                <w:rFonts w:hint="eastAsia" w:ascii="仿宋" w:hAnsi="仿宋" w:eastAsia="仿宋" w:cs="仿宋"/>
                <w:b/>
                <w:bCs/>
                <w:color w:val="auto"/>
                <w:sz w:val="20"/>
                <w:szCs w:val="20"/>
                <w:highlight w:val="none"/>
              </w:rPr>
              <w:t>备注</w:t>
            </w:r>
          </w:p>
        </w:tc>
      </w:tr>
      <w:tr w14:paraId="337C6A88">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3622CEE8">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598" w:type="dxa"/>
            <w:vMerge w:val="restart"/>
            <w:tcBorders>
              <w:top w:val="single" w:color="000000" w:sz="4" w:space="0"/>
              <w:left w:val="single" w:color="000000" w:sz="4" w:space="0"/>
              <w:right w:val="single" w:color="auto" w:sz="4" w:space="0"/>
            </w:tcBorders>
            <w:noWrap w:val="0"/>
            <w:vAlign w:val="center"/>
          </w:tcPr>
          <w:p w14:paraId="4463C2E2">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渔船通</w:t>
            </w:r>
          </w:p>
          <w:p w14:paraId="351F270C">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第</w:t>
            </w:r>
          </w:p>
          <w:p w14:paraId="65D24043">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一批</w:t>
            </w: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1ED46B97">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海口市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371E1488">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54</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25328420">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11BA68B8">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49</w:t>
            </w:r>
          </w:p>
        </w:tc>
        <w:tc>
          <w:tcPr>
            <w:tcW w:w="1451" w:type="dxa"/>
            <w:vMerge w:val="restart"/>
            <w:tcBorders>
              <w:top w:val="single" w:color="000000" w:sz="4" w:space="0"/>
              <w:left w:val="single" w:color="000000" w:sz="4" w:space="0"/>
              <w:right w:val="single" w:color="000000" w:sz="4" w:space="0"/>
            </w:tcBorders>
            <w:noWrap w:val="0"/>
            <w:vAlign w:val="center"/>
          </w:tcPr>
          <w:p w14:paraId="07C115E0">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第一批已</w:t>
            </w:r>
            <w:r>
              <w:rPr>
                <w:rFonts w:hint="eastAsia" w:ascii="仿宋" w:hAnsi="仿宋" w:eastAsia="仿宋" w:cs="仿宋"/>
                <w:color w:val="auto"/>
                <w:sz w:val="20"/>
                <w:szCs w:val="20"/>
                <w:highlight w:val="none"/>
              </w:rPr>
              <w:t>于2015年10月完成设备安装验收，工程质量保证期于2018年10月底结束。</w:t>
            </w:r>
          </w:p>
        </w:tc>
      </w:tr>
      <w:tr w14:paraId="3F541C68">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13878821">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598" w:type="dxa"/>
            <w:vMerge w:val="continue"/>
            <w:tcBorders>
              <w:left w:val="single" w:color="000000" w:sz="4" w:space="0"/>
              <w:right w:val="single" w:color="auto" w:sz="4" w:space="0"/>
            </w:tcBorders>
            <w:noWrap w:val="0"/>
            <w:vAlign w:val="center"/>
          </w:tcPr>
          <w:p w14:paraId="4002AFC4">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663D4E42">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三亚市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A559F3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230</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5703D4B8">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70</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678C893F">
            <w:pPr>
              <w:autoSpaceDN w:val="0"/>
              <w:adjustRightInd w:val="0"/>
              <w:snapToGrid w:val="0"/>
              <w:jc w:val="center"/>
              <w:textAlignment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160</w:t>
            </w:r>
          </w:p>
          <w:p w14:paraId="1D9D0AA9">
            <w:pPr>
              <w:pStyle w:val="8"/>
              <w:rPr>
                <w:rFonts w:hint="eastAsia" w:ascii="仿宋" w:hAnsi="仿宋" w:eastAsia="仿宋" w:cs="仿宋"/>
                <w:color w:val="auto"/>
                <w:sz w:val="20"/>
                <w:szCs w:val="20"/>
                <w:highlight w:val="none"/>
                <w:lang w:eastAsia="zh-CN"/>
              </w:rPr>
            </w:pPr>
          </w:p>
        </w:tc>
        <w:tc>
          <w:tcPr>
            <w:tcW w:w="1451" w:type="dxa"/>
            <w:vMerge w:val="continue"/>
            <w:tcBorders>
              <w:left w:val="single" w:color="000000" w:sz="4" w:space="0"/>
              <w:right w:val="single" w:color="000000" w:sz="4" w:space="0"/>
            </w:tcBorders>
            <w:noWrap w:val="0"/>
            <w:vAlign w:val="center"/>
          </w:tcPr>
          <w:p w14:paraId="1C797634">
            <w:pPr>
              <w:autoSpaceDN w:val="0"/>
              <w:adjustRightInd w:val="0"/>
              <w:snapToGrid w:val="0"/>
              <w:jc w:val="center"/>
              <w:textAlignment w:val="center"/>
              <w:rPr>
                <w:rFonts w:hint="eastAsia" w:ascii="仿宋" w:hAnsi="仿宋" w:eastAsia="仿宋" w:cs="仿宋"/>
                <w:color w:val="auto"/>
                <w:sz w:val="20"/>
                <w:szCs w:val="20"/>
                <w:highlight w:val="none"/>
              </w:rPr>
            </w:pPr>
          </w:p>
        </w:tc>
      </w:tr>
      <w:tr w14:paraId="3775E092">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5E85AD6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598" w:type="dxa"/>
            <w:vMerge w:val="continue"/>
            <w:tcBorders>
              <w:left w:val="single" w:color="000000" w:sz="4" w:space="0"/>
              <w:right w:val="single" w:color="auto" w:sz="4" w:space="0"/>
            </w:tcBorders>
            <w:noWrap w:val="0"/>
            <w:vAlign w:val="center"/>
          </w:tcPr>
          <w:p w14:paraId="05FBEE89">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036A3170">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儋州市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CBC7A55">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496</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3C182517">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263</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5A10C5EA">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233</w:t>
            </w:r>
          </w:p>
        </w:tc>
        <w:tc>
          <w:tcPr>
            <w:tcW w:w="1451" w:type="dxa"/>
            <w:vMerge w:val="continue"/>
            <w:tcBorders>
              <w:left w:val="single" w:color="000000" w:sz="4" w:space="0"/>
              <w:right w:val="single" w:color="000000" w:sz="4" w:space="0"/>
            </w:tcBorders>
            <w:noWrap w:val="0"/>
            <w:vAlign w:val="center"/>
          </w:tcPr>
          <w:p w14:paraId="66180FD7">
            <w:pPr>
              <w:autoSpaceDN w:val="0"/>
              <w:adjustRightInd w:val="0"/>
              <w:snapToGrid w:val="0"/>
              <w:jc w:val="center"/>
              <w:textAlignment w:val="center"/>
              <w:rPr>
                <w:rFonts w:hint="eastAsia" w:ascii="仿宋" w:hAnsi="仿宋" w:eastAsia="仿宋" w:cs="仿宋"/>
                <w:color w:val="auto"/>
                <w:sz w:val="20"/>
                <w:szCs w:val="20"/>
                <w:highlight w:val="none"/>
              </w:rPr>
            </w:pPr>
          </w:p>
        </w:tc>
      </w:tr>
      <w:tr w14:paraId="4C246F85">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29E8CB0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598" w:type="dxa"/>
            <w:vMerge w:val="continue"/>
            <w:tcBorders>
              <w:left w:val="single" w:color="000000" w:sz="4" w:space="0"/>
              <w:right w:val="single" w:color="auto" w:sz="4" w:space="0"/>
            </w:tcBorders>
            <w:noWrap w:val="0"/>
            <w:vAlign w:val="center"/>
          </w:tcPr>
          <w:p w14:paraId="7BE81B39">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76DA8495">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琼海市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3988B14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177</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2E3BE93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1115ECC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142</w:t>
            </w:r>
          </w:p>
        </w:tc>
        <w:tc>
          <w:tcPr>
            <w:tcW w:w="1451" w:type="dxa"/>
            <w:vMerge w:val="continue"/>
            <w:tcBorders>
              <w:left w:val="single" w:color="000000" w:sz="4" w:space="0"/>
              <w:right w:val="single" w:color="000000" w:sz="4" w:space="0"/>
            </w:tcBorders>
            <w:noWrap w:val="0"/>
            <w:vAlign w:val="center"/>
          </w:tcPr>
          <w:p w14:paraId="550F1B18">
            <w:pPr>
              <w:autoSpaceDN w:val="0"/>
              <w:adjustRightInd w:val="0"/>
              <w:snapToGrid w:val="0"/>
              <w:jc w:val="center"/>
              <w:textAlignment w:val="center"/>
              <w:rPr>
                <w:rFonts w:hint="eastAsia" w:ascii="仿宋" w:hAnsi="仿宋" w:eastAsia="仿宋" w:cs="仿宋"/>
                <w:color w:val="auto"/>
                <w:sz w:val="20"/>
                <w:szCs w:val="20"/>
                <w:highlight w:val="none"/>
              </w:rPr>
            </w:pPr>
          </w:p>
        </w:tc>
      </w:tr>
      <w:tr w14:paraId="22612A4C">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694FB3D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598" w:type="dxa"/>
            <w:vMerge w:val="continue"/>
            <w:tcBorders>
              <w:left w:val="single" w:color="000000" w:sz="4" w:space="0"/>
              <w:right w:val="single" w:color="auto" w:sz="4" w:space="0"/>
            </w:tcBorders>
            <w:noWrap w:val="0"/>
            <w:vAlign w:val="center"/>
          </w:tcPr>
          <w:p w14:paraId="55C90B12">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05E36F05">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陵水县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C4F52F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125</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4EDB5E4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28DA843E">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120</w:t>
            </w:r>
          </w:p>
        </w:tc>
        <w:tc>
          <w:tcPr>
            <w:tcW w:w="1451" w:type="dxa"/>
            <w:vMerge w:val="continue"/>
            <w:tcBorders>
              <w:left w:val="single" w:color="000000" w:sz="4" w:space="0"/>
              <w:right w:val="single" w:color="000000" w:sz="4" w:space="0"/>
            </w:tcBorders>
            <w:noWrap w:val="0"/>
            <w:vAlign w:val="center"/>
          </w:tcPr>
          <w:p w14:paraId="43D139CE">
            <w:pPr>
              <w:autoSpaceDN w:val="0"/>
              <w:adjustRightInd w:val="0"/>
              <w:snapToGrid w:val="0"/>
              <w:jc w:val="center"/>
              <w:textAlignment w:val="center"/>
              <w:rPr>
                <w:rFonts w:hint="eastAsia" w:ascii="仿宋" w:hAnsi="仿宋" w:eastAsia="仿宋" w:cs="仿宋"/>
                <w:color w:val="auto"/>
                <w:sz w:val="20"/>
                <w:szCs w:val="20"/>
                <w:highlight w:val="none"/>
              </w:rPr>
            </w:pPr>
          </w:p>
        </w:tc>
      </w:tr>
      <w:tr w14:paraId="361AC319">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00A9F95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598" w:type="dxa"/>
            <w:vMerge w:val="continue"/>
            <w:tcBorders>
              <w:left w:val="single" w:color="000000" w:sz="4" w:space="0"/>
              <w:right w:val="single" w:color="auto" w:sz="4" w:space="0"/>
            </w:tcBorders>
            <w:noWrap w:val="0"/>
            <w:vAlign w:val="center"/>
          </w:tcPr>
          <w:p w14:paraId="326FA61C">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748C45DE">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万宁市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339F25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46</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47576C0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30B9C94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w:t>
            </w:r>
          </w:p>
        </w:tc>
        <w:tc>
          <w:tcPr>
            <w:tcW w:w="1451" w:type="dxa"/>
            <w:vMerge w:val="continue"/>
            <w:tcBorders>
              <w:left w:val="single" w:color="000000" w:sz="4" w:space="0"/>
              <w:right w:val="single" w:color="000000" w:sz="4" w:space="0"/>
            </w:tcBorders>
            <w:noWrap w:val="0"/>
            <w:vAlign w:val="center"/>
          </w:tcPr>
          <w:p w14:paraId="093EE759">
            <w:pPr>
              <w:autoSpaceDN w:val="0"/>
              <w:adjustRightInd w:val="0"/>
              <w:snapToGrid w:val="0"/>
              <w:jc w:val="center"/>
              <w:textAlignment w:val="center"/>
              <w:rPr>
                <w:rFonts w:hint="eastAsia" w:ascii="仿宋" w:hAnsi="仿宋" w:eastAsia="仿宋" w:cs="仿宋"/>
                <w:color w:val="auto"/>
                <w:sz w:val="20"/>
                <w:szCs w:val="20"/>
                <w:highlight w:val="none"/>
              </w:rPr>
            </w:pPr>
          </w:p>
        </w:tc>
      </w:tr>
      <w:tr w14:paraId="48A56664">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5D07D62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w:t>
            </w:r>
          </w:p>
        </w:tc>
        <w:tc>
          <w:tcPr>
            <w:tcW w:w="598" w:type="dxa"/>
            <w:vMerge w:val="continue"/>
            <w:tcBorders>
              <w:left w:val="single" w:color="000000" w:sz="4" w:space="0"/>
              <w:right w:val="single" w:color="auto" w:sz="4" w:space="0"/>
            </w:tcBorders>
            <w:noWrap w:val="0"/>
            <w:vAlign w:val="center"/>
          </w:tcPr>
          <w:p w14:paraId="088B2192">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50718953">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洋浦开发区</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70CC4431">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122</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762EEB6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64DA068D">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100</w:t>
            </w:r>
          </w:p>
        </w:tc>
        <w:tc>
          <w:tcPr>
            <w:tcW w:w="1451" w:type="dxa"/>
            <w:vMerge w:val="continue"/>
            <w:tcBorders>
              <w:left w:val="single" w:color="000000" w:sz="4" w:space="0"/>
              <w:right w:val="single" w:color="000000" w:sz="4" w:space="0"/>
            </w:tcBorders>
            <w:noWrap w:val="0"/>
            <w:vAlign w:val="center"/>
          </w:tcPr>
          <w:p w14:paraId="5E2108DC">
            <w:pPr>
              <w:autoSpaceDN w:val="0"/>
              <w:adjustRightInd w:val="0"/>
              <w:snapToGrid w:val="0"/>
              <w:jc w:val="center"/>
              <w:textAlignment w:val="center"/>
              <w:rPr>
                <w:rFonts w:hint="eastAsia" w:ascii="仿宋" w:hAnsi="仿宋" w:eastAsia="仿宋" w:cs="仿宋"/>
                <w:color w:val="auto"/>
                <w:sz w:val="20"/>
                <w:szCs w:val="20"/>
                <w:highlight w:val="none"/>
              </w:rPr>
            </w:pPr>
          </w:p>
        </w:tc>
      </w:tr>
      <w:tr w14:paraId="1A85EAC3">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66AB2C4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w:t>
            </w:r>
          </w:p>
        </w:tc>
        <w:tc>
          <w:tcPr>
            <w:tcW w:w="598" w:type="dxa"/>
            <w:vMerge w:val="continue"/>
            <w:tcBorders>
              <w:left w:val="single" w:color="000000" w:sz="4" w:space="0"/>
              <w:right w:val="single" w:color="auto" w:sz="4" w:space="0"/>
            </w:tcBorders>
            <w:noWrap w:val="0"/>
            <w:vAlign w:val="center"/>
          </w:tcPr>
          <w:p w14:paraId="3487992B">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2BCCD4C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三沙</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6BA6D71">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02BC6B8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0</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1EF213DA">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1451" w:type="dxa"/>
            <w:vMerge w:val="continue"/>
            <w:tcBorders>
              <w:left w:val="single" w:color="000000" w:sz="4" w:space="0"/>
              <w:right w:val="single" w:color="000000" w:sz="4" w:space="0"/>
            </w:tcBorders>
            <w:noWrap w:val="0"/>
            <w:vAlign w:val="center"/>
          </w:tcPr>
          <w:p w14:paraId="1B1D0C5C">
            <w:pPr>
              <w:autoSpaceDN w:val="0"/>
              <w:adjustRightInd w:val="0"/>
              <w:snapToGrid w:val="0"/>
              <w:jc w:val="center"/>
              <w:textAlignment w:val="center"/>
              <w:rPr>
                <w:rFonts w:hint="eastAsia" w:ascii="仿宋" w:hAnsi="仿宋" w:eastAsia="仿宋" w:cs="仿宋"/>
                <w:color w:val="auto"/>
                <w:sz w:val="20"/>
                <w:szCs w:val="20"/>
                <w:highlight w:val="none"/>
              </w:rPr>
            </w:pPr>
          </w:p>
        </w:tc>
      </w:tr>
      <w:tr w14:paraId="12049D21">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55ECE00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w:t>
            </w:r>
          </w:p>
        </w:tc>
        <w:tc>
          <w:tcPr>
            <w:tcW w:w="598" w:type="dxa"/>
            <w:vMerge w:val="continue"/>
            <w:tcBorders>
              <w:left w:val="single" w:color="000000" w:sz="4" w:space="0"/>
              <w:bottom w:val="single" w:color="000000" w:sz="4" w:space="0"/>
              <w:right w:val="single" w:color="auto" w:sz="4" w:space="0"/>
            </w:tcBorders>
            <w:noWrap w:val="0"/>
            <w:vAlign w:val="center"/>
          </w:tcPr>
          <w:p w14:paraId="1F93024B">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40FEC59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渔监总队</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42CD73A5">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0A87F74E">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6A9D0D2F">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1451" w:type="dxa"/>
            <w:vMerge w:val="continue"/>
            <w:tcBorders>
              <w:left w:val="single" w:color="000000" w:sz="4" w:space="0"/>
              <w:right w:val="single" w:color="000000" w:sz="4" w:space="0"/>
            </w:tcBorders>
            <w:noWrap w:val="0"/>
            <w:vAlign w:val="center"/>
          </w:tcPr>
          <w:p w14:paraId="423899DC">
            <w:pPr>
              <w:autoSpaceDN w:val="0"/>
              <w:adjustRightInd w:val="0"/>
              <w:snapToGrid w:val="0"/>
              <w:jc w:val="center"/>
              <w:textAlignment w:val="center"/>
              <w:rPr>
                <w:rFonts w:hint="eastAsia" w:ascii="仿宋" w:hAnsi="仿宋" w:eastAsia="仿宋" w:cs="仿宋"/>
                <w:color w:val="auto"/>
                <w:sz w:val="20"/>
                <w:szCs w:val="20"/>
                <w:highlight w:val="none"/>
              </w:rPr>
            </w:pPr>
          </w:p>
        </w:tc>
      </w:tr>
      <w:tr w14:paraId="0AC40673">
        <w:tblPrEx>
          <w:tblCellMar>
            <w:top w:w="0" w:type="dxa"/>
            <w:left w:w="108" w:type="dxa"/>
            <w:bottom w:w="0" w:type="dxa"/>
            <w:right w:w="108" w:type="dxa"/>
          </w:tblCellMar>
        </w:tblPrEx>
        <w:trPr>
          <w:trHeight w:val="284" w:hRule="atLeast"/>
        </w:trPr>
        <w:tc>
          <w:tcPr>
            <w:tcW w:w="1324" w:type="dxa"/>
            <w:gridSpan w:val="2"/>
            <w:tcBorders>
              <w:top w:val="single" w:color="000000" w:sz="4" w:space="0"/>
              <w:left w:val="single" w:color="000000" w:sz="4" w:space="0"/>
              <w:bottom w:val="single" w:color="000000" w:sz="4" w:space="0"/>
              <w:right w:val="single" w:color="auto" w:sz="4" w:space="0"/>
            </w:tcBorders>
            <w:noWrap w:val="0"/>
            <w:vAlign w:val="center"/>
          </w:tcPr>
          <w:p w14:paraId="581113E6">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小计</w:t>
            </w: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5D7E3910">
            <w:pPr>
              <w:autoSpaceDN w:val="0"/>
              <w:adjustRightInd w:val="0"/>
              <w:snapToGrid w:val="0"/>
              <w:jc w:val="center"/>
              <w:textAlignment w:val="center"/>
              <w:rPr>
                <w:rFonts w:hint="eastAsia" w:ascii="仿宋" w:hAnsi="仿宋" w:eastAsia="仿宋" w:cs="仿宋"/>
                <w:b/>
                <w:bCs/>
                <w:color w:val="auto"/>
                <w:sz w:val="20"/>
                <w:szCs w:val="20"/>
                <w:highlight w:val="none"/>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4DD93CC">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1258</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1D8E331F">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428</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77C0D988">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830</w:t>
            </w:r>
          </w:p>
        </w:tc>
        <w:tc>
          <w:tcPr>
            <w:tcW w:w="1451" w:type="dxa"/>
            <w:vMerge w:val="continue"/>
            <w:tcBorders>
              <w:left w:val="single" w:color="000000" w:sz="4" w:space="0"/>
              <w:bottom w:val="single" w:color="000000" w:sz="4" w:space="0"/>
              <w:right w:val="single" w:color="000000" w:sz="4" w:space="0"/>
            </w:tcBorders>
            <w:noWrap w:val="0"/>
            <w:vAlign w:val="center"/>
          </w:tcPr>
          <w:p w14:paraId="62A8AF7A">
            <w:pPr>
              <w:autoSpaceDN w:val="0"/>
              <w:adjustRightInd w:val="0"/>
              <w:snapToGrid w:val="0"/>
              <w:jc w:val="center"/>
              <w:textAlignment w:val="center"/>
              <w:rPr>
                <w:rFonts w:hint="eastAsia" w:ascii="仿宋" w:hAnsi="仿宋" w:eastAsia="仿宋" w:cs="仿宋"/>
                <w:b/>
                <w:bCs/>
                <w:color w:val="auto"/>
                <w:sz w:val="20"/>
                <w:szCs w:val="20"/>
                <w:highlight w:val="none"/>
              </w:rPr>
            </w:pPr>
          </w:p>
        </w:tc>
      </w:tr>
      <w:tr w14:paraId="58A6044C">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3BE8CC4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w:t>
            </w:r>
          </w:p>
        </w:tc>
        <w:tc>
          <w:tcPr>
            <w:tcW w:w="598" w:type="dxa"/>
            <w:vMerge w:val="restart"/>
            <w:tcBorders>
              <w:top w:val="single" w:color="000000" w:sz="4" w:space="0"/>
              <w:left w:val="single" w:color="000000" w:sz="4" w:space="0"/>
              <w:right w:val="single" w:color="auto" w:sz="4" w:space="0"/>
            </w:tcBorders>
            <w:noWrap w:val="0"/>
            <w:vAlign w:val="center"/>
          </w:tcPr>
          <w:p w14:paraId="1F35DD87">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渔船通</w:t>
            </w:r>
          </w:p>
          <w:p w14:paraId="1CF9AC25">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第</w:t>
            </w:r>
          </w:p>
          <w:p w14:paraId="6124E649">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二批</w:t>
            </w: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37A28F0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临高县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E16098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1137</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2831594A">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3D2867F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1137</w:t>
            </w:r>
          </w:p>
        </w:tc>
        <w:tc>
          <w:tcPr>
            <w:tcW w:w="1451" w:type="dxa"/>
            <w:vMerge w:val="restart"/>
            <w:tcBorders>
              <w:top w:val="single" w:color="000000" w:sz="4" w:space="0"/>
              <w:left w:val="single" w:color="000000" w:sz="4" w:space="0"/>
              <w:right w:val="single" w:color="000000" w:sz="4" w:space="0"/>
            </w:tcBorders>
            <w:noWrap w:val="0"/>
            <w:vAlign w:val="center"/>
          </w:tcPr>
          <w:p w14:paraId="64D98D5F">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第二批已</w:t>
            </w:r>
            <w:r>
              <w:rPr>
                <w:rFonts w:hint="eastAsia" w:ascii="仿宋" w:hAnsi="仿宋" w:eastAsia="仿宋" w:cs="仿宋"/>
                <w:color w:val="auto"/>
                <w:sz w:val="20"/>
                <w:szCs w:val="20"/>
                <w:highlight w:val="none"/>
              </w:rPr>
              <w:t>于2015年10月完成设备安装验收，工程质量保证期于2018年10月底结束。</w:t>
            </w:r>
          </w:p>
        </w:tc>
      </w:tr>
      <w:tr w14:paraId="748EB832">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71D0159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w:t>
            </w:r>
          </w:p>
        </w:tc>
        <w:tc>
          <w:tcPr>
            <w:tcW w:w="598" w:type="dxa"/>
            <w:vMerge w:val="continue"/>
            <w:tcBorders>
              <w:left w:val="single" w:color="000000" w:sz="4" w:space="0"/>
              <w:right w:val="single" w:color="auto" w:sz="4" w:space="0"/>
            </w:tcBorders>
            <w:noWrap w:val="0"/>
            <w:vAlign w:val="center"/>
          </w:tcPr>
          <w:p w14:paraId="26DE77EE">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08DA7EE6">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文昌市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7435B939">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58</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2DA550FC">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21B9343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58</w:t>
            </w:r>
          </w:p>
        </w:tc>
        <w:tc>
          <w:tcPr>
            <w:tcW w:w="1451" w:type="dxa"/>
            <w:vMerge w:val="continue"/>
            <w:tcBorders>
              <w:left w:val="single" w:color="000000" w:sz="4" w:space="0"/>
              <w:right w:val="single" w:color="000000" w:sz="4" w:space="0"/>
            </w:tcBorders>
            <w:noWrap w:val="0"/>
            <w:vAlign w:val="center"/>
          </w:tcPr>
          <w:p w14:paraId="19518EF2">
            <w:pPr>
              <w:autoSpaceDN w:val="0"/>
              <w:adjustRightInd w:val="0"/>
              <w:snapToGrid w:val="0"/>
              <w:jc w:val="center"/>
              <w:textAlignment w:val="center"/>
              <w:rPr>
                <w:rFonts w:hint="eastAsia" w:ascii="仿宋" w:hAnsi="仿宋" w:eastAsia="仿宋" w:cs="仿宋"/>
                <w:color w:val="auto"/>
                <w:sz w:val="20"/>
                <w:szCs w:val="20"/>
                <w:highlight w:val="none"/>
              </w:rPr>
            </w:pPr>
          </w:p>
        </w:tc>
      </w:tr>
      <w:tr w14:paraId="6F44774D">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1F58106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w:t>
            </w:r>
          </w:p>
        </w:tc>
        <w:tc>
          <w:tcPr>
            <w:tcW w:w="598" w:type="dxa"/>
            <w:vMerge w:val="continue"/>
            <w:tcBorders>
              <w:left w:val="single" w:color="000000" w:sz="4" w:space="0"/>
              <w:right w:val="single" w:color="auto" w:sz="4" w:space="0"/>
            </w:tcBorders>
            <w:noWrap w:val="0"/>
            <w:vAlign w:val="center"/>
          </w:tcPr>
          <w:p w14:paraId="06CBF5C0">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57688E05">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昌江县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B9235AE">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64</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5FC7354F">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699B3CC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64</w:t>
            </w:r>
          </w:p>
        </w:tc>
        <w:tc>
          <w:tcPr>
            <w:tcW w:w="1451" w:type="dxa"/>
            <w:vMerge w:val="continue"/>
            <w:tcBorders>
              <w:left w:val="single" w:color="000000" w:sz="4" w:space="0"/>
              <w:right w:val="single" w:color="000000" w:sz="4" w:space="0"/>
            </w:tcBorders>
            <w:noWrap w:val="0"/>
            <w:vAlign w:val="center"/>
          </w:tcPr>
          <w:p w14:paraId="5CCBC91E">
            <w:pPr>
              <w:autoSpaceDN w:val="0"/>
              <w:adjustRightInd w:val="0"/>
              <w:snapToGrid w:val="0"/>
              <w:jc w:val="center"/>
              <w:textAlignment w:val="center"/>
              <w:rPr>
                <w:rFonts w:hint="eastAsia" w:ascii="仿宋" w:hAnsi="仿宋" w:eastAsia="仿宋" w:cs="仿宋"/>
                <w:color w:val="auto"/>
                <w:sz w:val="20"/>
                <w:szCs w:val="20"/>
                <w:highlight w:val="none"/>
              </w:rPr>
            </w:pPr>
          </w:p>
        </w:tc>
      </w:tr>
      <w:tr w14:paraId="75223D7B">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63266998">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w:t>
            </w:r>
          </w:p>
        </w:tc>
        <w:tc>
          <w:tcPr>
            <w:tcW w:w="598" w:type="dxa"/>
            <w:vMerge w:val="continue"/>
            <w:tcBorders>
              <w:left w:val="single" w:color="000000" w:sz="4" w:space="0"/>
              <w:right w:val="single" w:color="auto" w:sz="4" w:space="0"/>
            </w:tcBorders>
            <w:noWrap w:val="0"/>
            <w:vAlign w:val="center"/>
          </w:tcPr>
          <w:p w14:paraId="1671C0ED">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51FCF68A">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乐东县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3EF8704">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61</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3F2EC6D0">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1B457C87">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61</w:t>
            </w:r>
          </w:p>
        </w:tc>
        <w:tc>
          <w:tcPr>
            <w:tcW w:w="1451" w:type="dxa"/>
            <w:vMerge w:val="continue"/>
            <w:tcBorders>
              <w:left w:val="single" w:color="000000" w:sz="4" w:space="0"/>
              <w:right w:val="single" w:color="000000" w:sz="4" w:space="0"/>
            </w:tcBorders>
            <w:noWrap w:val="0"/>
            <w:vAlign w:val="center"/>
          </w:tcPr>
          <w:p w14:paraId="3A388253">
            <w:pPr>
              <w:autoSpaceDN w:val="0"/>
              <w:adjustRightInd w:val="0"/>
              <w:snapToGrid w:val="0"/>
              <w:jc w:val="center"/>
              <w:textAlignment w:val="center"/>
              <w:rPr>
                <w:rFonts w:hint="eastAsia" w:ascii="仿宋" w:hAnsi="仿宋" w:eastAsia="仿宋" w:cs="仿宋"/>
                <w:color w:val="auto"/>
                <w:sz w:val="20"/>
                <w:szCs w:val="20"/>
                <w:highlight w:val="none"/>
              </w:rPr>
            </w:pPr>
          </w:p>
        </w:tc>
      </w:tr>
      <w:tr w14:paraId="2E4F870B">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794BA513">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w:t>
            </w:r>
          </w:p>
        </w:tc>
        <w:tc>
          <w:tcPr>
            <w:tcW w:w="598" w:type="dxa"/>
            <w:vMerge w:val="continue"/>
            <w:tcBorders>
              <w:left w:val="single" w:color="000000" w:sz="4" w:space="0"/>
              <w:right w:val="single" w:color="auto" w:sz="4" w:space="0"/>
            </w:tcBorders>
            <w:noWrap w:val="0"/>
            <w:vAlign w:val="center"/>
          </w:tcPr>
          <w:p w14:paraId="3A957048">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42E1BD0C">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东方市</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D6C457E">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0C1278EC">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70AE1893">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35</w:t>
            </w:r>
          </w:p>
        </w:tc>
        <w:tc>
          <w:tcPr>
            <w:tcW w:w="1451" w:type="dxa"/>
            <w:vMerge w:val="continue"/>
            <w:tcBorders>
              <w:left w:val="single" w:color="000000" w:sz="4" w:space="0"/>
              <w:right w:val="single" w:color="000000" w:sz="4" w:space="0"/>
            </w:tcBorders>
            <w:noWrap w:val="0"/>
            <w:vAlign w:val="center"/>
          </w:tcPr>
          <w:p w14:paraId="4E8FDB2E">
            <w:pPr>
              <w:autoSpaceDN w:val="0"/>
              <w:adjustRightInd w:val="0"/>
              <w:snapToGrid w:val="0"/>
              <w:jc w:val="center"/>
              <w:textAlignment w:val="center"/>
              <w:rPr>
                <w:rFonts w:hint="eastAsia" w:ascii="仿宋" w:hAnsi="仿宋" w:eastAsia="仿宋" w:cs="仿宋"/>
                <w:color w:val="auto"/>
                <w:sz w:val="20"/>
                <w:szCs w:val="20"/>
                <w:highlight w:val="none"/>
              </w:rPr>
            </w:pPr>
          </w:p>
        </w:tc>
      </w:tr>
      <w:tr w14:paraId="178F6607">
        <w:tblPrEx>
          <w:tblCellMar>
            <w:top w:w="0" w:type="dxa"/>
            <w:left w:w="108" w:type="dxa"/>
            <w:bottom w:w="0" w:type="dxa"/>
            <w:right w:w="108" w:type="dxa"/>
          </w:tblCellMar>
        </w:tblPrEx>
        <w:trPr>
          <w:trHeight w:val="284" w:hRule="atLeast"/>
        </w:trPr>
        <w:tc>
          <w:tcPr>
            <w:tcW w:w="726" w:type="dxa"/>
            <w:tcBorders>
              <w:top w:val="single" w:color="000000" w:sz="4" w:space="0"/>
              <w:left w:val="single" w:color="000000" w:sz="4" w:space="0"/>
              <w:bottom w:val="single" w:color="000000" w:sz="4" w:space="0"/>
              <w:right w:val="single" w:color="000000" w:sz="4" w:space="0"/>
            </w:tcBorders>
            <w:noWrap w:val="0"/>
            <w:vAlign w:val="center"/>
          </w:tcPr>
          <w:p w14:paraId="00444D89">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w:t>
            </w:r>
          </w:p>
        </w:tc>
        <w:tc>
          <w:tcPr>
            <w:tcW w:w="598" w:type="dxa"/>
            <w:vMerge w:val="continue"/>
            <w:tcBorders>
              <w:left w:val="single" w:color="000000" w:sz="4" w:space="0"/>
              <w:bottom w:val="single" w:color="000000" w:sz="4" w:space="0"/>
              <w:right w:val="single" w:color="auto" w:sz="4" w:space="0"/>
            </w:tcBorders>
            <w:noWrap w:val="0"/>
            <w:vAlign w:val="center"/>
          </w:tcPr>
          <w:p w14:paraId="34D4EC85">
            <w:pPr>
              <w:autoSpaceDN w:val="0"/>
              <w:adjustRightInd w:val="0"/>
              <w:snapToGrid w:val="0"/>
              <w:jc w:val="center"/>
              <w:textAlignment w:val="center"/>
              <w:rPr>
                <w:rFonts w:hint="eastAsia" w:ascii="仿宋" w:hAnsi="仿宋" w:eastAsia="仿宋" w:cs="仿宋"/>
                <w:color w:val="auto"/>
                <w:sz w:val="20"/>
                <w:szCs w:val="20"/>
                <w:highlight w:val="none"/>
              </w:rPr>
            </w:pP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73FEF2BB">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澄迈县</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C4C5CD1">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3377AEE6">
            <w:pPr>
              <w:autoSpaceDN w:val="0"/>
              <w:adjustRightInd w:val="0"/>
              <w:snapToGrid w:val="0"/>
              <w:jc w:val="center"/>
              <w:textAlignment w:val="center"/>
              <w:rPr>
                <w:rFonts w:hint="eastAsia" w:ascii="仿宋" w:hAnsi="仿宋" w:eastAsia="仿宋" w:cs="仿宋"/>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0CA385EA">
            <w:pPr>
              <w:autoSpaceDN w:val="0"/>
              <w:adjustRightInd w:val="0"/>
              <w:snapToGrid w:val="0"/>
              <w:jc w:val="center"/>
              <w:textAlignment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1451" w:type="dxa"/>
            <w:vMerge w:val="continue"/>
            <w:tcBorders>
              <w:left w:val="single" w:color="000000" w:sz="4" w:space="0"/>
              <w:right w:val="single" w:color="000000" w:sz="4" w:space="0"/>
            </w:tcBorders>
            <w:noWrap w:val="0"/>
            <w:vAlign w:val="center"/>
          </w:tcPr>
          <w:p w14:paraId="5439991C">
            <w:pPr>
              <w:autoSpaceDN w:val="0"/>
              <w:adjustRightInd w:val="0"/>
              <w:snapToGrid w:val="0"/>
              <w:jc w:val="center"/>
              <w:textAlignment w:val="center"/>
              <w:rPr>
                <w:rFonts w:hint="eastAsia" w:ascii="仿宋" w:hAnsi="仿宋" w:eastAsia="仿宋" w:cs="仿宋"/>
                <w:color w:val="auto"/>
                <w:sz w:val="20"/>
                <w:szCs w:val="20"/>
                <w:highlight w:val="none"/>
              </w:rPr>
            </w:pPr>
          </w:p>
        </w:tc>
      </w:tr>
      <w:tr w14:paraId="00665674">
        <w:tblPrEx>
          <w:tblCellMar>
            <w:top w:w="0" w:type="dxa"/>
            <w:left w:w="108" w:type="dxa"/>
            <w:bottom w:w="0" w:type="dxa"/>
            <w:right w:w="108" w:type="dxa"/>
          </w:tblCellMar>
        </w:tblPrEx>
        <w:trPr>
          <w:trHeight w:val="284" w:hRule="atLeast"/>
        </w:trPr>
        <w:tc>
          <w:tcPr>
            <w:tcW w:w="1324" w:type="dxa"/>
            <w:gridSpan w:val="2"/>
            <w:tcBorders>
              <w:top w:val="single" w:color="000000" w:sz="4" w:space="0"/>
              <w:left w:val="single" w:color="000000" w:sz="4" w:space="0"/>
              <w:bottom w:val="single" w:color="000000" w:sz="4" w:space="0"/>
              <w:right w:val="single" w:color="auto" w:sz="4" w:space="0"/>
            </w:tcBorders>
            <w:noWrap w:val="0"/>
            <w:vAlign w:val="center"/>
          </w:tcPr>
          <w:p w14:paraId="30A1271E">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小计</w:t>
            </w:r>
          </w:p>
        </w:tc>
        <w:tc>
          <w:tcPr>
            <w:tcW w:w="2062" w:type="dxa"/>
            <w:tcBorders>
              <w:top w:val="single" w:color="000000" w:sz="4" w:space="0"/>
              <w:left w:val="single" w:color="auto" w:sz="4" w:space="0"/>
              <w:bottom w:val="single" w:color="000000" w:sz="4" w:space="0"/>
              <w:right w:val="single" w:color="000000" w:sz="4" w:space="0"/>
            </w:tcBorders>
            <w:noWrap w:val="0"/>
            <w:vAlign w:val="center"/>
          </w:tcPr>
          <w:p w14:paraId="3256ED83">
            <w:pPr>
              <w:autoSpaceDN w:val="0"/>
              <w:adjustRightInd w:val="0"/>
              <w:snapToGrid w:val="0"/>
              <w:jc w:val="center"/>
              <w:textAlignment w:val="center"/>
              <w:rPr>
                <w:rFonts w:hint="eastAsia" w:ascii="仿宋" w:hAnsi="仿宋" w:eastAsia="仿宋" w:cs="仿宋"/>
                <w:b/>
                <w:bCs/>
                <w:color w:val="auto"/>
                <w:sz w:val="20"/>
                <w:szCs w:val="20"/>
                <w:highlight w:val="none"/>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2A3B04C">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1359</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0D0893A1">
            <w:pPr>
              <w:autoSpaceDN w:val="0"/>
              <w:adjustRightInd w:val="0"/>
              <w:snapToGrid w:val="0"/>
              <w:jc w:val="center"/>
              <w:textAlignment w:val="center"/>
              <w:rPr>
                <w:rFonts w:hint="eastAsia" w:ascii="仿宋" w:hAnsi="仿宋" w:eastAsia="仿宋" w:cs="仿宋"/>
                <w:b/>
                <w:bCs/>
                <w:color w:val="auto"/>
                <w:sz w:val="20"/>
                <w:szCs w:val="20"/>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4AB99B20">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1359</w:t>
            </w:r>
          </w:p>
        </w:tc>
        <w:tc>
          <w:tcPr>
            <w:tcW w:w="1451" w:type="dxa"/>
            <w:vMerge w:val="continue"/>
            <w:tcBorders>
              <w:left w:val="single" w:color="000000" w:sz="4" w:space="0"/>
              <w:bottom w:val="single" w:color="000000" w:sz="4" w:space="0"/>
              <w:right w:val="single" w:color="000000" w:sz="4" w:space="0"/>
            </w:tcBorders>
            <w:noWrap w:val="0"/>
            <w:vAlign w:val="center"/>
          </w:tcPr>
          <w:p w14:paraId="191DB02A">
            <w:pPr>
              <w:autoSpaceDN w:val="0"/>
              <w:adjustRightInd w:val="0"/>
              <w:snapToGrid w:val="0"/>
              <w:jc w:val="center"/>
              <w:textAlignment w:val="center"/>
              <w:rPr>
                <w:rFonts w:hint="eastAsia" w:ascii="仿宋" w:hAnsi="仿宋" w:eastAsia="仿宋" w:cs="仿宋"/>
                <w:b/>
                <w:bCs/>
                <w:color w:val="auto"/>
                <w:sz w:val="20"/>
                <w:szCs w:val="20"/>
                <w:highlight w:val="none"/>
              </w:rPr>
            </w:pPr>
          </w:p>
        </w:tc>
      </w:tr>
      <w:tr w14:paraId="73EAC7A8">
        <w:tblPrEx>
          <w:tblCellMar>
            <w:top w:w="0" w:type="dxa"/>
            <w:left w:w="108" w:type="dxa"/>
            <w:bottom w:w="0" w:type="dxa"/>
            <w:right w:w="108" w:type="dxa"/>
          </w:tblCellMar>
        </w:tblPrEx>
        <w:trPr>
          <w:trHeight w:val="284" w:hRule="atLeast"/>
        </w:trPr>
        <w:tc>
          <w:tcPr>
            <w:tcW w:w="3386" w:type="dxa"/>
            <w:gridSpan w:val="3"/>
            <w:tcBorders>
              <w:top w:val="single" w:color="000000" w:sz="4" w:space="0"/>
              <w:left w:val="single" w:color="000000" w:sz="4" w:space="0"/>
              <w:bottom w:val="single" w:color="000000" w:sz="4" w:space="0"/>
              <w:right w:val="single" w:color="000000" w:sz="4" w:space="0"/>
            </w:tcBorders>
            <w:noWrap w:val="0"/>
            <w:vAlign w:val="center"/>
          </w:tcPr>
          <w:p w14:paraId="0F6AAF70">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合计</w:t>
            </w: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B7FDFE0">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2617</w:t>
            </w:r>
          </w:p>
        </w:tc>
        <w:tc>
          <w:tcPr>
            <w:tcW w:w="1195" w:type="dxa"/>
            <w:tcBorders>
              <w:top w:val="single" w:color="000000" w:sz="4" w:space="0"/>
              <w:left w:val="single" w:color="000000" w:sz="4" w:space="0"/>
              <w:bottom w:val="single" w:color="000000" w:sz="4" w:space="0"/>
              <w:right w:val="single" w:color="000000" w:sz="4" w:space="0"/>
            </w:tcBorders>
            <w:noWrap w:val="0"/>
            <w:vAlign w:val="center"/>
          </w:tcPr>
          <w:p w14:paraId="035A9056">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428</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14:paraId="4D2694BE">
            <w:pPr>
              <w:autoSpaceDN w:val="0"/>
              <w:adjustRightInd w:val="0"/>
              <w:snapToGrid w:val="0"/>
              <w:jc w:val="center"/>
              <w:textAlignment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2189</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61C4F440">
            <w:pPr>
              <w:autoSpaceDN w:val="0"/>
              <w:adjustRightInd w:val="0"/>
              <w:snapToGrid w:val="0"/>
              <w:jc w:val="center"/>
              <w:textAlignment w:val="center"/>
              <w:rPr>
                <w:rFonts w:hint="eastAsia" w:ascii="仿宋" w:hAnsi="仿宋" w:eastAsia="仿宋" w:cs="仿宋"/>
                <w:b/>
                <w:bCs/>
                <w:color w:val="auto"/>
                <w:sz w:val="20"/>
                <w:szCs w:val="20"/>
                <w:highlight w:val="none"/>
              </w:rPr>
            </w:pPr>
          </w:p>
        </w:tc>
      </w:tr>
    </w:tbl>
    <w:p w14:paraId="7A787B37">
      <w:pPr>
        <w:spacing w:line="0" w:lineRule="atLeast"/>
        <w:rPr>
          <w:rFonts w:ascii="宋体" w:hAnsi="宋体" w:cs="宋体"/>
          <w:b/>
          <w:sz w:val="24"/>
          <w:highlight w:val="none"/>
        </w:rPr>
      </w:pPr>
    </w:p>
    <w:p w14:paraId="72B5ADAD">
      <w:pPr>
        <w:adjustRightInd w:val="0"/>
        <w:snapToGrid w:val="0"/>
        <w:spacing w:line="360" w:lineRule="auto"/>
        <w:rPr>
          <w:rFonts w:hint="eastAsia" w:ascii="宋体" w:hAnsi="宋体" w:cs="宋体"/>
          <w:b/>
          <w:color w:val="000000"/>
          <w:sz w:val="24"/>
          <w:highlight w:val="none"/>
        </w:rPr>
      </w:pPr>
      <w:r>
        <w:rPr>
          <w:rFonts w:hint="eastAsia" w:ascii="宋体" w:hAnsi="宋体" w:cs="宋体"/>
          <w:b/>
          <w:color w:val="000000"/>
          <w:sz w:val="24"/>
          <w:highlight w:val="none"/>
        </w:rPr>
        <w:t>说明：</w:t>
      </w:r>
    </w:p>
    <w:p w14:paraId="3E4B0962">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1、以上数据为“十二五”、“十三五”及“十四五”年以来，我省统一组织实施的广播电视村村通工程、户户通工程设备数量，实际维护数量还包括部分直播卫星户户通专营点零售设备（近百万户之多），实际数量会有所出入。</w:t>
      </w:r>
    </w:p>
    <w:p w14:paraId="50CAD2BA">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2、原省农垦系统建设户户通用户35895户（套），省林业系统建设村村通用户2167户（套）分布在全省各市县，这些用户的维修服务工作由所属市县服务网点承担。</w:t>
      </w:r>
    </w:p>
    <w:p w14:paraId="595E7AC8">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3、户户通整省推进工程建设第一期质量保证期已于2016年9月结束，应采取合理收费方式为用户提供维修服务；户户通整省推进工程建设第二期质量保证期已于2019年3月结束，原中标承建厂家对用户不再提供免费维修服务，维修任务由乙方承担，收费标准参考我厅提供的维修服务价格汇总表。</w:t>
      </w:r>
    </w:p>
    <w:p w14:paraId="44C3810E">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4、根据我省实施的广播电视惠民工程情况，今后将会有相关广电惠民工程建设内容纳入维护服务范围。</w:t>
      </w:r>
    </w:p>
    <w:p w14:paraId="154E8248">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5、至2019年3月31日，由政府给广大农户安装的直播卫星接收设备都已过质量保证期，其维修费由用户合理负担。</w:t>
      </w:r>
    </w:p>
    <w:p w14:paraId="692882FE">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6、为方便当地群众，对群众采购市场上零售的且合法的直播卫星设备并已安装的用户，各维护服务网点可开展有偿维修服务，维修费用须参考我厅提供的相关标准。</w:t>
      </w:r>
    </w:p>
    <w:p w14:paraId="4AACCD06">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7、渔船通工程售后服务质量保证期已于2018年10月结束，由所在片区省级服务中心负责承担渔船通售后服务，要求沿海市县相关港口、渔镇设立服务站点，每个沿海市县必须设立渔船通维修站点，其数量不能少于1个，为确保渔船通工程售后服务的连续性和维修服务质量，维修站点纳入考评范围，确保受益渔船通用户的利益得到保障。</w:t>
      </w:r>
    </w:p>
    <w:p w14:paraId="6B64A694">
      <w:pPr>
        <w:pStyle w:val="12"/>
        <w:tabs>
          <w:tab w:val="left" w:pos="630"/>
          <w:tab w:val="left" w:pos="1980"/>
        </w:tabs>
        <w:snapToGrid w:val="0"/>
        <w:spacing w:before="19" w:line="440" w:lineRule="exact"/>
        <w:ind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8、“十一五”、“十二五”、“十三五”期间，我省建设村广播喇叭基本覆盖全省行政村（含原农垦生产队），现都已过质量保证期，同时，受我省高温高湿环境及台影响，加之多数村长期使用管理不善等原因，导致大部分村广播喇叭不能正常使用，甲方要求乙方（中标单位）根据乡镇和行政村的实际需求提供维修服务。“十三五”至目前，我省正在积极推进全省应急广播体系建设，其中 白沙、昌江、乐东、五指山、琼中、保亭、临高、陵水等8县市基本完成了整县市应急广播建设，文昌、琼海、澄迈县、儋州市4市县建立了县级应急广播平台及部分乡镇、村终端设施覆盖，其他相关市县仍在推进当中，甲方要求乙方（中标单位）根据乡镇和行政村的实际需求提供维修服务(维修服务模式按相关规定办理)。</w:t>
      </w:r>
    </w:p>
    <w:p w14:paraId="49D00F2A">
      <w:pPr>
        <w:pStyle w:val="12"/>
        <w:tabs>
          <w:tab w:val="left" w:pos="630"/>
          <w:tab w:val="left" w:pos="1980"/>
        </w:tabs>
        <w:snapToGrid w:val="0"/>
        <w:spacing w:before="19" w:line="440" w:lineRule="exact"/>
        <w:ind w:firstLine="482" w:firstLineChars="200"/>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四、合同期限及地点、付款方式</w:t>
      </w:r>
    </w:p>
    <w:p w14:paraId="2CC85AA1">
      <w:pPr>
        <w:adjustRightInd w:val="0"/>
        <w:snapToGrid w:val="0"/>
        <w:spacing w:line="360" w:lineRule="auto"/>
        <w:ind w:right="-426" w:rightChars="-203" w:firstLine="480" w:firstLineChars="2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1. 运维期限（服务期）：一年</w:t>
      </w:r>
      <w:r>
        <w:rPr>
          <w:rFonts w:hint="eastAsia"/>
          <w:color w:val="auto"/>
          <w:highlight w:val="none"/>
        </w:rPr>
        <w:t>（202</w:t>
      </w:r>
      <w:r>
        <w:rPr>
          <w:rFonts w:hint="eastAsia"/>
          <w:color w:val="auto"/>
          <w:highlight w:val="none"/>
          <w:lang w:val="en-US" w:eastAsia="zh-CN"/>
        </w:rPr>
        <w:t>5</w:t>
      </w:r>
      <w:r>
        <w:rPr>
          <w:rFonts w:hint="eastAsia"/>
          <w:color w:val="auto"/>
          <w:highlight w:val="none"/>
        </w:rPr>
        <w:t>.11.</w:t>
      </w:r>
      <w:r>
        <w:rPr>
          <w:rFonts w:hint="eastAsia" w:ascii="仿宋_GB2312" w:hAnsi="仿宋_GB2312" w:eastAsia="仿宋_GB2312" w:cs="仿宋_GB2312"/>
          <w:color w:val="auto"/>
          <w:highlight w:val="none"/>
        </w:rPr>
        <w:t>～</w:t>
      </w:r>
      <w:r>
        <w:rPr>
          <w:rFonts w:hint="eastAsia"/>
          <w:color w:val="auto"/>
          <w:highlight w:val="none"/>
        </w:rPr>
        <w:t>202</w:t>
      </w:r>
      <w:r>
        <w:rPr>
          <w:rFonts w:hint="eastAsia"/>
          <w:color w:val="auto"/>
          <w:highlight w:val="none"/>
          <w:lang w:val="en-US" w:eastAsia="zh-CN"/>
        </w:rPr>
        <w:t>6</w:t>
      </w:r>
      <w:r>
        <w:rPr>
          <w:rFonts w:hint="eastAsia"/>
          <w:color w:val="auto"/>
          <w:highlight w:val="none"/>
        </w:rPr>
        <w:t>.11.,以合同签订时间为准）</w:t>
      </w:r>
      <w:r>
        <w:rPr>
          <w:rFonts w:hint="eastAsia" w:ascii="宋体" w:hAnsi="宋体" w:cs="宋体"/>
          <w:color w:val="auto"/>
          <w:kern w:val="0"/>
          <w:sz w:val="24"/>
          <w:highlight w:val="none"/>
          <w:lang w:val="zh-CN"/>
        </w:rPr>
        <w:t>。</w:t>
      </w:r>
    </w:p>
    <w:p w14:paraId="4C691F5A">
      <w:pPr>
        <w:adjustRightInd w:val="0"/>
        <w:snapToGrid w:val="0"/>
        <w:spacing w:line="360" w:lineRule="auto"/>
        <w:ind w:right="-426" w:rightChars="-203"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2、合同有效期限：一年</w:t>
      </w:r>
      <w:r>
        <w:rPr>
          <w:rFonts w:hint="eastAsia"/>
          <w:color w:val="auto"/>
          <w:highlight w:val="none"/>
        </w:rPr>
        <w:t>（202</w:t>
      </w:r>
      <w:r>
        <w:rPr>
          <w:rFonts w:hint="eastAsia"/>
          <w:color w:val="auto"/>
          <w:highlight w:val="none"/>
          <w:lang w:val="en-US" w:eastAsia="zh-CN"/>
        </w:rPr>
        <w:t>5</w:t>
      </w:r>
      <w:r>
        <w:rPr>
          <w:rFonts w:hint="eastAsia"/>
          <w:color w:val="auto"/>
          <w:highlight w:val="none"/>
        </w:rPr>
        <w:t>.11.</w:t>
      </w:r>
      <w:r>
        <w:rPr>
          <w:rFonts w:hint="eastAsia" w:ascii="仿宋_GB2312" w:hAnsi="仿宋_GB2312" w:eastAsia="仿宋_GB2312" w:cs="仿宋_GB2312"/>
          <w:color w:val="auto"/>
          <w:highlight w:val="none"/>
        </w:rPr>
        <w:t>～</w:t>
      </w:r>
      <w:r>
        <w:rPr>
          <w:rFonts w:hint="eastAsia"/>
          <w:color w:val="auto"/>
          <w:highlight w:val="none"/>
        </w:rPr>
        <w:t>202</w:t>
      </w:r>
      <w:r>
        <w:rPr>
          <w:rFonts w:hint="eastAsia"/>
          <w:color w:val="auto"/>
          <w:highlight w:val="none"/>
          <w:lang w:val="en-US" w:eastAsia="zh-CN"/>
        </w:rPr>
        <w:t>6</w:t>
      </w:r>
      <w:r>
        <w:rPr>
          <w:rFonts w:hint="eastAsia"/>
          <w:color w:val="auto"/>
          <w:highlight w:val="none"/>
        </w:rPr>
        <w:t>.11.）</w:t>
      </w:r>
      <w:r>
        <w:rPr>
          <w:rFonts w:hint="eastAsia" w:ascii="宋体" w:hAnsi="宋体" w:cs="宋体"/>
          <w:color w:val="auto"/>
          <w:kern w:val="0"/>
          <w:sz w:val="24"/>
          <w:highlight w:val="none"/>
          <w:lang w:val="zh-CN"/>
        </w:rPr>
        <w:t>。</w:t>
      </w:r>
    </w:p>
    <w:p w14:paraId="2365DC63">
      <w:pPr>
        <w:adjustRightInd w:val="0"/>
        <w:snapToGrid w:val="0"/>
        <w:spacing w:line="360" w:lineRule="auto"/>
        <w:ind w:right="-426" w:rightChars="-203"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 xml:space="preserve">3. </w:t>
      </w:r>
      <w:r>
        <w:rPr>
          <w:rFonts w:ascii="宋体" w:hAnsi="宋体" w:cs="宋体"/>
          <w:kern w:val="0"/>
          <w:sz w:val="24"/>
          <w:highlight w:val="none"/>
          <w:lang w:val="zh-CN"/>
        </w:rPr>
        <w:t>项目实施地点：用户指定地点。</w:t>
      </w:r>
    </w:p>
    <w:p w14:paraId="58BBEE5A">
      <w:pPr>
        <w:spacing w:line="360" w:lineRule="auto"/>
        <w:ind w:firstLine="480" w:firstLineChars="200"/>
        <w:rPr>
          <w:rFonts w:hint="eastAsia" w:ascii="宋体" w:hAnsi="宋体" w:cs="宋体"/>
          <w:bCs/>
          <w:sz w:val="24"/>
          <w:highlight w:val="none"/>
        </w:rPr>
      </w:pPr>
      <w:r>
        <w:rPr>
          <w:rFonts w:hint="eastAsia" w:ascii="宋体" w:hAnsi="宋体" w:cs="宋体"/>
          <w:kern w:val="0"/>
          <w:sz w:val="24"/>
          <w:highlight w:val="none"/>
          <w:lang w:val="zh-CN"/>
        </w:rPr>
        <w:t>详细地点：</w:t>
      </w:r>
      <w:r>
        <w:rPr>
          <w:rFonts w:hint="eastAsia" w:ascii="宋体" w:hAnsi="宋体" w:cs="宋体"/>
          <w:kern w:val="0"/>
          <w:sz w:val="24"/>
          <w:highlight w:val="none"/>
        </w:rPr>
        <w:t xml:space="preserve"> </w:t>
      </w:r>
    </w:p>
    <w:p w14:paraId="23A49915">
      <w:pPr>
        <w:spacing w:line="360" w:lineRule="auto"/>
        <w:ind w:firstLine="480" w:firstLineChars="200"/>
        <w:rPr>
          <w:rFonts w:ascii="宋体" w:hAnsi="宋体" w:cs="宋体"/>
          <w:kern w:val="0"/>
          <w:sz w:val="24"/>
          <w:highlight w:val="none"/>
          <w:lang w:val="zh-CN"/>
        </w:rPr>
      </w:pPr>
      <w:r>
        <w:rPr>
          <w:rFonts w:hint="eastAsia" w:ascii="宋体" w:hAnsi="宋体" w:cs="宋体"/>
          <w:bCs/>
          <w:sz w:val="24"/>
          <w:highlight w:val="none"/>
          <w:u w:val="single"/>
          <w:lang w:val="en"/>
        </w:rPr>
        <w:t>承担全省19个市县：</w:t>
      </w:r>
      <w:r>
        <w:rPr>
          <w:rFonts w:hint="eastAsia" w:ascii="宋体" w:hAnsi="宋体" w:cs="宋体"/>
          <w:bCs/>
          <w:sz w:val="24"/>
          <w:highlight w:val="none"/>
          <w:u w:val="single"/>
          <w:lang w:val="zh-CN"/>
        </w:rPr>
        <w:t>海口、三亚、儋州、万宁</w:t>
      </w:r>
      <w:r>
        <w:rPr>
          <w:rFonts w:hint="eastAsia" w:ascii="宋体" w:hAnsi="宋体" w:cs="宋体"/>
          <w:bCs/>
          <w:sz w:val="24"/>
          <w:highlight w:val="none"/>
          <w:u w:val="single"/>
          <w:lang w:val="en"/>
        </w:rPr>
        <w:t>、</w:t>
      </w:r>
      <w:r>
        <w:rPr>
          <w:rFonts w:hint="eastAsia" w:ascii="宋体" w:hAnsi="宋体" w:cs="宋体"/>
          <w:bCs/>
          <w:sz w:val="24"/>
          <w:highlight w:val="none"/>
          <w:u w:val="single"/>
          <w:lang w:val="zh-CN"/>
        </w:rPr>
        <w:t>定安、琼海、文昌、屯昌、澄迈、琼中、临高、三沙</w:t>
      </w:r>
      <w:r>
        <w:rPr>
          <w:rFonts w:hint="eastAsia" w:ascii="宋体" w:hAnsi="宋体" w:cs="宋体"/>
          <w:bCs/>
          <w:sz w:val="24"/>
          <w:highlight w:val="none"/>
          <w:u w:val="single"/>
          <w:lang w:val="en"/>
        </w:rPr>
        <w:t>、</w:t>
      </w:r>
      <w:r>
        <w:rPr>
          <w:rFonts w:hint="eastAsia" w:ascii="宋体" w:hAnsi="宋体" w:cs="宋体"/>
          <w:bCs/>
          <w:sz w:val="24"/>
          <w:highlight w:val="none"/>
          <w:u w:val="single"/>
          <w:lang w:val="zh-CN"/>
        </w:rPr>
        <w:t>陵水、五指山、东方、乐东、保亭、白沙、昌江</w:t>
      </w:r>
      <w:r>
        <w:rPr>
          <w:rFonts w:hint="eastAsia" w:ascii="宋体" w:hAnsi="宋体" w:cs="宋体"/>
          <w:bCs/>
          <w:sz w:val="24"/>
          <w:highlight w:val="none"/>
          <w:u w:val="single"/>
          <w:lang w:val="en"/>
        </w:rPr>
        <w:t>1</w:t>
      </w:r>
      <w:r>
        <w:rPr>
          <w:rFonts w:hint="eastAsia" w:ascii="宋体" w:hAnsi="宋体" w:cs="宋体"/>
          <w:bCs/>
          <w:sz w:val="24"/>
          <w:highlight w:val="none"/>
          <w:u w:val="single"/>
          <w:lang w:val="zh-CN"/>
        </w:rPr>
        <w:t>9市县（含属地范围内的农垦、林业系统）广播电视村村通、户户通广播电视接收设施（含地面数字接收设备、村应急广播终端设施）维护服务</w:t>
      </w:r>
      <w:r>
        <w:rPr>
          <w:rFonts w:hint="eastAsia" w:ascii="宋体" w:hAnsi="宋体" w:cs="宋体"/>
          <w:kern w:val="0"/>
          <w:sz w:val="24"/>
          <w:highlight w:val="none"/>
          <w:lang w:val="zh-CN"/>
        </w:rPr>
        <w:t>（含原农垦系统、林业系统）。</w:t>
      </w:r>
    </w:p>
    <w:p w14:paraId="3171A3FA">
      <w:pPr>
        <w:adjustRightInd w:val="0"/>
        <w:snapToGrid w:val="0"/>
        <w:spacing w:line="360" w:lineRule="auto"/>
        <w:ind w:right="-426" w:rightChars="-203"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zh-CN"/>
        </w:rPr>
        <w:t>4、交付方式：免费送至用户指定地点。</w:t>
      </w:r>
    </w:p>
    <w:p w14:paraId="5F539766">
      <w:pPr>
        <w:adjustRightInd w:val="0"/>
        <w:snapToGrid w:val="0"/>
        <w:spacing w:line="360" w:lineRule="auto"/>
        <w:ind w:right="-426" w:rightChars="-203" w:firstLine="480" w:firstLineChars="200"/>
        <w:rPr>
          <w:rFonts w:hint="eastAsia" w:ascii="宋体" w:hAnsi="宋体" w:cs="宋体"/>
          <w:kern w:val="0"/>
          <w:sz w:val="24"/>
          <w:highlight w:val="none"/>
          <w:lang w:val="zh-CN"/>
        </w:rPr>
      </w:pPr>
      <w:r>
        <w:rPr>
          <w:rFonts w:hint="eastAsia" w:ascii="宋体" w:hAnsi="宋体" w:cs="宋体"/>
          <w:kern w:val="0"/>
          <w:sz w:val="24"/>
          <w:highlight w:val="none"/>
          <w:lang w:val="zh-CN"/>
        </w:rPr>
        <w:t>5. 付款方式：合同生效后，乙方出具有效发票，甲方在15个工作日内向乙方支付合同总金额的</w:t>
      </w:r>
      <w:r>
        <w:rPr>
          <w:rFonts w:hint="eastAsia" w:ascii="宋体" w:hAnsi="宋体" w:cs="宋体"/>
          <w:kern w:val="0"/>
          <w:sz w:val="24"/>
          <w:highlight w:val="none"/>
        </w:rPr>
        <w:t>5</w:t>
      </w:r>
      <w:r>
        <w:rPr>
          <w:rFonts w:hint="eastAsia" w:ascii="宋体" w:hAnsi="宋体" w:cs="宋体"/>
          <w:kern w:val="0"/>
          <w:sz w:val="24"/>
          <w:highlight w:val="none"/>
          <w:lang w:val="zh-CN"/>
        </w:rPr>
        <w:t>0％，</w:t>
      </w:r>
      <w:r>
        <w:rPr>
          <w:rFonts w:hint="eastAsia" w:ascii="宋体" w:hAnsi="宋体" w:cs="宋体"/>
          <w:kern w:val="0"/>
          <w:sz w:val="24"/>
          <w:szCs w:val="20"/>
          <w:highlight w:val="none"/>
          <w:lang w:val="zh-CN" w:bidi="ar"/>
        </w:rPr>
        <w:t>即¥</w:t>
      </w:r>
      <w:r>
        <w:rPr>
          <w:rFonts w:hint="eastAsia" w:ascii="宋体" w:hAnsi="宋体" w:cs="宋体"/>
          <w:kern w:val="0"/>
          <w:sz w:val="24"/>
          <w:szCs w:val="20"/>
          <w:highlight w:val="none"/>
          <w:lang w:val="en-US" w:eastAsia="zh-CN" w:bidi="ar"/>
        </w:rPr>
        <w:t xml:space="preserve">  </w:t>
      </w:r>
      <w:r>
        <w:rPr>
          <w:rFonts w:hint="eastAsia" w:ascii="宋体" w:hAnsi="宋体" w:cs="宋体"/>
          <w:kern w:val="0"/>
          <w:sz w:val="24"/>
          <w:highlight w:val="none"/>
        </w:rPr>
        <w:t>元（大写金额：</w:t>
      </w:r>
      <w:r>
        <w:rPr>
          <w:rFonts w:hint="eastAsia" w:ascii="宋体" w:hAnsi="宋体" w:cs="宋体"/>
          <w:kern w:val="0"/>
          <w:sz w:val="24"/>
          <w:highlight w:val="none"/>
          <w:lang w:val="en-US" w:eastAsia="zh-CN"/>
        </w:rPr>
        <w:t xml:space="preserve">  </w:t>
      </w:r>
      <w:r>
        <w:rPr>
          <w:rFonts w:hint="eastAsia" w:ascii="宋体" w:hAnsi="宋体" w:cs="宋体"/>
          <w:kern w:val="0"/>
          <w:sz w:val="24"/>
          <w:highlight w:val="none"/>
        </w:rPr>
        <w:t>）</w:t>
      </w:r>
      <w:r>
        <w:rPr>
          <w:rFonts w:hint="eastAsia" w:ascii="宋体" w:hAnsi="宋体" w:cs="宋体"/>
          <w:kern w:val="0"/>
          <w:sz w:val="24"/>
          <w:highlight w:val="none"/>
          <w:lang w:val="zh-CN"/>
        </w:rPr>
        <w:t>；合同生效满</w:t>
      </w:r>
      <w:r>
        <w:rPr>
          <w:rFonts w:hint="eastAsia" w:ascii="宋体" w:hAnsi="宋体" w:cs="宋体"/>
          <w:kern w:val="0"/>
          <w:sz w:val="24"/>
          <w:highlight w:val="none"/>
        </w:rPr>
        <w:t>5</w:t>
      </w:r>
      <w:r>
        <w:rPr>
          <w:rFonts w:hint="eastAsia" w:ascii="宋体" w:hAnsi="宋体" w:cs="宋体"/>
          <w:kern w:val="0"/>
          <w:sz w:val="24"/>
          <w:highlight w:val="none"/>
          <w:lang w:val="zh-CN"/>
        </w:rPr>
        <w:t>个月后，按《海南省政府采购履约验收管理暂行办法》（</w:t>
      </w:r>
      <w:r>
        <w:rPr>
          <w:rFonts w:hint="eastAsia" w:ascii="宋体" w:hAnsi="宋体" w:cs="宋体"/>
          <w:kern w:val="0"/>
          <w:sz w:val="24"/>
          <w:highlight w:val="none"/>
          <w:lang w:val="en-US" w:eastAsia="zh-CN"/>
        </w:rPr>
        <w:t>2024年2月1日起施行，有效期三年</w:t>
      </w:r>
      <w:r>
        <w:rPr>
          <w:rFonts w:hint="eastAsia" w:ascii="宋体" w:hAnsi="宋体" w:cs="宋体"/>
          <w:kern w:val="0"/>
          <w:sz w:val="24"/>
          <w:highlight w:val="none"/>
          <w:lang w:val="zh-CN"/>
        </w:rPr>
        <w:t>）要求，乙方保证服务网点正常运行并向甲方提供相关自行组织验收（要求自验合格）材料，经甲方阶段性验收通过后支付乙方合同总金额的</w:t>
      </w:r>
      <w:r>
        <w:rPr>
          <w:rFonts w:ascii="宋体" w:hAnsi="宋体" w:cs="宋体"/>
          <w:color w:val="000000"/>
          <w:kern w:val="0"/>
          <w:sz w:val="24"/>
          <w:highlight w:val="none"/>
          <w:lang w:val="en"/>
        </w:rPr>
        <w:t>3</w:t>
      </w:r>
      <w:r>
        <w:rPr>
          <w:rFonts w:hint="eastAsia" w:ascii="宋体" w:hAnsi="宋体" w:cs="宋体"/>
          <w:color w:val="000000"/>
          <w:kern w:val="0"/>
          <w:sz w:val="24"/>
          <w:highlight w:val="none"/>
          <w:lang w:val="zh-CN"/>
        </w:rPr>
        <w:t>0％</w:t>
      </w:r>
      <w:r>
        <w:rPr>
          <w:rFonts w:ascii="宋体" w:hAnsi="宋体" w:cs="宋体"/>
          <w:color w:val="000000"/>
          <w:kern w:val="0"/>
          <w:sz w:val="24"/>
          <w:highlight w:val="none"/>
          <w:lang w:val="en"/>
        </w:rPr>
        <w:t>,</w:t>
      </w:r>
      <w:r>
        <w:rPr>
          <w:rFonts w:hint="eastAsia" w:ascii="宋体" w:hAnsi="宋体" w:cs="宋体"/>
          <w:color w:val="000000"/>
          <w:kern w:val="0"/>
          <w:sz w:val="24"/>
          <w:szCs w:val="20"/>
          <w:highlight w:val="none"/>
          <w:lang w:val="zh-CN" w:bidi="ar"/>
        </w:rPr>
        <w:t>即¥</w:t>
      </w:r>
      <w:r>
        <w:rPr>
          <w:rFonts w:hint="eastAsia" w:ascii="宋体" w:hAnsi="宋体" w:cs="宋体"/>
          <w:color w:val="000000"/>
          <w:kern w:val="0"/>
          <w:sz w:val="24"/>
          <w:szCs w:val="20"/>
          <w:highlight w:val="none"/>
          <w:lang w:val="en-US" w:eastAsia="zh-CN" w:bidi="ar"/>
        </w:rPr>
        <w:t xml:space="preserve">    </w:t>
      </w:r>
      <w:r>
        <w:rPr>
          <w:rFonts w:hint="eastAsia" w:ascii="宋体" w:hAnsi="宋体" w:cs="宋体"/>
          <w:kern w:val="0"/>
          <w:sz w:val="24"/>
          <w:highlight w:val="none"/>
        </w:rPr>
        <w:t>元（大写金额：）</w:t>
      </w:r>
      <w:r>
        <w:rPr>
          <w:rFonts w:hint="eastAsia" w:ascii="宋体" w:hAnsi="宋体" w:cs="宋体"/>
          <w:kern w:val="0"/>
          <w:sz w:val="24"/>
          <w:highlight w:val="none"/>
          <w:lang w:val="zh-CN"/>
        </w:rPr>
        <w:t>；服务期限结束，乙方提供项目相关验收材料及有效发票，经甲方验收合格后，甲方在15个工作日内向乙方支付合同总金额的20%，</w:t>
      </w:r>
      <w:r>
        <w:rPr>
          <w:rFonts w:hint="eastAsia" w:ascii="宋体" w:hAnsi="宋体" w:cs="宋体"/>
          <w:kern w:val="0"/>
          <w:sz w:val="24"/>
          <w:szCs w:val="20"/>
          <w:highlight w:val="none"/>
          <w:lang w:val="zh-CN" w:bidi="ar"/>
        </w:rPr>
        <w:t>即¥</w:t>
      </w:r>
      <w:r>
        <w:rPr>
          <w:rFonts w:hint="eastAsia" w:ascii="宋体" w:hAnsi="宋体" w:cs="宋体"/>
          <w:kern w:val="0"/>
          <w:sz w:val="24"/>
          <w:szCs w:val="20"/>
          <w:highlight w:val="none"/>
          <w:lang w:val="en-US" w:eastAsia="zh-CN" w:bidi="ar"/>
        </w:rPr>
        <w:t xml:space="preserve"> </w:t>
      </w:r>
      <w:r>
        <w:rPr>
          <w:rFonts w:hint="eastAsia" w:ascii="宋体" w:hAnsi="宋体" w:cs="宋体"/>
          <w:kern w:val="0"/>
          <w:sz w:val="24"/>
          <w:highlight w:val="none"/>
        </w:rPr>
        <w:t>元（大写金额：</w:t>
      </w:r>
      <w:r>
        <w:rPr>
          <w:rFonts w:hint="eastAsia" w:ascii="宋体" w:hAnsi="宋体" w:cs="宋体"/>
          <w:kern w:val="0"/>
          <w:sz w:val="24"/>
          <w:highlight w:val="none"/>
          <w:lang w:val="en-US" w:eastAsia="zh-CN"/>
        </w:rPr>
        <w:t xml:space="preserve">  </w:t>
      </w:r>
      <w:r>
        <w:rPr>
          <w:rFonts w:hint="eastAsia" w:ascii="宋体" w:hAnsi="宋体" w:cs="宋体"/>
          <w:kern w:val="0"/>
          <w:sz w:val="24"/>
          <w:highlight w:val="none"/>
        </w:rPr>
        <w:t>）</w:t>
      </w:r>
      <w:r>
        <w:rPr>
          <w:rFonts w:hint="eastAsia" w:ascii="宋体" w:hAnsi="宋体" w:cs="宋体"/>
          <w:kern w:val="0"/>
          <w:sz w:val="24"/>
          <w:highlight w:val="none"/>
          <w:lang w:val="zh-CN"/>
        </w:rPr>
        <w:t>。因财政支付原因导致甲方延迟付款，不视为甲方违约。</w:t>
      </w:r>
    </w:p>
    <w:p w14:paraId="7CE62E40">
      <w:pPr>
        <w:pStyle w:val="3"/>
        <w:rPr>
          <w:rFonts w:hint="eastAsia" w:ascii="宋体" w:hAnsi="宋体" w:eastAsia="宋体" w:cs="宋体"/>
          <w:b w:val="0"/>
          <w:bCs w:val="0"/>
          <w:kern w:val="0"/>
          <w:sz w:val="24"/>
          <w:szCs w:val="24"/>
          <w:highlight w:val="none"/>
          <w:lang w:val="zh-CN" w:eastAsia="zh-CN" w:bidi="ar-SA"/>
        </w:rPr>
      </w:pPr>
      <w:r>
        <w:rPr>
          <w:rFonts w:hint="eastAsia" w:ascii="宋体" w:hAnsi="宋体" w:eastAsia="宋体" w:cs="宋体"/>
          <w:b w:val="0"/>
          <w:bCs w:val="0"/>
          <w:kern w:val="0"/>
          <w:sz w:val="24"/>
          <w:szCs w:val="24"/>
          <w:highlight w:val="none"/>
          <w:lang w:val="zh-CN" w:eastAsia="zh-CN" w:bidi="ar-SA"/>
        </w:rPr>
        <w:t xml:space="preserve">  6.乙方在履行合同过程中，不得将本合同的权利义务转让给第三方（这里不含市县服务分中心及以下服务站点），乙方要按甲方要求出席与项目有关的 调研、会议等活动，所产生的费用已包含在合同总额中，甲方不再另行支付。</w:t>
      </w:r>
    </w:p>
    <w:p w14:paraId="6BB224F1">
      <w:pPr>
        <w:pStyle w:val="12"/>
        <w:tabs>
          <w:tab w:val="left" w:pos="630"/>
          <w:tab w:val="left" w:pos="1980"/>
        </w:tabs>
        <w:snapToGrid w:val="0"/>
        <w:spacing w:before="19" w:line="440" w:lineRule="exact"/>
        <w:ind w:firstLine="481"/>
        <w:jc w:val="left"/>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 xml:space="preserve">五、维护服务站点设置要求 </w:t>
      </w:r>
    </w:p>
    <w:p w14:paraId="775EF012">
      <w:pPr>
        <w:adjustRightInd w:val="0"/>
        <w:snapToGrid w:val="0"/>
        <w:spacing w:line="360" w:lineRule="auto"/>
        <w:rPr>
          <w:rFonts w:hint="eastAsia" w:ascii="宋体" w:hAnsi="宋体" w:cs="宋体"/>
          <w:color w:val="000000"/>
          <w:sz w:val="24"/>
          <w:highlight w:val="none"/>
        </w:rPr>
      </w:pPr>
      <w:r>
        <w:rPr>
          <w:rFonts w:hint="eastAsia" w:ascii="宋体" w:hAnsi="宋体" w:cs="宋体"/>
          <w:sz w:val="24"/>
          <w:highlight w:val="none"/>
        </w:rPr>
        <w:t xml:space="preserve">    乙方应制定完备的服务网络建设方案，包括省级服务中心1个、每个市县级服务中心1个（除三沙市设立1个乡镇级服务站可满足维修需求外，全省其他18个市县必须设立维修服务分中心）；每个乡镇服务站至少1个（不能少于192个）；人口户数较多的行政村、居（原农场生产队）须设村代办点（或代办员）</w:t>
      </w:r>
      <w:r>
        <w:rPr>
          <w:rFonts w:ascii="宋体" w:hAnsi="宋体" w:cs="宋体"/>
          <w:sz w:val="24"/>
          <w:highlight w:val="none"/>
          <w:lang w:val="en"/>
        </w:rPr>
        <w:t>,</w:t>
      </w:r>
      <w:r>
        <w:rPr>
          <w:rFonts w:hint="eastAsia" w:ascii="宋体" w:hAnsi="宋体" w:cs="宋体"/>
          <w:sz w:val="24"/>
          <w:highlight w:val="none"/>
          <w:lang w:val="en"/>
        </w:rPr>
        <w:t>原则上每个市县设立村代办点</w:t>
      </w:r>
      <w:r>
        <w:rPr>
          <w:rFonts w:hint="eastAsia" w:ascii="宋体" w:hAnsi="宋体" w:cs="宋体"/>
          <w:sz w:val="24"/>
          <w:highlight w:val="none"/>
        </w:rPr>
        <w:t>5个，全省村代办点设立不少于90个（除三沙市不设立村代办点外，其他市县必须设立村代办点）；全省共设立服务站点总数量不能少于300个。各级服务站点统一悬挂印有甲方监制字样的牌匾，服务制度、服务流程、服务公约等，</w:t>
      </w:r>
      <w:r>
        <w:rPr>
          <w:rFonts w:hint="eastAsia" w:ascii="宋体" w:hAnsi="宋体" w:cs="宋体"/>
          <w:b/>
          <w:bCs/>
          <w:sz w:val="24"/>
          <w:highlight w:val="none"/>
        </w:rPr>
        <w:t>各级服务站点应保持门面宣传标识清晰美观，维修场所整洁卫生，维修工具、故障设备、维修备机备件各类物品等摆放整齐有序；为确保维修场所生产安全，维修场所须放置灭火器等消防器材。</w:t>
      </w:r>
      <w:r>
        <w:rPr>
          <w:rFonts w:hint="eastAsia" w:ascii="宋体" w:hAnsi="宋体" w:cs="宋体"/>
          <w:sz w:val="24"/>
          <w:highlight w:val="none"/>
        </w:rPr>
        <w:t xml:space="preserve">具体要求为： </w:t>
      </w:r>
    </w:p>
    <w:p w14:paraId="1E6EC9C3">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（一）省级服务中心：</w:t>
      </w:r>
    </w:p>
    <w:p w14:paraId="54AEA693">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（1）门店设置在海口市交通相对便利的位置，有不少于40—60平米的办公场地；</w:t>
      </w:r>
    </w:p>
    <w:p w14:paraId="29CBA28D">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（2）有1—2辆用于管理和服务下级服务网点的车辆（或工具车）；</w:t>
      </w:r>
    </w:p>
    <w:p w14:paraId="07C19AD9">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（3）挂牌服务，有明显的服务标识，有电脑、文件柜等相关的办公设施；</w:t>
      </w:r>
    </w:p>
    <w:p w14:paraId="7895A9A9">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（4）有3—5名用于常年开展维修工作和指导服务下级维修服务网点工作的技术人员</w:t>
      </w:r>
      <w:r>
        <w:rPr>
          <w:rFonts w:hint="eastAsia" w:ascii="宋体" w:hAnsi="宋体" w:cs="宋体"/>
          <w:color w:val="000000"/>
          <w:sz w:val="24"/>
          <w:highlight w:val="none"/>
          <w:lang w:eastAsia="zh-CN"/>
        </w:rPr>
        <w:t>，责任人及日常工作人员信息上墙显示</w:t>
      </w:r>
      <w:r>
        <w:rPr>
          <w:rFonts w:hint="eastAsia" w:ascii="宋体" w:hAnsi="宋体" w:cs="宋体"/>
          <w:color w:val="000000"/>
          <w:sz w:val="24"/>
          <w:highlight w:val="none"/>
        </w:rPr>
        <w:t>；</w:t>
      </w:r>
    </w:p>
    <w:p w14:paraId="33359393">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（5）有2-3名常年在服务中心开展维修服务的专职技术人员（指专门做维修的技术人员），有专门的维修场地及维修工具仪表、维修设施配套齐全；</w:t>
      </w:r>
    </w:p>
    <w:p w14:paraId="4CCCE66F">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 xml:space="preserve">（6）办公场地悬挂较规范的相关工作制度、服务流程、服务公约等； </w:t>
      </w:r>
    </w:p>
    <w:p w14:paraId="0CF3C85B">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（7）有专门的仓储</w:t>
      </w:r>
      <w:r>
        <w:rPr>
          <w:rFonts w:hint="eastAsia" w:ascii="宋体" w:hAnsi="宋体" w:cs="宋体"/>
          <w:i/>
          <w:iCs/>
          <w:color w:val="000000"/>
          <w:sz w:val="24"/>
          <w:highlight w:val="none"/>
        </w:rPr>
        <w:t>室</w:t>
      </w:r>
      <w:r>
        <w:rPr>
          <w:rFonts w:hint="eastAsia" w:ascii="宋体" w:hAnsi="宋体" w:cs="宋体"/>
          <w:color w:val="000000"/>
          <w:sz w:val="24"/>
          <w:highlight w:val="none"/>
        </w:rPr>
        <w:t>（场地）用于存放开展维修工作备品备机，备机备件的数量（</w:t>
      </w:r>
      <w:r>
        <w:rPr>
          <w:rFonts w:hint="eastAsia" w:ascii="宋体" w:hAnsi="宋体" w:cs="宋体"/>
          <w:b/>
          <w:bCs/>
          <w:sz w:val="24"/>
          <w:highlight w:val="none"/>
        </w:rPr>
        <w:t>中标单位服务期内需购置相应数量的备机备件，必须满足日常维护需求</w:t>
      </w:r>
      <w:r>
        <w:rPr>
          <w:rFonts w:hint="eastAsia" w:ascii="宋体" w:hAnsi="宋体" w:cs="宋体"/>
          <w:color w:val="000000"/>
          <w:sz w:val="24"/>
          <w:highlight w:val="none"/>
        </w:rPr>
        <w:t xml:space="preserve">）要满足正常维修服务需要（周转），接受群众诉求响应时间不超过24小时。 </w:t>
      </w:r>
    </w:p>
    <w:p w14:paraId="12CB36A4">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（二）市县分中心：</w:t>
      </w:r>
    </w:p>
    <w:p w14:paraId="2F667D3C">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（1）设立在市县城市街道，交通相对便利的位置，有不少于</w:t>
      </w:r>
      <w:r>
        <w:rPr>
          <w:rFonts w:hint="eastAsia" w:ascii="宋体" w:hAnsi="宋体" w:cs="宋体"/>
          <w:b/>
          <w:bCs/>
          <w:color w:val="000000"/>
          <w:sz w:val="24"/>
          <w:highlight w:val="none"/>
        </w:rPr>
        <w:t>40</w:t>
      </w:r>
      <w:r>
        <w:rPr>
          <w:rFonts w:hint="eastAsia" w:ascii="宋体" w:hAnsi="宋体" w:cs="宋体"/>
          <w:color w:val="000000"/>
          <w:sz w:val="24"/>
          <w:highlight w:val="none"/>
        </w:rPr>
        <w:t>平米的用于维修服务的办公场地，在显目的位置张贴或悬挂较为规范的工作制度、服务流程、服务公约等；</w:t>
      </w:r>
    </w:p>
    <w:p w14:paraId="5C6E61A3">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（2）有1辆用于维修服务的工具车（或其他机动车辆）；</w:t>
      </w:r>
    </w:p>
    <w:p w14:paraId="6F04A689">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（3）有2名以上（含2名）的维修技术人员</w:t>
      </w:r>
      <w:r>
        <w:rPr>
          <w:rFonts w:hint="eastAsia" w:ascii="宋体" w:hAnsi="宋体" w:cs="宋体"/>
          <w:color w:val="000000"/>
          <w:sz w:val="24"/>
          <w:highlight w:val="none"/>
          <w:lang w:eastAsia="zh-CN"/>
        </w:rPr>
        <w:t>，责任人及日常工作人员信息上墙显示</w:t>
      </w:r>
      <w:r>
        <w:rPr>
          <w:rFonts w:hint="eastAsia" w:ascii="宋体" w:hAnsi="宋体" w:cs="宋体"/>
          <w:color w:val="000000"/>
          <w:sz w:val="24"/>
          <w:highlight w:val="none"/>
        </w:rPr>
        <w:t>；；</w:t>
      </w:r>
    </w:p>
    <w:p w14:paraId="401A487C">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（4）有办公电脑、文件盒及完备的维修工具和仪表；</w:t>
      </w:r>
    </w:p>
    <w:p w14:paraId="5D194257">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（5）有一批用于维修服务的备品备件；</w:t>
      </w:r>
    </w:p>
    <w:p w14:paraId="00D5F41D">
      <w:pPr>
        <w:adjustRightInd w:val="0"/>
        <w:snapToGrid w:val="0"/>
        <w:spacing w:line="360" w:lineRule="auto"/>
        <w:ind w:firstLine="480" w:firstLineChars="200"/>
        <w:rPr>
          <w:rFonts w:ascii="宋体" w:hAnsi="宋体" w:cs="宋体"/>
          <w:sz w:val="24"/>
          <w:highlight w:val="none"/>
        </w:rPr>
      </w:pPr>
      <w:r>
        <w:rPr>
          <w:rFonts w:hint="eastAsia" w:ascii="宋体" w:hAnsi="宋体" w:cs="宋体"/>
          <w:color w:val="000000"/>
          <w:sz w:val="24"/>
          <w:highlight w:val="none"/>
        </w:rPr>
        <w:t>（6）有1年以上（含1年）开展维修服务</w:t>
      </w:r>
      <w:r>
        <w:rPr>
          <w:rFonts w:hint="eastAsia" w:ascii="宋体" w:hAnsi="宋体" w:cs="宋体"/>
          <w:sz w:val="24"/>
          <w:highlight w:val="none"/>
        </w:rPr>
        <w:t>的丰富经验；</w:t>
      </w:r>
    </w:p>
    <w:p w14:paraId="49142299">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（7）挂牌服务，有明显的服务标识，标识上注明便于维修服务联系电话（或可使用于手机扫描的二维码）及联系人，群众诉求响应时间为24小时以内。</w:t>
      </w:r>
    </w:p>
    <w:p w14:paraId="32A32153">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（三）乡镇服务站：</w:t>
      </w:r>
    </w:p>
    <w:p w14:paraId="404CE4C1">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（1）设置在其乡镇政府办公驻点的附近街道，交通相对便利的位置，有不少于</w:t>
      </w:r>
      <w:r>
        <w:rPr>
          <w:rFonts w:hint="eastAsia" w:ascii="宋体" w:hAnsi="宋体" w:cs="宋体"/>
          <w:b/>
          <w:bCs/>
          <w:sz w:val="24"/>
          <w:highlight w:val="none"/>
        </w:rPr>
        <w:t>10平米</w:t>
      </w:r>
      <w:r>
        <w:rPr>
          <w:rFonts w:hint="eastAsia" w:ascii="宋体" w:hAnsi="宋体" w:cs="宋体"/>
          <w:sz w:val="24"/>
          <w:highlight w:val="none"/>
        </w:rPr>
        <w:t>的开展维修服务的场地（或者家电销售门店、或电器维修点）；</w:t>
      </w:r>
    </w:p>
    <w:p w14:paraId="0A0E2173">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（2）有1名以上（含1名）的维修技术人员</w:t>
      </w:r>
      <w:r>
        <w:rPr>
          <w:rFonts w:hint="eastAsia" w:ascii="宋体" w:hAnsi="宋体" w:cs="宋体"/>
          <w:sz w:val="24"/>
          <w:highlight w:val="none"/>
          <w:lang w:eastAsia="zh-CN"/>
        </w:rPr>
        <w:t>，</w:t>
      </w:r>
      <w:r>
        <w:rPr>
          <w:rFonts w:hint="eastAsia" w:ascii="宋体" w:hAnsi="宋体" w:cs="宋体"/>
          <w:color w:val="000000"/>
          <w:sz w:val="24"/>
          <w:highlight w:val="none"/>
          <w:lang w:eastAsia="zh-CN"/>
        </w:rPr>
        <w:t>责任人信息上墙显示</w:t>
      </w:r>
      <w:r>
        <w:rPr>
          <w:rFonts w:hint="eastAsia" w:ascii="宋体" w:hAnsi="宋体" w:cs="宋体"/>
          <w:sz w:val="24"/>
          <w:highlight w:val="none"/>
        </w:rPr>
        <w:t>；</w:t>
      </w:r>
    </w:p>
    <w:p w14:paraId="4E4CDD64">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（3）有用于开展维修服务的工具车（或摩托车等）；</w:t>
      </w:r>
    </w:p>
    <w:p w14:paraId="58955543">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（4）有开展维修服务的工具仪表；</w:t>
      </w:r>
    </w:p>
    <w:p w14:paraId="3ABE863A">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（5）挂牌服务，有明显的服务标识，张贴服务流程和服务公约等，服务标识上注明用于维修服务、或群众投诉的电话及联系人，群众诉求响应时间为36小时。</w:t>
      </w:r>
    </w:p>
    <w:p w14:paraId="4D131653">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（四） 村代办点：</w:t>
      </w:r>
    </w:p>
    <w:p w14:paraId="02DC0986">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（1）设置在墟镇街道、居委会、行政村村委会附近、原农场生产队队部附近，交通相对便利的位置，代办员熟悉本村直播卫星用户情况</w:t>
      </w:r>
      <w:r>
        <w:rPr>
          <w:rFonts w:hint="eastAsia" w:ascii="宋体" w:hAnsi="宋体" w:cs="宋体"/>
          <w:color w:val="000000"/>
          <w:sz w:val="24"/>
          <w:highlight w:val="none"/>
          <w:lang w:eastAsia="zh-CN"/>
        </w:rPr>
        <w:t>，责任人信息上墙显示</w:t>
      </w:r>
      <w:r>
        <w:rPr>
          <w:rFonts w:hint="eastAsia" w:ascii="宋体" w:hAnsi="宋体" w:cs="宋体"/>
          <w:color w:val="000000"/>
          <w:sz w:val="24"/>
          <w:highlight w:val="none"/>
        </w:rPr>
        <w:t>；；</w:t>
      </w:r>
    </w:p>
    <w:p w14:paraId="78F828B5">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（2）有开展维修服务的基本常识；</w:t>
      </w:r>
    </w:p>
    <w:p w14:paraId="79788BF2">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（3）有初中以上文化程度；</w:t>
      </w:r>
    </w:p>
    <w:p w14:paraId="7781750A">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（4）无犯罪前科记录，遵纪守法的当地农村群众；</w:t>
      </w:r>
    </w:p>
    <w:p w14:paraId="6F4A9BD1">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000000"/>
          <w:sz w:val="24"/>
          <w:highlight w:val="none"/>
        </w:rPr>
        <w:t>（5）设立明显的维修服务标识，标识上注明开展维修服务、或方便群众投诉</w:t>
      </w:r>
      <w:r>
        <w:rPr>
          <w:rFonts w:hint="eastAsia" w:ascii="宋体" w:hAnsi="宋体" w:cs="宋体"/>
          <w:color w:val="auto"/>
          <w:sz w:val="24"/>
          <w:highlight w:val="none"/>
        </w:rPr>
        <w:t>的电话及联系人，接受群众诉求响应时间为36小时。</w:t>
      </w:r>
    </w:p>
    <w:p w14:paraId="2E2CFC1B">
      <w:pPr>
        <w:adjustRightInd w:val="0"/>
        <w:snapToGrid w:val="0"/>
        <w:spacing w:line="360" w:lineRule="auto"/>
        <w:ind w:firstLine="480" w:firstLineChars="200"/>
        <w:rPr>
          <w:color w:val="auto"/>
          <w:highlight w:val="none"/>
        </w:rPr>
      </w:pPr>
      <w:r>
        <w:rPr>
          <w:rFonts w:hint="eastAsia" w:ascii="宋体" w:hAnsi="宋体" w:cs="宋体"/>
          <w:color w:val="auto"/>
          <w:sz w:val="24"/>
          <w:highlight w:val="none"/>
        </w:rPr>
        <w:t>（五）各级服务网点必须配备一定数量的备机、备件（省级服务中心的备机数量保持在维</w:t>
      </w:r>
      <w:r>
        <w:rPr>
          <w:rFonts w:hint="eastAsia" w:ascii="宋体" w:hAnsi="宋体" w:cs="宋体"/>
          <w:color w:val="auto"/>
          <w:sz w:val="24"/>
          <w:highlight w:val="none"/>
          <w:u w:val="single"/>
        </w:rPr>
        <w:t>护</w:t>
      </w:r>
      <w:r>
        <w:rPr>
          <w:rFonts w:hint="eastAsia" w:ascii="宋体" w:hAnsi="宋体" w:cs="宋体"/>
          <w:color w:val="auto"/>
          <w:sz w:val="24"/>
          <w:highlight w:val="none"/>
        </w:rPr>
        <w:t>数量的必须满足全省运行维护需求，日常库存备机储备量不少于</w:t>
      </w:r>
      <w:r>
        <w:rPr>
          <w:rFonts w:hint="eastAsia" w:ascii="宋体" w:hAnsi="宋体" w:cs="宋体"/>
          <w:b/>
          <w:bCs/>
          <w:color w:val="auto"/>
          <w:sz w:val="24"/>
          <w:highlight w:val="none"/>
        </w:rPr>
        <w:t>1000台高清机顶盒</w:t>
      </w:r>
      <w:r>
        <w:rPr>
          <w:rFonts w:hint="eastAsia" w:ascii="宋体" w:hAnsi="宋体" w:cs="宋体"/>
          <w:color w:val="auto"/>
          <w:sz w:val="24"/>
          <w:highlight w:val="none"/>
        </w:rPr>
        <w:t>，市县服务分中心的日常备机数量不少于100台（不含零售机维修备机），乡镇服务站的日常备机数量不少于15台（不含零售机维修备机），村代办点的日常备机数量不少于8台（不含零售机维修备机），各级服务站点的备件必须齐全，数量若干；渔船通维修备机备件必须充足）。</w:t>
      </w:r>
    </w:p>
    <w:p w14:paraId="6EDCE804">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（六）各级服务站点工作人员开展维修服务工作时，应着由省级服务中心配制统一的工作服装，工作服上应印有户户通设备维修相关标识和文字表述。</w:t>
      </w:r>
    </w:p>
    <w:p w14:paraId="04426F26">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（七）各级维修服务网点不得开展违法经营活动；不得违规开展出售非法直播卫星接收设备业务；不</w:t>
      </w:r>
      <w:r>
        <w:rPr>
          <w:rFonts w:hint="eastAsia" w:ascii="宋体" w:hAnsi="宋体" w:cs="宋体"/>
          <w:sz w:val="24"/>
          <w:highlight w:val="none"/>
        </w:rPr>
        <w:t>得收购、倒买倒卖整省推进直播卫星接工程用户的设备；不得利用维修户户通设备的工号开展销售、安装非法直播卫星接收设备等不法活动；不得在有线电视通达的区域内安装直播卫星接收设备；以上各种违规情况，一经查实，招标人将取消该服务网点维修服务资格，在要求中标方予以整改的同</w:t>
      </w:r>
      <w:r>
        <w:rPr>
          <w:rFonts w:hint="eastAsia" w:ascii="宋体" w:hAnsi="宋体" w:cs="宋体"/>
          <w:color w:val="000000"/>
          <w:sz w:val="24"/>
          <w:highlight w:val="none"/>
        </w:rPr>
        <w:t xml:space="preserve">时，并按相关规定追究其责任。 </w:t>
      </w:r>
    </w:p>
    <w:p w14:paraId="60D2545D">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sz w:val="24"/>
          <w:highlight w:val="none"/>
        </w:rPr>
        <w:t>（八）各级服务站点设立设置及使用交通工具必须符合安全生产相关规定，办公房屋的安全性必须符合相关法规要求，不允许把维修点设置在在危房内或存在安全隐患的房屋内，同时，应保证其用水、用电安全，并配置必要的消防设施，</w:t>
      </w:r>
      <w:r>
        <w:rPr>
          <w:rFonts w:hint="eastAsia" w:ascii="宋体" w:hAnsi="宋体" w:cs="宋体"/>
          <w:color w:val="000000"/>
          <w:sz w:val="24"/>
          <w:highlight w:val="none"/>
        </w:rPr>
        <w:t xml:space="preserve">保证其安全生产要求。 </w:t>
      </w:r>
    </w:p>
    <w:p w14:paraId="7CD6883B">
      <w:pPr>
        <w:pStyle w:val="13"/>
        <w:ind w:firstLine="482"/>
        <w:rPr>
          <w:rFonts w:cs="宋体"/>
          <w:b/>
          <w:bCs/>
          <w:color w:val="000000"/>
          <w:highlight w:val="none"/>
        </w:rPr>
      </w:pPr>
      <w:r>
        <w:rPr>
          <w:rFonts w:hint="eastAsia" w:cs="宋体"/>
          <w:b/>
          <w:bCs/>
          <w:color w:val="000000"/>
          <w:highlight w:val="none"/>
        </w:rPr>
        <w:t>六、甲、乙双方责任义务</w:t>
      </w:r>
    </w:p>
    <w:p w14:paraId="0A99DC96">
      <w:pPr>
        <w:pStyle w:val="13"/>
        <w:rPr>
          <w:rFonts w:hint="eastAsia" w:cs="宋体"/>
          <w:color w:val="000000"/>
          <w:highlight w:val="none"/>
        </w:rPr>
      </w:pPr>
      <w:r>
        <w:rPr>
          <w:rFonts w:hint="eastAsia" w:cs="宋体"/>
          <w:color w:val="000000"/>
          <w:highlight w:val="none"/>
        </w:rPr>
        <w:t>（一）甲方责任义务</w:t>
      </w:r>
    </w:p>
    <w:p w14:paraId="36BE54A3">
      <w:pPr>
        <w:pStyle w:val="13"/>
        <w:rPr>
          <w:rFonts w:cs="宋体"/>
          <w:color w:val="000000"/>
          <w:highlight w:val="none"/>
          <w:lang w:val="en"/>
        </w:rPr>
      </w:pPr>
      <w:r>
        <w:rPr>
          <w:rFonts w:hint="eastAsia" w:cs="宋体"/>
          <w:color w:val="000000"/>
          <w:highlight w:val="none"/>
        </w:rPr>
        <w:t>1、在乙方实施服务过程中，甲方</w:t>
      </w:r>
      <w:r>
        <w:rPr>
          <w:rFonts w:hint="eastAsia" w:cs="宋体"/>
          <w:highlight w:val="none"/>
        </w:rPr>
        <w:t>有义</w:t>
      </w:r>
      <w:r>
        <w:rPr>
          <w:rFonts w:hint="eastAsia" w:cs="宋体"/>
          <w:color w:val="000000"/>
          <w:highlight w:val="none"/>
        </w:rPr>
        <w:t>务督导乙方抓好各级服务站点建设，提高维修维护服务质量。</w:t>
      </w:r>
    </w:p>
    <w:p w14:paraId="22C4A45D">
      <w:pPr>
        <w:pStyle w:val="13"/>
        <w:rPr>
          <w:rFonts w:hint="eastAsia" w:cs="宋体"/>
          <w:color w:val="000000"/>
          <w:highlight w:val="none"/>
        </w:rPr>
      </w:pPr>
      <w:r>
        <w:rPr>
          <w:rFonts w:hint="eastAsia" w:cs="宋体"/>
          <w:color w:val="000000"/>
          <w:highlight w:val="none"/>
        </w:rPr>
        <w:t>2、甲方应严格按本合同约定向乙方支付维护经费，因财政原因造成合同款迟延支付的，不视为甲方违约。</w:t>
      </w:r>
    </w:p>
    <w:p w14:paraId="4A7481F5">
      <w:pPr>
        <w:pStyle w:val="13"/>
        <w:rPr>
          <w:rFonts w:hint="eastAsia" w:cs="宋体"/>
          <w:color w:val="000000"/>
          <w:highlight w:val="none"/>
        </w:rPr>
      </w:pPr>
      <w:r>
        <w:rPr>
          <w:rFonts w:hint="eastAsia" w:cs="宋体"/>
          <w:color w:val="000000"/>
          <w:highlight w:val="none"/>
        </w:rPr>
        <w:t>3、如乙方未能按本合同约定执行，甲方有权扣除相应费用；甲方有权直接在合同费用中扣除乙方应付的违约金及赔偿金。</w:t>
      </w:r>
    </w:p>
    <w:p w14:paraId="77B2BC68">
      <w:pPr>
        <w:pStyle w:val="13"/>
        <w:rPr>
          <w:rFonts w:hint="eastAsia" w:cs="宋体"/>
          <w:color w:val="000000"/>
          <w:highlight w:val="none"/>
        </w:rPr>
      </w:pPr>
      <w:r>
        <w:rPr>
          <w:rFonts w:hint="eastAsia" w:cs="宋体"/>
          <w:color w:val="000000"/>
          <w:highlight w:val="none"/>
        </w:rPr>
        <w:t>4、甲方有权审核监督乙方的服务工作，如达不到合同约定及甲方合理要求，乙方应按甲方作出调整，否则，甲方有权解除合同。</w:t>
      </w:r>
    </w:p>
    <w:p w14:paraId="56EF34D4">
      <w:pPr>
        <w:pStyle w:val="13"/>
        <w:rPr>
          <w:rFonts w:hint="eastAsia" w:cs="宋体"/>
          <w:color w:val="000000"/>
          <w:highlight w:val="none"/>
        </w:rPr>
      </w:pPr>
      <w:r>
        <w:rPr>
          <w:rFonts w:hint="eastAsia" w:cs="宋体"/>
          <w:color w:val="000000"/>
          <w:highlight w:val="none"/>
        </w:rPr>
        <w:t>5、因政策原因、政府行为等导致本合同内容变更或提前终止的，不视为甲方违约。</w:t>
      </w:r>
    </w:p>
    <w:p w14:paraId="39EE0845">
      <w:pPr>
        <w:pStyle w:val="13"/>
        <w:rPr>
          <w:rFonts w:cs="宋体"/>
          <w:color w:val="000000"/>
          <w:highlight w:val="none"/>
        </w:rPr>
      </w:pPr>
      <w:r>
        <w:rPr>
          <w:rFonts w:hint="eastAsia" w:cs="宋体"/>
          <w:color w:val="000000"/>
          <w:highlight w:val="none"/>
        </w:rPr>
        <w:t>（二）乙方责任义务</w:t>
      </w:r>
    </w:p>
    <w:p w14:paraId="5DFE2CF5">
      <w:pPr>
        <w:snapToGrid w:val="0"/>
        <w:spacing w:line="440" w:lineRule="exact"/>
        <w:rPr>
          <w:rFonts w:hint="eastAsia" w:ascii="宋体" w:hAnsi="宋体" w:cs="宋体"/>
          <w:b/>
          <w:color w:val="000000"/>
          <w:sz w:val="24"/>
          <w:highlight w:val="none"/>
        </w:rPr>
      </w:pPr>
      <w:r>
        <w:rPr>
          <w:rFonts w:hint="eastAsia" w:ascii="宋体" w:hAnsi="宋体" w:cs="宋体"/>
          <w:b/>
          <w:color w:val="000000"/>
          <w:sz w:val="24"/>
          <w:highlight w:val="none"/>
        </w:rPr>
        <w:t xml:space="preserve">    1、维修维护服务</w:t>
      </w:r>
    </w:p>
    <w:p w14:paraId="57009209">
      <w:pPr>
        <w:snapToGrid w:val="0"/>
        <w:spacing w:line="440" w:lineRule="exact"/>
        <w:rPr>
          <w:rFonts w:hint="eastAsia" w:ascii="宋体" w:hAnsi="宋体" w:cs="宋体"/>
          <w:b/>
          <w:color w:val="000000"/>
          <w:sz w:val="24"/>
          <w:highlight w:val="none"/>
        </w:rPr>
      </w:pPr>
      <w:r>
        <w:rPr>
          <w:rFonts w:hint="eastAsia" w:ascii="宋体" w:hAnsi="宋体" w:cs="宋体"/>
          <w:b/>
          <w:color w:val="000000"/>
          <w:sz w:val="24"/>
          <w:highlight w:val="none"/>
        </w:rPr>
        <w:t xml:space="preserve">    维修维护服务总的要求：各级服务网点要面向全省农村用户，做到认真履责，惠民利民、运行规范、及时响应，热情周到、快捷高效、优质服务,让群众满意</w:t>
      </w:r>
      <w:r>
        <w:rPr>
          <w:rFonts w:hint="eastAsia" w:ascii="宋体" w:hAnsi="宋体" w:cs="宋体"/>
          <w:b/>
          <w:color w:val="000000"/>
          <w:sz w:val="24"/>
          <w:highlight w:val="none"/>
          <w:lang w:eastAsia="zh-CN"/>
        </w:rPr>
        <w:t>，</w:t>
      </w:r>
      <w:r>
        <w:rPr>
          <w:rFonts w:hint="eastAsia" w:ascii="宋体" w:hAnsi="宋体" w:cs="宋体"/>
          <w:b/>
          <w:color w:val="000000"/>
          <w:sz w:val="24"/>
          <w:highlight w:val="none"/>
        </w:rPr>
        <w:t>让政府放心。</w:t>
      </w:r>
    </w:p>
    <w:p w14:paraId="7F1D577A">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(1)</w:t>
      </w:r>
      <w:r>
        <w:rPr>
          <w:rFonts w:hint="eastAsia" w:ascii="宋体" w:hAnsi="宋体" w:cs="宋体"/>
          <w:bCs/>
          <w:color w:val="000000"/>
          <w:sz w:val="24"/>
          <w:highlight w:val="none"/>
        </w:rPr>
        <w:t>每个服务站点要有对外服务联系电话，用户在使用过程中遇到问题时，通过电话、传真、向服务站点提出服务请求，各站点要及时通过电话进行支持。</w:t>
      </w:r>
    </w:p>
    <w:p w14:paraId="2E540F4F">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(2)</w:t>
      </w:r>
      <w:r>
        <w:rPr>
          <w:rFonts w:hint="eastAsia" w:ascii="宋体" w:hAnsi="宋体" w:cs="宋体"/>
          <w:bCs/>
          <w:color w:val="000000"/>
          <w:sz w:val="24"/>
          <w:highlight w:val="none"/>
        </w:rPr>
        <w:t>要落实电子化服务及电子化服务质量评价要求，切实提高维修服务效率和质量。 7×24 电话支持，每周 7 天、每天 24 小时为所支持的设备发生的故障提供不限次的电话支持服务。</w:t>
      </w:r>
    </w:p>
    <w:p w14:paraId="5EDF288F">
      <w:pPr>
        <w:snapToGrid w:val="0"/>
        <w:spacing w:line="440" w:lineRule="exact"/>
        <w:rPr>
          <w:rFonts w:hint="eastAsia" w:ascii="宋体" w:hAnsi="宋体" w:cs="宋体"/>
          <w:bCs/>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3</w:t>
      </w:r>
      <w:r>
        <w:rPr>
          <w:rFonts w:ascii="宋体" w:hAnsi="宋体" w:cs="宋体"/>
          <w:bCs/>
          <w:color w:val="000000"/>
          <w:sz w:val="24"/>
          <w:highlight w:val="none"/>
          <w:lang w:val="en"/>
        </w:rPr>
        <w:t>)</w:t>
      </w:r>
      <w:r>
        <w:rPr>
          <w:rFonts w:hint="eastAsia" w:ascii="宋体" w:hAnsi="宋体" w:cs="宋体"/>
          <w:bCs/>
          <w:color w:val="000000"/>
          <w:sz w:val="24"/>
          <w:highlight w:val="none"/>
        </w:rPr>
        <w:t>省级服务中心技术人员现场支持服务，每月至少1次到市县服务中心巡回指导服务、每季度至少1次到市县乡镇服务点巡回指导服务，如有应急诉求，可不限次数、时间到达现场。对于电话、远程接入支持不能解决的事项，服务站点应及时安排相关技术人员赴现场提供支持服务。</w:t>
      </w:r>
      <w:r>
        <w:rPr>
          <w:rFonts w:hint="eastAsia" w:ascii="宋体" w:hAnsi="宋体" w:cs="宋体"/>
          <w:bCs/>
          <w:sz w:val="24"/>
          <w:highlight w:val="none"/>
        </w:rPr>
        <w:t>（服务期结束考评时，应提供相应的佐证材料）</w:t>
      </w:r>
    </w:p>
    <w:p w14:paraId="1A83AFB1">
      <w:pPr>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4</w:t>
      </w:r>
      <w:r>
        <w:rPr>
          <w:rFonts w:ascii="宋体" w:hAnsi="宋体" w:cs="宋体"/>
          <w:bCs/>
          <w:color w:val="000000"/>
          <w:sz w:val="24"/>
          <w:highlight w:val="none"/>
          <w:lang w:val="en"/>
        </w:rPr>
        <w:t>)</w:t>
      </w:r>
      <w:r>
        <w:rPr>
          <w:rFonts w:hint="eastAsia" w:ascii="宋体" w:hAnsi="宋体" w:cs="宋体"/>
          <w:bCs/>
          <w:color w:val="000000"/>
          <w:sz w:val="24"/>
          <w:highlight w:val="none"/>
        </w:rPr>
        <w:t>响应时间：</w:t>
      </w:r>
      <w:r>
        <w:rPr>
          <w:rFonts w:hint="eastAsia" w:ascii="宋体" w:hAnsi="宋体" w:cs="宋体"/>
          <w:bCs/>
          <w:sz w:val="24"/>
          <w:highlight w:val="none"/>
        </w:rPr>
        <w:t>要向社会公布报障电话，尽可能为群众提供上门维修服务，</w:t>
      </w:r>
      <w:r>
        <w:rPr>
          <w:rFonts w:hint="eastAsia" w:ascii="宋体" w:hAnsi="宋体" w:cs="宋体"/>
          <w:bCs/>
          <w:color w:val="000000"/>
          <w:sz w:val="24"/>
          <w:highlight w:val="none"/>
        </w:rPr>
        <w:t>各服务站点应在24小时内（三沙市可适当延长响应时间外）解决好群众诉求，让群众满意</w:t>
      </w:r>
      <w:r>
        <w:rPr>
          <w:rFonts w:hint="eastAsia" w:ascii="宋体" w:hAnsi="宋体" w:cs="宋体"/>
          <w:color w:val="000000"/>
          <w:sz w:val="24"/>
          <w:highlight w:val="none"/>
        </w:rPr>
        <w:t>。</w:t>
      </w:r>
    </w:p>
    <w:p w14:paraId="3E940431">
      <w:pPr>
        <w:spacing w:line="440" w:lineRule="exact"/>
        <w:rPr>
          <w:rFonts w:hint="eastAsia" w:ascii="宋体" w:hAnsi="宋体" w:cs="宋体"/>
          <w:bCs/>
          <w:color w:val="000000"/>
          <w:sz w:val="24"/>
          <w:highlight w:val="none"/>
        </w:rPr>
      </w:pPr>
      <w:r>
        <w:rPr>
          <w:rFonts w:hint="eastAsia" w:ascii="宋体" w:hAnsi="宋体" w:cs="宋体"/>
          <w:color w:val="000000"/>
          <w:sz w:val="24"/>
          <w:highlight w:val="none"/>
        </w:rPr>
        <w:t xml:space="preserve">   </w:t>
      </w:r>
      <w:r>
        <w:rPr>
          <w:rFonts w:ascii="宋体" w:hAnsi="宋体" w:cs="宋体"/>
          <w:color w:val="000000"/>
          <w:sz w:val="24"/>
          <w:highlight w:val="none"/>
          <w:lang w:val="en"/>
        </w:rPr>
        <w:t>(</w:t>
      </w:r>
      <w:r>
        <w:rPr>
          <w:rFonts w:hint="eastAsia" w:ascii="宋体" w:hAnsi="宋体" w:cs="宋体"/>
          <w:color w:val="000000"/>
          <w:sz w:val="24"/>
          <w:highlight w:val="none"/>
        </w:rPr>
        <w:t>5</w:t>
      </w:r>
      <w:r>
        <w:rPr>
          <w:rFonts w:ascii="宋体" w:hAnsi="宋体" w:cs="宋体"/>
          <w:color w:val="000000"/>
          <w:sz w:val="24"/>
          <w:highlight w:val="none"/>
          <w:lang w:val="en"/>
        </w:rPr>
        <w:t>)</w:t>
      </w:r>
      <w:r>
        <w:rPr>
          <w:rFonts w:hint="eastAsia" w:ascii="宋体" w:hAnsi="宋体" w:cs="宋体"/>
          <w:color w:val="000000"/>
          <w:sz w:val="24"/>
          <w:highlight w:val="none"/>
        </w:rPr>
        <w:t>每周 7 天，每天 24 小时(包括法定节假日)提供现场支持服务。</w:t>
      </w:r>
    </w:p>
    <w:p w14:paraId="626C7EDE">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6</w:t>
      </w:r>
      <w:r>
        <w:rPr>
          <w:rFonts w:ascii="宋体" w:hAnsi="宋体" w:cs="宋体"/>
          <w:bCs/>
          <w:color w:val="000000"/>
          <w:sz w:val="24"/>
          <w:highlight w:val="none"/>
          <w:lang w:val="en"/>
        </w:rPr>
        <w:t>)</w:t>
      </w:r>
      <w:r>
        <w:rPr>
          <w:rFonts w:hint="eastAsia" w:ascii="宋体" w:hAnsi="宋体" w:cs="宋体"/>
          <w:bCs/>
          <w:color w:val="000000"/>
          <w:sz w:val="24"/>
          <w:highlight w:val="none"/>
        </w:rPr>
        <w:t>维护技术人员在进行现场故障排除服务前应作好必要的准备，包括查阅客户档案，了解系统运行情况及以往所发生过的问题的处理办法。</w:t>
      </w:r>
    </w:p>
    <w:p w14:paraId="4843B2EC">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7</w:t>
      </w:r>
      <w:r>
        <w:rPr>
          <w:rFonts w:ascii="宋体" w:hAnsi="宋体" w:cs="宋体"/>
          <w:bCs/>
          <w:color w:val="000000"/>
          <w:sz w:val="24"/>
          <w:highlight w:val="none"/>
          <w:lang w:val="en"/>
        </w:rPr>
        <w:t>)</w:t>
      </w:r>
      <w:r>
        <w:rPr>
          <w:rFonts w:hint="eastAsia" w:ascii="宋体" w:hAnsi="宋体" w:cs="宋体"/>
          <w:bCs/>
          <w:color w:val="000000"/>
          <w:sz w:val="24"/>
          <w:highlight w:val="none"/>
        </w:rPr>
        <w:t xml:space="preserve"> 维护技术人员进村入户后，要及时与用户沟通，经用户同意后，现场为用户排查设备故障，力争当场解决，如不能现场解决，可采取备用机临时置换设备方式解决后，将故障设备带回服务点解决，应尽最大可能不影响到用户收视，确保让群众满意。</w:t>
      </w:r>
    </w:p>
    <w:p w14:paraId="57E3099B">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8</w:t>
      </w:r>
      <w:r>
        <w:rPr>
          <w:rFonts w:ascii="宋体" w:hAnsi="宋体" w:cs="宋体"/>
          <w:bCs/>
          <w:color w:val="000000"/>
          <w:sz w:val="24"/>
          <w:highlight w:val="none"/>
          <w:lang w:val="en"/>
        </w:rPr>
        <w:t>)</w:t>
      </w:r>
      <w:r>
        <w:rPr>
          <w:rFonts w:hint="eastAsia" w:ascii="宋体" w:hAnsi="宋体" w:cs="宋体"/>
          <w:bCs/>
          <w:color w:val="000000"/>
          <w:sz w:val="24"/>
          <w:highlight w:val="none"/>
        </w:rPr>
        <w:t>如有特殊情况或突发性事件需安装维修设备，应及时响应并组织安装维修服务。</w:t>
      </w:r>
    </w:p>
    <w:p w14:paraId="59EA4FD8">
      <w:pPr>
        <w:snapToGrid w:val="0"/>
        <w:spacing w:line="440" w:lineRule="exact"/>
        <w:rPr>
          <w:rFonts w:hint="eastAsia" w:ascii="宋体" w:hAnsi="宋体" w:cs="宋体"/>
          <w:bCs/>
          <w:color w:val="000000"/>
          <w:sz w:val="24"/>
          <w:highlight w:val="none"/>
        </w:rPr>
      </w:pPr>
      <w:r>
        <w:rPr>
          <w:rFonts w:hint="eastAsia" w:ascii="宋体" w:hAnsi="宋体" w:cs="宋体"/>
          <w:bCs/>
          <w:color w:val="000000"/>
          <w:sz w:val="24"/>
          <w:highlight w:val="none"/>
        </w:rPr>
        <w:t xml:space="preserve">    </w:t>
      </w:r>
      <w:r>
        <w:rPr>
          <w:rFonts w:ascii="宋体" w:hAnsi="宋体" w:cs="宋体"/>
          <w:bCs/>
          <w:color w:val="000000"/>
          <w:sz w:val="24"/>
          <w:highlight w:val="none"/>
          <w:lang w:val="en"/>
        </w:rPr>
        <w:t>(</w:t>
      </w:r>
      <w:r>
        <w:rPr>
          <w:rFonts w:hint="eastAsia" w:ascii="宋体" w:hAnsi="宋体" w:cs="宋体"/>
          <w:bCs/>
          <w:color w:val="000000"/>
          <w:sz w:val="24"/>
          <w:highlight w:val="none"/>
        </w:rPr>
        <w:t>9</w:t>
      </w:r>
      <w:r>
        <w:rPr>
          <w:rFonts w:ascii="宋体" w:hAnsi="宋体" w:cs="宋体"/>
          <w:bCs/>
          <w:color w:val="000000"/>
          <w:sz w:val="24"/>
          <w:highlight w:val="none"/>
          <w:lang w:val="en"/>
        </w:rPr>
        <w:t>)</w:t>
      </w:r>
      <w:r>
        <w:rPr>
          <w:rFonts w:hint="eastAsia" w:ascii="宋体" w:hAnsi="宋体" w:cs="宋体"/>
          <w:bCs/>
          <w:color w:val="000000"/>
          <w:sz w:val="24"/>
          <w:highlight w:val="none"/>
        </w:rPr>
        <w:t>乙方未能按照合同约定提供维修维护服务的，甲方有权委托第三方解决，由此产生的一切费用由乙方承担。</w:t>
      </w:r>
    </w:p>
    <w:p w14:paraId="1B0D3894">
      <w:pPr>
        <w:spacing w:line="440" w:lineRule="exact"/>
        <w:ind w:firstLine="482" w:firstLineChars="200"/>
        <w:rPr>
          <w:rFonts w:hint="eastAsia" w:ascii="宋体" w:hAnsi="宋体" w:cs="宋体"/>
          <w:b/>
          <w:sz w:val="24"/>
          <w:highlight w:val="none"/>
        </w:rPr>
      </w:pPr>
      <w:r>
        <w:rPr>
          <w:rFonts w:ascii="宋体" w:hAnsi="宋体" w:cs="宋体"/>
          <w:b/>
          <w:bCs/>
          <w:color w:val="000000"/>
          <w:sz w:val="24"/>
          <w:highlight w:val="none"/>
          <w:lang w:val="en"/>
        </w:rPr>
        <w:t>2</w:t>
      </w:r>
      <w:r>
        <w:rPr>
          <w:rFonts w:hint="eastAsia" w:ascii="宋体" w:hAnsi="宋体" w:cs="宋体"/>
          <w:b/>
          <w:bCs/>
          <w:color w:val="000000"/>
          <w:sz w:val="24"/>
          <w:highlight w:val="none"/>
        </w:rPr>
        <w:t>、宣传培训</w:t>
      </w:r>
      <w:r>
        <w:rPr>
          <w:rFonts w:hint="eastAsia" w:ascii="宋体" w:hAnsi="宋体" w:cs="宋体"/>
          <w:b/>
          <w:sz w:val="24"/>
          <w:highlight w:val="none"/>
        </w:rPr>
        <w:t xml:space="preserve">   </w:t>
      </w:r>
    </w:p>
    <w:p w14:paraId="1CEEF904">
      <w:pPr>
        <w:adjustRightInd w:val="0"/>
        <w:snapToGrid w:val="0"/>
        <w:spacing w:line="360" w:lineRule="auto"/>
        <w:ind w:firstLine="480" w:firstLineChars="200"/>
        <w:rPr>
          <w:rFonts w:ascii="宋体" w:hAnsi="宋体" w:cs="宋体"/>
          <w:color w:val="000000"/>
          <w:sz w:val="24"/>
          <w:highlight w:val="none"/>
        </w:rPr>
      </w:pPr>
      <w:r>
        <w:rPr>
          <w:rFonts w:ascii="宋体" w:hAnsi="宋体" w:cs="宋体"/>
          <w:color w:val="000000"/>
          <w:sz w:val="24"/>
          <w:highlight w:val="none"/>
          <w:lang w:val="en"/>
        </w:rPr>
        <w:t>(</w:t>
      </w:r>
      <w:r>
        <w:rPr>
          <w:rFonts w:hint="eastAsia" w:ascii="宋体" w:hAnsi="宋体" w:cs="宋体"/>
          <w:color w:val="000000"/>
          <w:sz w:val="24"/>
          <w:highlight w:val="none"/>
        </w:rPr>
        <w:t>1</w:t>
      </w:r>
      <w:r>
        <w:rPr>
          <w:rFonts w:ascii="宋体" w:hAnsi="宋体" w:cs="宋体"/>
          <w:color w:val="000000"/>
          <w:sz w:val="24"/>
          <w:highlight w:val="none"/>
          <w:lang w:val="en"/>
        </w:rPr>
        <w:t>)</w:t>
      </w:r>
      <w:r>
        <w:rPr>
          <w:rFonts w:hint="eastAsia" w:ascii="宋体" w:hAnsi="宋体" w:cs="宋体"/>
          <w:color w:val="000000"/>
          <w:sz w:val="24"/>
          <w:highlight w:val="none"/>
        </w:rPr>
        <w:t xml:space="preserve"> 宣传要求：乙方要有切实可行的宣传方案。服务期内在所属服务区域开展1次(含1次)以上针对有关直播卫星接收设备应用、推介、宣传服务活动，</w:t>
      </w:r>
      <w:r>
        <w:rPr>
          <w:rFonts w:hint="eastAsia" w:ascii="宋体" w:hAnsi="宋体" w:cs="宋体"/>
          <w:color w:val="000000"/>
          <w:sz w:val="24"/>
          <w:highlight w:val="none"/>
          <w:lang w:eastAsia="zh-CN"/>
        </w:rPr>
        <w:t>按要求推进新一代户户通设备应用（北斗卫星接收设备应用），</w:t>
      </w:r>
      <w:r>
        <w:rPr>
          <w:rFonts w:hint="eastAsia" w:ascii="宋体" w:hAnsi="宋体" w:cs="宋体"/>
          <w:color w:val="000000"/>
          <w:sz w:val="24"/>
          <w:highlight w:val="none"/>
        </w:rPr>
        <w:t>确保群众能够及时方便了解到广播电视公共服务相关科普知识以及维修网点的地址、联系人电话和相关维修规定以及收费标准等。</w:t>
      </w:r>
    </w:p>
    <w:p w14:paraId="14011673">
      <w:pPr>
        <w:adjustRightInd w:val="0"/>
        <w:snapToGrid w:val="0"/>
        <w:spacing w:line="360" w:lineRule="auto"/>
        <w:ind w:firstLine="480" w:firstLineChars="200"/>
        <w:rPr>
          <w:rFonts w:hint="eastAsia" w:ascii="宋体" w:hAnsi="宋体" w:cs="宋体"/>
          <w:color w:val="000000"/>
          <w:sz w:val="24"/>
          <w:highlight w:val="none"/>
        </w:rPr>
      </w:pPr>
      <w:r>
        <w:rPr>
          <w:rFonts w:ascii="宋体" w:hAnsi="宋体" w:cs="宋体"/>
          <w:color w:val="000000"/>
          <w:sz w:val="24"/>
          <w:highlight w:val="none"/>
          <w:lang w:val="en"/>
        </w:rPr>
        <w:t>(</w:t>
      </w:r>
      <w:r>
        <w:rPr>
          <w:rFonts w:hint="eastAsia" w:ascii="宋体" w:hAnsi="宋体" w:cs="宋体"/>
          <w:color w:val="000000"/>
          <w:sz w:val="24"/>
          <w:highlight w:val="none"/>
        </w:rPr>
        <w:t>2</w:t>
      </w:r>
      <w:r>
        <w:rPr>
          <w:rFonts w:ascii="宋体" w:hAnsi="宋体" w:cs="宋体"/>
          <w:color w:val="000000"/>
          <w:sz w:val="24"/>
          <w:highlight w:val="none"/>
          <w:lang w:val="en"/>
        </w:rPr>
        <w:t>)</w:t>
      </w:r>
      <w:r>
        <w:rPr>
          <w:rFonts w:hint="eastAsia" w:ascii="宋体" w:hAnsi="宋体" w:cs="宋体"/>
          <w:color w:val="000000"/>
          <w:sz w:val="24"/>
          <w:highlight w:val="none"/>
        </w:rPr>
        <w:t xml:space="preserve"> 培训要求：制定</w:t>
      </w:r>
      <w:r>
        <w:rPr>
          <w:rFonts w:hint="eastAsia" w:ascii="宋体" w:hAnsi="宋体" w:cs="宋体"/>
          <w:color w:val="000000"/>
          <w:sz w:val="24"/>
          <w:highlight w:val="none"/>
          <w:lang w:eastAsia="zh-CN"/>
        </w:rPr>
        <w:t>可操作可落实</w:t>
      </w:r>
      <w:r>
        <w:rPr>
          <w:rFonts w:hint="eastAsia" w:ascii="宋体" w:hAnsi="宋体" w:cs="宋体"/>
          <w:color w:val="000000"/>
          <w:sz w:val="24"/>
          <w:highlight w:val="none"/>
        </w:rPr>
        <w:t>的维修服务培训方案并实施培训，确保相关维修网点的技术人员能够定期接受培训，服务期内不少于1次集中培训（如因疫情影响，可采取以市县或乡镇为单位组织培训，也可以制作培训APP进行线上培训，并统计培训结果。），为用户提供优质维修服务。落实培训计划，必须明确培训市县技术人员数量、培训地点，培训课程，培训时间及培训效果等内容，乙方必须向甲方业务部门提供其落实培训计划的真实情况。</w:t>
      </w:r>
    </w:p>
    <w:p w14:paraId="59A5DA5D">
      <w:pPr>
        <w:spacing w:line="440" w:lineRule="exact"/>
        <w:ind w:firstLine="482" w:firstLineChars="200"/>
        <w:rPr>
          <w:rFonts w:hint="eastAsia" w:ascii="宋体" w:hAnsi="宋体" w:cs="宋体"/>
          <w:b/>
          <w:color w:val="000000"/>
          <w:sz w:val="24"/>
          <w:highlight w:val="none"/>
        </w:rPr>
      </w:pPr>
      <w:r>
        <w:rPr>
          <w:rFonts w:ascii="宋体" w:hAnsi="宋体" w:cs="宋体"/>
          <w:b/>
          <w:color w:val="000000"/>
          <w:sz w:val="24"/>
          <w:highlight w:val="none"/>
          <w:lang w:val="en"/>
        </w:rPr>
        <w:t>3</w:t>
      </w:r>
      <w:r>
        <w:rPr>
          <w:rFonts w:hint="eastAsia" w:ascii="宋体" w:hAnsi="宋体" w:cs="宋体"/>
          <w:b/>
          <w:color w:val="000000"/>
          <w:sz w:val="24"/>
          <w:highlight w:val="none"/>
          <w:lang w:val="en"/>
        </w:rPr>
        <w:t>、</w:t>
      </w:r>
      <w:r>
        <w:rPr>
          <w:rFonts w:hint="eastAsia" w:ascii="宋体" w:hAnsi="宋体" w:cs="宋体"/>
          <w:b/>
          <w:color w:val="000000"/>
          <w:sz w:val="24"/>
          <w:highlight w:val="none"/>
        </w:rPr>
        <w:t>接受监督管理</w:t>
      </w:r>
    </w:p>
    <w:p w14:paraId="010E7BB3">
      <w:pPr>
        <w:adjustRightInd w:val="0"/>
        <w:snapToGrid w:val="0"/>
        <w:spacing w:line="360" w:lineRule="auto"/>
        <w:rPr>
          <w:rFonts w:ascii="宋体" w:hAnsi="宋体" w:cs="宋体"/>
          <w:bCs/>
          <w:sz w:val="24"/>
          <w:highlight w:val="none"/>
        </w:rPr>
      </w:pPr>
      <w:r>
        <w:rPr>
          <w:rFonts w:hint="eastAsia" w:ascii="宋体" w:hAnsi="宋体" w:cs="宋体"/>
          <w:bCs/>
          <w:sz w:val="24"/>
          <w:highlight w:val="none"/>
        </w:rPr>
        <w:t xml:space="preserve">   </w:t>
      </w:r>
      <w:r>
        <w:rPr>
          <w:rFonts w:ascii="宋体" w:hAnsi="宋体" w:cs="宋体"/>
          <w:bCs/>
          <w:sz w:val="24"/>
          <w:highlight w:val="none"/>
          <w:lang w:val="en"/>
        </w:rPr>
        <w:t>(</w:t>
      </w:r>
      <w:r>
        <w:rPr>
          <w:rFonts w:hint="eastAsia" w:ascii="宋体" w:hAnsi="宋体" w:cs="宋体"/>
          <w:bCs/>
          <w:sz w:val="24"/>
          <w:highlight w:val="none"/>
        </w:rPr>
        <w:t>1</w:t>
      </w:r>
      <w:r>
        <w:rPr>
          <w:rFonts w:ascii="宋体" w:hAnsi="宋体" w:cs="宋体"/>
          <w:bCs/>
          <w:sz w:val="24"/>
          <w:highlight w:val="none"/>
          <w:lang w:val="en"/>
        </w:rPr>
        <w:t>)</w:t>
      </w:r>
      <w:r>
        <w:rPr>
          <w:rFonts w:hint="eastAsia" w:ascii="宋体" w:hAnsi="宋体" w:cs="宋体"/>
          <w:bCs/>
          <w:sz w:val="24"/>
          <w:highlight w:val="none"/>
        </w:rPr>
        <w:t>乙方按投标书要求完成服务网点组网后，自觉接受甲方对服务网点进行抽查。如组网情况与甲方要求不相符，应及时整改，并将整改情况报甲方。</w:t>
      </w:r>
    </w:p>
    <w:p w14:paraId="73B6B367">
      <w:pPr>
        <w:adjustRightInd w:val="0"/>
        <w:snapToGrid w:val="0"/>
        <w:spacing w:line="360" w:lineRule="auto"/>
        <w:rPr>
          <w:rFonts w:ascii="宋体" w:hAnsi="宋体" w:cs="宋体"/>
          <w:bCs/>
          <w:sz w:val="24"/>
          <w:highlight w:val="none"/>
        </w:rPr>
      </w:pPr>
      <w:r>
        <w:rPr>
          <w:rFonts w:hint="eastAsia" w:ascii="宋体" w:hAnsi="宋体" w:cs="宋体"/>
          <w:bCs/>
          <w:sz w:val="24"/>
          <w:highlight w:val="none"/>
        </w:rPr>
        <w:t xml:space="preserve">   </w:t>
      </w:r>
      <w:r>
        <w:rPr>
          <w:rFonts w:ascii="宋体" w:hAnsi="宋体" w:cs="宋体"/>
          <w:bCs/>
          <w:sz w:val="24"/>
          <w:highlight w:val="none"/>
          <w:lang w:val="en"/>
        </w:rPr>
        <w:t>(</w:t>
      </w:r>
      <w:r>
        <w:rPr>
          <w:rFonts w:hint="eastAsia" w:ascii="宋体" w:hAnsi="宋体" w:cs="宋体"/>
          <w:bCs/>
          <w:sz w:val="24"/>
          <w:highlight w:val="none"/>
        </w:rPr>
        <w:t>2</w:t>
      </w:r>
      <w:r>
        <w:rPr>
          <w:rFonts w:ascii="宋体" w:hAnsi="宋体" w:cs="宋体"/>
          <w:bCs/>
          <w:sz w:val="24"/>
          <w:highlight w:val="none"/>
          <w:lang w:val="en"/>
        </w:rPr>
        <w:t>)</w:t>
      </w:r>
      <w:r>
        <w:rPr>
          <w:rFonts w:hint="eastAsia" w:ascii="宋体" w:hAnsi="宋体" w:cs="宋体"/>
          <w:bCs/>
          <w:sz w:val="24"/>
          <w:highlight w:val="none"/>
        </w:rPr>
        <w:t>乙方自觉接受甲方、市县广电行政部门的监督管理，乡镇服务站自觉接受当地乡镇政府的监管，对存在的问题要及时整改。</w:t>
      </w:r>
    </w:p>
    <w:p w14:paraId="55D4A52F">
      <w:pPr>
        <w:adjustRightInd w:val="0"/>
        <w:snapToGrid w:val="0"/>
        <w:spacing w:line="360" w:lineRule="auto"/>
        <w:rPr>
          <w:rFonts w:ascii="宋体" w:hAnsi="宋体" w:cs="宋体"/>
          <w:bCs/>
          <w:sz w:val="24"/>
          <w:highlight w:val="none"/>
        </w:rPr>
      </w:pPr>
      <w:r>
        <w:rPr>
          <w:rFonts w:hint="eastAsia" w:ascii="宋体" w:hAnsi="宋体" w:cs="宋体"/>
          <w:bCs/>
          <w:sz w:val="24"/>
          <w:highlight w:val="none"/>
        </w:rPr>
        <w:t xml:space="preserve">   </w:t>
      </w:r>
      <w:r>
        <w:rPr>
          <w:rFonts w:ascii="宋体" w:hAnsi="宋体" w:cs="宋体"/>
          <w:bCs/>
          <w:sz w:val="24"/>
          <w:highlight w:val="none"/>
          <w:lang w:val="en"/>
        </w:rPr>
        <w:t>(</w:t>
      </w:r>
      <w:r>
        <w:rPr>
          <w:rFonts w:hint="eastAsia" w:ascii="宋体" w:hAnsi="宋体" w:cs="宋体"/>
          <w:bCs/>
          <w:sz w:val="24"/>
          <w:highlight w:val="none"/>
        </w:rPr>
        <w:t>3</w:t>
      </w:r>
      <w:r>
        <w:rPr>
          <w:rFonts w:ascii="宋体" w:hAnsi="宋体" w:cs="宋体"/>
          <w:bCs/>
          <w:sz w:val="24"/>
          <w:highlight w:val="none"/>
          <w:lang w:val="en"/>
        </w:rPr>
        <w:t>)</w:t>
      </w:r>
      <w:r>
        <w:rPr>
          <w:rFonts w:hint="eastAsia" w:ascii="宋体" w:hAnsi="宋体" w:cs="宋体"/>
          <w:bCs/>
          <w:sz w:val="24"/>
          <w:highlight w:val="none"/>
        </w:rPr>
        <w:t>乙方自觉接受群众监督，对用户的投诉及时处理，不断改进维修服务方式，提高服务质量和水平。</w:t>
      </w:r>
    </w:p>
    <w:p w14:paraId="5D95B3F4">
      <w:pPr>
        <w:adjustRightInd w:val="0"/>
        <w:snapToGrid w:val="0"/>
        <w:spacing w:line="360" w:lineRule="auto"/>
        <w:ind w:firstLine="240" w:firstLineChars="100"/>
        <w:rPr>
          <w:rFonts w:hint="eastAsia" w:ascii="宋体" w:hAnsi="宋体" w:cs="宋体"/>
          <w:bCs/>
          <w:sz w:val="24"/>
          <w:highlight w:val="none"/>
        </w:rPr>
      </w:pPr>
      <w:r>
        <w:rPr>
          <w:rFonts w:ascii="宋体" w:hAnsi="宋体" w:cs="宋体"/>
          <w:bCs/>
          <w:sz w:val="24"/>
          <w:highlight w:val="none"/>
          <w:lang w:val="en"/>
        </w:rPr>
        <w:t>(</w:t>
      </w:r>
      <w:r>
        <w:rPr>
          <w:rFonts w:hint="eastAsia" w:ascii="宋体" w:hAnsi="宋体" w:cs="宋体"/>
          <w:bCs/>
          <w:sz w:val="24"/>
          <w:highlight w:val="none"/>
        </w:rPr>
        <w:t>4</w:t>
      </w:r>
      <w:r>
        <w:rPr>
          <w:rFonts w:ascii="宋体" w:hAnsi="宋体" w:cs="宋体"/>
          <w:bCs/>
          <w:sz w:val="24"/>
          <w:highlight w:val="none"/>
          <w:lang w:val="en"/>
        </w:rPr>
        <w:t>)</w:t>
      </w:r>
      <w:r>
        <w:rPr>
          <w:rFonts w:hint="eastAsia" w:ascii="宋体" w:hAnsi="宋体" w:cs="宋体"/>
          <w:bCs/>
          <w:sz w:val="24"/>
          <w:highlight w:val="none"/>
        </w:rPr>
        <w:t>乙方须建立完备的维修服务档案资料制度，乙方根据甲方需要及时提供全省维修服务情况，服务期结束时，向甲方提供维修服务期间的相关材料；市县服务分中心每年向所在市县广电行政管理部门提供本市县的维修服务情况，各类维修服务都要有规范维修记录，建立维修服务档案，可随时接受查阅。</w:t>
      </w:r>
    </w:p>
    <w:p w14:paraId="21617E54">
      <w:pPr>
        <w:adjustRightInd w:val="0"/>
        <w:snapToGrid w:val="0"/>
        <w:spacing w:line="360" w:lineRule="auto"/>
        <w:ind w:firstLine="480" w:firstLineChars="200"/>
        <w:rPr>
          <w:rFonts w:ascii="宋体" w:hAnsi="宋体" w:cs="宋体"/>
          <w:bCs/>
          <w:sz w:val="24"/>
          <w:highlight w:val="none"/>
        </w:rPr>
      </w:pPr>
      <w:r>
        <w:rPr>
          <w:rFonts w:ascii="宋体" w:hAnsi="宋体" w:cs="宋体"/>
          <w:bCs/>
          <w:sz w:val="24"/>
          <w:highlight w:val="none"/>
          <w:lang w:val="en"/>
        </w:rPr>
        <w:t>(</w:t>
      </w:r>
      <w:r>
        <w:rPr>
          <w:rFonts w:hint="eastAsia" w:ascii="宋体" w:hAnsi="宋体" w:cs="宋体"/>
          <w:bCs/>
          <w:sz w:val="24"/>
          <w:highlight w:val="none"/>
        </w:rPr>
        <w:t>5</w:t>
      </w:r>
      <w:r>
        <w:rPr>
          <w:rFonts w:ascii="宋体" w:hAnsi="宋体" w:cs="宋体"/>
          <w:bCs/>
          <w:sz w:val="24"/>
          <w:highlight w:val="none"/>
          <w:lang w:val="en"/>
        </w:rPr>
        <w:t>)</w:t>
      </w:r>
      <w:r>
        <w:rPr>
          <w:rFonts w:hint="eastAsia" w:ascii="宋体" w:hAnsi="宋体" w:cs="宋体"/>
          <w:bCs/>
          <w:sz w:val="24"/>
          <w:highlight w:val="none"/>
        </w:rPr>
        <w:t>乙方应自觉接受甲方制定的考核标准进行年度考核，考核结果综合评定分为合格、不合格两个等级，如考核结果合格，按约定支付合同尾款给乙方；如考核结果为不合格，甲方将提出整改要求，直至乙方完成整改并通过甲方考核后，再按约定支付合同尾款。</w:t>
      </w:r>
    </w:p>
    <w:p w14:paraId="01AFFF3B">
      <w:pPr>
        <w:adjustRightInd w:val="0"/>
        <w:snapToGrid w:val="0"/>
        <w:spacing w:line="360" w:lineRule="auto"/>
        <w:ind w:firstLine="480" w:firstLineChars="200"/>
        <w:rPr>
          <w:rFonts w:hint="eastAsia"/>
          <w:highlight w:val="none"/>
        </w:rPr>
      </w:pPr>
      <w:r>
        <w:rPr>
          <w:sz w:val="24"/>
          <w:highlight w:val="none"/>
          <w:lang w:val="en"/>
        </w:rPr>
        <w:t>(</w:t>
      </w:r>
      <w:r>
        <w:rPr>
          <w:rFonts w:hint="eastAsia"/>
          <w:sz w:val="24"/>
          <w:highlight w:val="none"/>
        </w:rPr>
        <w:t>6</w:t>
      </w:r>
      <w:r>
        <w:rPr>
          <w:sz w:val="24"/>
          <w:highlight w:val="none"/>
          <w:lang w:val="en"/>
        </w:rPr>
        <w:t>)</w:t>
      </w:r>
      <w:r>
        <w:rPr>
          <w:rFonts w:hint="eastAsia" w:ascii="宋体" w:hAnsi="宋体" w:cs="宋体"/>
          <w:bCs/>
          <w:sz w:val="24"/>
          <w:highlight w:val="none"/>
        </w:rPr>
        <w:t>乙方</w:t>
      </w:r>
      <w:r>
        <w:rPr>
          <w:rFonts w:hint="eastAsia"/>
          <w:sz w:val="24"/>
          <w:highlight w:val="none"/>
        </w:rPr>
        <w:t>设立的</w:t>
      </w:r>
      <w:r>
        <w:rPr>
          <w:rFonts w:hint="eastAsia" w:ascii="宋体" w:hAnsi="宋体" w:cs="宋体"/>
          <w:bCs/>
          <w:sz w:val="24"/>
          <w:highlight w:val="none"/>
        </w:rPr>
        <w:t>省级服务中心负责管理全省市县服务分中心、乡镇服务站和村代办点的层级管理模式，并负责对设立服务站点技术员培训、监督管理、跟踪指导帮助，提供维修备品备机、解决日常运行中的疑难问题等系列工作，确保服务站点覆盖全省农村，要向社会公布报障电话，尽可能为群众提供上门维修服务，确保为广大农村群众提供满意的服务。</w:t>
      </w:r>
    </w:p>
    <w:p w14:paraId="7C2A5217">
      <w:pPr>
        <w:adjustRightInd w:val="0"/>
        <w:snapToGrid w:val="0"/>
        <w:spacing w:line="360" w:lineRule="auto"/>
        <w:rPr>
          <w:rFonts w:hint="eastAsia" w:ascii="宋体" w:hAnsi="宋体" w:cs="宋体"/>
          <w:bCs/>
          <w:sz w:val="24"/>
          <w:highlight w:val="none"/>
        </w:rPr>
      </w:pPr>
      <w:r>
        <w:rPr>
          <w:sz w:val="24"/>
          <w:highlight w:val="none"/>
          <w:lang w:val="en"/>
        </w:rPr>
        <w:t>(</w:t>
      </w:r>
      <w:r>
        <w:rPr>
          <w:rFonts w:hint="eastAsia"/>
          <w:sz w:val="24"/>
          <w:highlight w:val="none"/>
        </w:rPr>
        <w:t>7</w:t>
      </w:r>
      <w:r>
        <w:rPr>
          <w:sz w:val="24"/>
          <w:highlight w:val="none"/>
          <w:lang w:val="en"/>
        </w:rPr>
        <w:t>)</w:t>
      </w:r>
      <w:r>
        <w:rPr>
          <w:rFonts w:hint="eastAsia"/>
          <w:sz w:val="24"/>
          <w:highlight w:val="none"/>
        </w:rPr>
        <w:t>乙方必须</w:t>
      </w:r>
      <w:r>
        <w:rPr>
          <w:rFonts w:hint="eastAsia" w:ascii="宋体" w:hAnsi="宋体" w:cs="宋体"/>
          <w:bCs/>
          <w:sz w:val="24"/>
          <w:highlight w:val="none"/>
        </w:rPr>
        <w:t>与所负责的下级维护服务站点签订服务协议，协议条款涉及劳务补助金额必须严格以甲方实施该项目预算标准，</w:t>
      </w:r>
      <w:r>
        <w:rPr>
          <w:rFonts w:hint="eastAsia" w:ascii="宋体" w:hAnsi="宋体" w:cs="宋体"/>
          <w:b/>
          <w:sz w:val="24"/>
          <w:highlight w:val="none"/>
          <w:lang w:val="en-US" w:eastAsia="zh-CN"/>
        </w:rPr>
        <w:t>每个市县服务分中心以2人×2000元×12月=48000元/年为标准</w:t>
      </w:r>
      <w:r>
        <w:rPr>
          <w:rFonts w:hint="eastAsia" w:ascii="宋体" w:hAnsi="宋体" w:cs="宋体"/>
          <w:b/>
          <w:sz w:val="24"/>
          <w:highlight w:val="none"/>
          <w:lang w:val="en-US" w:eastAsia="zh-Hans"/>
        </w:rPr>
        <w:t>，</w:t>
      </w:r>
      <w:r>
        <w:rPr>
          <w:rFonts w:hint="eastAsia" w:ascii="宋体" w:hAnsi="宋体" w:cs="宋体"/>
          <w:b/>
          <w:sz w:val="24"/>
          <w:highlight w:val="none"/>
          <w:lang w:val="en-US" w:eastAsia="zh-CN"/>
        </w:rPr>
        <w:t>每个乡镇服务站点每年不低于6</w:t>
      </w:r>
      <w:r>
        <w:rPr>
          <w:rFonts w:hint="default" w:ascii="宋体" w:hAnsi="宋体" w:cs="宋体"/>
          <w:b/>
          <w:sz w:val="24"/>
          <w:highlight w:val="none"/>
          <w:lang w:val="en" w:eastAsia="zh-CN"/>
        </w:rPr>
        <w:t>5</w:t>
      </w:r>
      <w:r>
        <w:rPr>
          <w:rFonts w:hint="eastAsia" w:ascii="宋体" w:hAnsi="宋体" w:cs="宋体"/>
          <w:b/>
          <w:sz w:val="24"/>
          <w:highlight w:val="none"/>
          <w:lang w:val="en-US" w:eastAsia="zh-CN"/>
        </w:rPr>
        <w:t>00元/年为标准，每个村代办点不低于4</w:t>
      </w:r>
      <w:r>
        <w:rPr>
          <w:rFonts w:hint="default" w:ascii="宋体" w:hAnsi="宋体" w:cs="宋体"/>
          <w:b/>
          <w:sz w:val="24"/>
          <w:highlight w:val="none"/>
          <w:lang w:val="en" w:eastAsia="zh-CN"/>
        </w:rPr>
        <w:t>5</w:t>
      </w:r>
      <w:r>
        <w:rPr>
          <w:rFonts w:hint="eastAsia" w:ascii="宋体" w:hAnsi="宋体" w:cs="宋体"/>
          <w:b/>
          <w:sz w:val="24"/>
          <w:highlight w:val="none"/>
          <w:lang w:val="en-US" w:eastAsia="zh-CN"/>
        </w:rPr>
        <w:t>00元/年的标准与其和签订劳动服务协议，并落实支付责任。同时，要重点要</w:t>
      </w:r>
      <w:r>
        <w:rPr>
          <w:rFonts w:hint="eastAsia" w:ascii="宋体" w:hAnsi="宋体" w:cs="宋体"/>
          <w:b/>
          <w:sz w:val="24"/>
          <w:highlight w:val="none"/>
          <w:lang w:val="en-US" w:eastAsia="zh-Hans"/>
        </w:rPr>
        <w:t>解决</w:t>
      </w:r>
      <w:r>
        <w:rPr>
          <w:rFonts w:hint="eastAsia" w:ascii="宋体" w:hAnsi="宋体" w:cs="宋体"/>
          <w:b/>
          <w:sz w:val="24"/>
          <w:highlight w:val="none"/>
          <w:lang w:val="en-US" w:eastAsia="zh-CN"/>
        </w:rPr>
        <w:t>好</w:t>
      </w:r>
      <w:r>
        <w:rPr>
          <w:rFonts w:hint="eastAsia" w:ascii="宋体" w:hAnsi="宋体" w:cs="宋体"/>
          <w:b/>
          <w:sz w:val="24"/>
          <w:highlight w:val="none"/>
          <w:lang w:val="en-US" w:eastAsia="zh-Hans"/>
        </w:rPr>
        <w:t>日常运行中的疑难问题等系列工作，确保服务站点覆盖全省农村</w:t>
      </w:r>
      <w:r>
        <w:rPr>
          <w:rFonts w:hint="eastAsia" w:ascii="宋体" w:hAnsi="宋体" w:cs="宋体"/>
          <w:b/>
          <w:sz w:val="24"/>
          <w:highlight w:val="none"/>
          <w:lang w:val="en-US" w:eastAsia="zh-CN"/>
        </w:rPr>
        <w:t>用户</w:t>
      </w:r>
      <w:r>
        <w:rPr>
          <w:rFonts w:hint="eastAsia" w:ascii="宋体" w:hAnsi="宋体" w:cs="宋体"/>
          <w:b/>
          <w:sz w:val="24"/>
          <w:highlight w:val="none"/>
          <w:lang w:val="en-US" w:eastAsia="zh-Hans"/>
        </w:rPr>
        <w:t>，为广大农村群众提供良好的广播电视惠民设施维修服务。</w:t>
      </w:r>
      <w:r>
        <w:rPr>
          <w:rFonts w:hint="eastAsia" w:ascii="宋体" w:hAnsi="宋体" w:cs="宋体"/>
          <w:b/>
          <w:sz w:val="24"/>
          <w:highlight w:val="none"/>
        </w:rPr>
        <w:t>如无正当理由，不得无故拖欠或减少所辖服务站点经费；如果乙方在支付所辖服务站点经费事项上存在问题</w:t>
      </w:r>
      <w:r>
        <w:rPr>
          <w:rFonts w:hint="eastAsia" w:ascii="宋体" w:hAnsi="宋体" w:cs="宋体"/>
          <w:b/>
          <w:sz w:val="24"/>
          <w:highlight w:val="none"/>
          <w:lang w:eastAsia="zh-CN"/>
        </w:rPr>
        <w:t>（如故意拖欠下级服务站点保障经费或支付保障经费拖延时间较长等问题）</w:t>
      </w:r>
      <w:r>
        <w:rPr>
          <w:rFonts w:hint="eastAsia" w:ascii="宋体" w:hAnsi="宋体" w:cs="宋体"/>
          <w:b/>
          <w:sz w:val="24"/>
          <w:highlight w:val="none"/>
        </w:rPr>
        <w:t>，必须立即整改</w:t>
      </w:r>
      <w:r>
        <w:rPr>
          <w:rFonts w:hint="eastAsia" w:ascii="宋体" w:hAnsi="宋体" w:cs="宋体"/>
          <w:b/>
          <w:sz w:val="24"/>
          <w:highlight w:val="none"/>
          <w:lang w:eastAsia="zh-CN"/>
        </w:rPr>
        <w:t>（整改内容完成时限不能超过</w:t>
      </w:r>
      <w:r>
        <w:rPr>
          <w:rFonts w:hint="eastAsia" w:ascii="宋体" w:hAnsi="宋体" w:cs="宋体"/>
          <w:b/>
          <w:sz w:val="24"/>
          <w:highlight w:val="none"/>
          <w:lang w:val="en-US" w:eastAsia="zh-CN"/>
        </w:rPr>
        <w:t>30个日历天</w:t>
      </w:r>
      <w:r>
        <w:rPr>
          <w:rFonts w:hint="eastAsia" w:ascii="宋体" w:hAnsi="宋体" w:cs="宋体"/>
          <w:b/>
          <w:sz w:val="24"/>
          <w:highlight w:val="none"/>
          <w:lang w:eastAsia="zh-CN"/>
        </w:rPr>
        <w:t>）</w:t>
      </w:r>
      <w:r>
        <w:rPr>
          <w:rFonts w:hint="eastAsia" w:ascii="宋体" w:hAnsi="宋体" w:cs="宋体"/>
          <w:b/>
          <w:sz w:val="24"/>
          <w:highlight w:val="none"/>
        </w:rPr>
        <w:t>，如不能按甲方要求及时整改，甲方有权</w:t>
      </w:r>
      <w:r>
        <w:rPr>
          <w:rFonts w:hint="eastAsia" w:ascii="宋体" w:hAnsi="宋体" w:cs="宋体"/>
          <w:color w:val="000000"/>
          <w:sz w:val="24"/>
          <w:highlight w:val="none"/>
        </w:rPr>
        <w:t>解除本合同，</w:t>
      </w:r>
      <w:r>
        <w:rPr>
          <w:rFonts w:hint="eastAsia" w:ascii="宋体" w:hAnsi="宋体" w:cs="宋体"/>
          <w:b/>
          <w:sz w:val="24"/>
          <w:highlight w:val="none"/>
        </w:rPr>
        <w:t>并由乙方承担其相应责任。</w:t>
      </w:r>
    </w:p>
    <w:p w14:paraId="38DF1C73">
      <w:pPr>
        <w:snapToGrid w:val="0"/>
        <w:spacing w:line="440" w:lineRule="exact"/>
        <w:rPr>
          <w:rFonts w:hint="eastAsia" w:ascii="宋体" w:hAnsi="宋体" w:cs="宋体"/>
          <w:b/>
          <w:color w:val="000000"/>
          <w:sz w:val="24"/>
          <w:highlight w:val="none"/>
        </w:rPr>
      </w:pPr>
      <w:r>
        <w:rPr>
          <w:rFonts w:hint="eastAsia" w:ascii="宋体" w:hAnsi="宋体" w:cs="宋体"/>
          <w:bCs/>
          <w:sz w:val="24"/>
          <w:highlight w:val="none"/>
        </w:rPr>
        <w:t xml:space="preserve">  </w:t>
      </w:r>
      <w:r>
        <w:rPr>
          <w:rFonts w:hint="eastAsia" w:ascii="宋体" w:hAnsi="宋体" w:cs="宋体"/>
          <w:b/>
          <w:color w:val="000000"/>
          <w:sz w:val="24"/>
          <w:highlight w:val="none"/>
        </w:rPr>
        <w:t xml:space="preserve">   七、违约责任</w:t>
      </w:r>
    </w:p>
    <w:p w14:paraId="5C9ECA6C">
      <w:pPr>
        <w:pStyle w:val="12"/>
        <w:tabs>
          <w:tab w:val="left" w:pos="630"/>
          <w:tab w:val="left" w:pos="1980"/>
        </w:tabs>
        <w:snapToGrid w:val="0"/>
        <w:spacing w:before="19" w:line="440" w:lineRule="exact"/>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1.如果发生服务期内服务站点数量不足300个，甲方有权扣减相应服务</w:t>
      </w:r>
      <w:r>
        <w:rPr>
          <w:rFonts w:hint="eastAsia" w:ascii="宋体" w:hAnsi="宋体" w:cs="宋体"/>
          <w:color w:val="000000"/>
          <w:sz w:val="24"/>
          <w:szCs w:val="24"/>
          <w:highlight w:val="none"/>
          <w:lang w:eastAsia="zh-CN"/>
        </w:rPr>
        <w:t>站点保障经</w:t>
      </w:r>
      <w:r>
        <w:rPr>
          <w:rFonts w:hint="eastAsia" w:ascii="宋体" w:hAnsi="宋体" w:cs="宋体"/>
          <w:color w:val="000000"/>
          <w:sz w:val="24"/>
          <w:szCs w:val="24"/>
          <w:highlight w:val="none"/>
        </w:rPr>
        <w:t>费，扣减标准为：每少1个市县分中心扣减</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万元/月</w:t>
      </w:r>
      <w:r>
        <w:rPr>
          <w:rFonts w:ascii="宋体" w:hAnsi="宋体" w:cs="宋体"/>
          <w:color w:val="000000"/>
          <w:sz w:val="24"/>
          <w:szCs w:val="24"/>
          <w:highlight w:val="none"/>
          <w:lang w:val="en"/>
        </w:rPr>
        <w:t>(</w:t>
      </w:r>
      <w:r>
        <w:rPr>
          <w:rFonts w:hint="eastAsia" w:ascii="宋体" w:hAnsi="宋体" w:cs="宋体"/>
          <w:color w:val="000000"/>
          <w:sz w:val="24"/>
          <w:szCs w:val="24"/>
          <w:highlight w:val="none"/>
          <w:lang w:val="en"/>
        </w:rPr>
        <w:t>直至扣完其服务期标准预算经</w:t>
      </w:r>
      <w:r>
        <w:rPr>
          <w:rFonts w:hint="eastAsia" w:ascii="宋体" w:hAnsi="宋体" w:cs="宋体"/>
          <w:color w:val="000000"/>
          <w:sz w:val="24"/>
          <w:szCs w:val="24"/>
          <w:highlight w:val="none"/>
        </w:rPr>
        <w:t>费4.8万元为止</w:t>
      </w:r>
      <w:r>
        <w:rPr>
          <w:rFonts w:ascii="宋体" w:hAnsi="宋体" w:cs="宋体"/>
          <w:color w:val="000000"/>
          <w:sz w:val="24"/>
          <w:szCs w:val="24"/>
          <w:highlight w:val="none"/>
          <w:lang w:val="en"/>
        </w:rPr>
        <w:t>)</w:t>
      </w:r>
      <w:r>
        <w:rPr>
          <w:rFonts w:hint="eastAsia" w:ascii="宋体" w:hAnsi="宋体" w:cs="宋体"/>
          <w:color w:val="000000"/>
          <w:sz w:val="24"/>
          <w:szCs w:val="24"/>
          <w:highlight w:val="none"/>
        </w:rPr>
        <w:t>、每少1个乡镇服务站扣减0.</w:t>
      </w:r>
      <w:r>
        <w:rPr>
          <w:rFonts w:ascii="宋体" w:hAnsi="宋体" w:cs="宋体"/>
          <w:color w:val="000000"/>
          <w:sz w:val="24"/>
          <w:szCs w:val="24"/>
          <w:highlight w:val="none"/>
          <w:lang w:val="en"/>
        </w:rPr>
        <w:t>3</w:t>
      </w:r>
      <w:r>
        <w:rPr>
          <w:rFonts w:hint="eastAsia" w:ascii="宋体" w:hAnsi="宋体" w:cs="宋体"/>
          <w:color w:val="000000"/>
          <w:sz w:val="24"/>
          <w:szCs w:val="24"/>
          <w:highlight w:val="none"/>
        </w:rPr>
        <w:t>万元/月</w:t>
      </w:r>
      <w:r>
        <w:rPr>
          <w:rFonts w:ascii="宋体" w:hAnsi="宋体" w:cs="宋体"/>
          <w:color w:val="000000"/>
          <w:sz w:val="24"/>
          <w:szCs w:val="24"/>
          <w:highlight w:val="none"/>
          <w:lang w:val="en"/>
        </w:rPr>
        <w:t>(</w:t>
      </w:r>
      <w:r>
        <w:rPr>
          <w:rFonts w:hint="eastAsia" w:ascii="宋体" w:hAnsi="宋体" w:cs="宋体"/>
          <w:color w:val="000000"/>
          <w:sz w:val="24"/>
          <w:szCs w:val="24"/>
          <w:highlight w:val="none"/>
          <w:lang w:val="en"/>
        </w:rPr>
        <w:t>直至扣完其服务期标准预算经</w:t>
      </w:r>
      <w:r>
        <w:rPr>
          <w:rFonts w:hint="eastAsia" w:ascii="宋体" w:hAnsi="宋体" w:cs="宋体"/>
          <w:color w:val="000000"/>
          <w:sz w:val="24"/>
          <w:szCs w:val="24"/>
          <w:highlight w:val="none"/>
        </w:rPr>
        <w:t>费0.</w:t>
      </w:r>
      <w:r>
        <w:rPr>
          <w:rFonts w:hint="eastAsia" w:ascii="宋体" w:hAnsi="宋体" w:cs="宋体"/>
          <w:color w:val="000000"/>
          <w:sz w:val="24"/>
          <w:szCs w:val="24"/>
          <w:highlight w:val="none"/>
          <w:lang w:val="en-US" w:eastAsia="zh-CN"/>
        </w:rPr>
        <w:t>6</w:t>
      </w:r>
      <w:r>
        <w:rPr>
          <w:rFonts w:hint="eastAsia" w:ascii="宋体" w:hAnsi="宋体" w:cs="宋体"/>
          <w:color w:val="000000"/>
          <w:sz w:val="24"/>
          <w:szCs w:val="24"/>
          <w:highlight w:val="none"/>
        </w:rPr>
        <w:t>万元为止</w:t>
      </w:r>
      <w:r>
        <w:rPr>
          <w:rFonts w:ascii="宋体" w:hAnsi="宋体" w:cs="宋体"/>
          <w:color w:val="000000"/>
          <w:sz w:val="24"/>
          <w:szCs w:val="24"/>
          <w:highlight w:val="none"/>
          <w:lang w:val="en"/>
        </w:rPr>
        <w:t>)</w:t>
      </w:r>
      <w:r>
        <w:rPr>
          <w:rFonts w:hint="eastAsia" w:ascii="宋体" w:hAnsi="宋体" w:cs="宋体"/>
          <w:color w:val="000000"/>
          <w:sz w:val="24"/>
          <w:szCs w:val="24"/>
          <w:highlight w:val="none"/>
        </w:rPr>
        <w:t>、每少1个村代办点扣减0.1万元/月</w:t>
      </w:r>
      <w:r>
        <w:rPr>
          <w:rFonts w:ascii="宋体" w:hAnsi="宋体" w:cs="宋体"/>
          <w:color w:val="000000"/>
          <w:sz w:val="24"/>
          <w:szCs w:val="24"/>
          <w:highlight w:val="none"/>
          <w:lang w:val="en"/>
        </w:rPr>
        <w:t>(</w:t>
      </w:r>
      <w:r>
        <w:rPr>
          <w:rFonts w:hint="eastAsia" w:ascii="宋体" w:hAnsi="宋体" w:cs="宋体"/>
          <w:color w:val="000000"/>
          <w:sz w:val="24"/>
          <w:szCs w:val="24"/>
          <w:highlight w:val="none"/>
          <w:lang w:val="en"/>
        </w:rPr>
        <w:t>直至扣完其服务期标准预算经</w:t>
      </w:r>
      <w:r>
        <w:rPr>
          <w:rFonts w:hint="eastAsia" w:ascii="宋体" w:hAnsi="宋体" w:cs="宋体"/>
          <w:color w:val="000000"/>
          <w:sz w:val="24"/>
          <w:szCs w:val="24"/>
          <w:highlight w:val="none"/>
        </w:rPr>
        <w:t>费0.</w:t>
      </w:r>
      <w:r>
        <w:rPr>
          <w:rFonts w:hint="eastAsia" w:ascii="宋体" w:hAnsi="宋体" w:cs="宋体"/>
          <w:color w:val="000000"/>
          <w:sz w:val="24"/>
          <w:szCs w:val="24"/>
          <w:highlight w:val="none"/>
          <w:lang w:val="en-US" w:eastAsia="zh-CN"/>
        </w:rPr>
        <w:t>4</w:t>
      </w:r>
      <w:r>
        <w:rPr>
          <w:rFonts w:hint="eastAsia" w:ascii="宋体" w:hAnsi="宋体" w:cs="宋体"/>
          <w:color w:val="000000"/>
          <w:sz w:val="24"/>
          <w:szCs w:val="24"/>
          <w:highlight w:val="none"/>
        </w:rPr>
        <w:t>万元为止</w:t>
      </w:r>
      <w:r>
        <w:rPr>
          <w:rFonts w:ascii="宋体" w:hAnsi="宋体" w:cs="宋体"/>
          <w:color w:val="000000"/>
          <w:sz w:val="24"/>
          <w:szCs w:val="24"/>
          <w:highlight w:val="none"/>
          <w:lang w:val="en"/>
        </w:rPr>
        <w:t>)</w:t>
      </w:r>
      <w:r>
        <w:rPr>
          <w:rFonts w:hint="eastAsia" w:ascii="宋体" w:hAnsi="宋体" w:cs="宋体"/>
          <w:color w:val="000000"/>
          <w:sz w:val="24"/>
          <w:szCs w:val="24"/>
          <w:highlight w:val="none"/>
        </w:rPr>
        <w:t>。因乙方原因导致减少的站点达到合同约定站点数量的30%时，甲方有权单方面解除本合同。</w:t>
      </w:r>
    </w:p>
    <w:p w14:paraId="7699A8F0">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 如果乙方没有按照合同约定的要求提供服务，或提供服务不满足项目需求，应按甲方要求及时整改，如经督办仍不及时整改的，每发生一次，按合同金额的6％计扣违约金；如果乙方未按甲方要求整改，或经2次以上（不含第2次）督办整改成效达不到甲方要求的，甲方有权单方解除本合同，并按合同约定及法律规定追究乙方的违约责任。</w:t>
      </w:r>
    </w:p>
    <w:p w14:paraId="3B56B7CF">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如果甲方、乙方双方中任何一方由于战争、严重火灾、水灾、台风和地震以及其它经双方同意属于不可抗力的事故，致使合同履行受阻时，应由双方协商解决。如遇强台风等自然灾害，造成用户设备受损面较大，受损设备故障严重时，可经甲方、乙方双方协商解决，并可考虑申报受台风影响当地政府出资解决设备维修经费问题等。</w:t>
      </w:r>
    </w:p>
    <w:p w14:paraId="38C3A604">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对村广播喇叭（含“百县万村”应急广播设施、市县政府自建广播设施）的维护，可根据当地市县、乡镇政府或村委会的诉求给予维修，质量保证期外的设备维修经费乙方和用户可协商解决。如果乙方拒绝维修，视为违约，每发生一次，乙方按合同总金额6%向甲方支付违约金，同时，乙方应按甲方要求及时整改，如乙方拒不整改的，甲方有权取消违规服务站点资格。</w:t>
      </w:r>
    </w:p>
    <w:p w14:paraId="7B7F278C">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5．乙方未按合同约定时间完成网点组建或提供服务的，每逾期一日，按合同总价款的万分之五向甲方支付违约金，维护期顺延，逾期达到15天，甲方有权单方解除本合同。</w:t>
      </w:r>
    </w:p>
    <w:p w14:paraId="625025DD">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6.在乙方服务过程中造成的人身财产损失及与第三方的纠纷（包括但不限于经济纠纷、技术纠纷、知识产权纠纷等），由乙方负责解决，造成甲方损失的，乙方应予赔偿。</w:t>
      </w:r>
    </w:p>
    <w:p w14:paraId="1FA1724D">
      <w:pPr>
        <w:ind w:firstLine="480" w:firstLineChars="200"/>
        <w:rPr>
          <w:highlight w:val="none"/>
        </w:rPr>
      </w:pPr>
      <w:r>
        <w:rPr>
          <w:rFonts w:hint="eastAsia" w:ascii="宋体" w:hAnsi="宋体" w:cs="宋体"/>
          <w:color w:val="000000"/>
          <w:sz w:val="24"/>
          <w:highlight w:val="none"/>
        </w:rPr>
        <w:t>7.乙方在合同履行过程中，应严格遵守相关政策、法律法规、规章或规范性文件等规定，出现任何违反规定或侵犯第三方合法权益的行为的，一切责任及后果由乙方承担，乙方向甲方支付协议总额20%的违约金并赔偿甲方损失，同时甲方有权随时解除协议。</w:t>
      </w:r>
    </w:p>
    <w:p w14:paraId="0A362AAE">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8.本合同因乙方原因提前解除或终止的，乙方须向甲方退还剩余费用（每月按合同金额/12月计算），同时，还须按合同总金额的20%支付违约金及赔偿甲方损失。</w:t>
      </w:r>
    </w:p>
    <w:p w14:paraId="508B8DDF">
      <w:pPr>
        <w:snapToGrid w:val="0"/>
        <w:spacing w:line="440" w:lineRule="exact"/>
        <w:ind w:firstLine="120" w:firstLineChars="50"/>
        <w:rPr>
          <w:rFonts w:hint="eastAsia" w:ascii="宋体" w:hAnsi="宋体" w:cs="宋体"/>
          <w:color w:val="000000"/>
          <w:sz w:val="24"/>
          <w:highlight w:val="none"/>
        </w:rPr>
      </w:pPr>
      <w:r>
        <w:rPr>
          <w:rFonts w:hint="eastAsia" w:ascii="宋体" w:hAnsi="宋体" w:cs="宋体"/>
          <w:color w:val="000000"/>
          <w:sz w:val="24"/>
          <w:highlight w:val="none"/>
        </w:rPr>
        <w:t xml:space="preserve">  9.</w:t>
      </w:r>
      <w:r>
        <w:rPr>
          <w:rFonts w:hint="eastAsia" w:ascii="宋体" w:hAnsi="宋体" w:cs="宋体"/>
          <w:color w:val="000000"/>
          <w:sz w:val="24"/>
          <w:highlight w:val="none"/>
          <w:lang w:val="en-US" w:eastAsia="zh-CN"/>
        </w:rPr>
        <w:t>乙方在合同履行过程中造成的人身财产损失及与所辖下级服务站点产生的纠纷（包括但不限于经济、技术纠纷、知识产权纠纷等），由乙方负责解决并承担相应责任，造成甲方损失或承担相关责任的，乙方应赔偿甲方全部损失，同时甲方</w:t>
      </w:r>
      <w:r>
        <w:rPr>
          <w:rFonts w:hint="eastAsia" w:ascii="宋体" w:hAnsi="宋体" w:cs="宋体"/>
          <w:color w:val="000000"/>
          <w:sz w:val="24"/>
          <w:highlight w:val="none"/>
        </w:rPr>
        <w:t>有权解除合同。</w:t>
      </w:r>
    </w:p>
    <w:p w14:paraId="790A2BC4">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10.乙方为履行本合同所产生的工作成果，如涉及知识产权归属的，为甲方所有。</w:t>
      </w:r>
    </w:p>
    <w:p w14:paraId="568354B4">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11.如乙方未经甲方书面同意转让其应履行的合同项下的义务。或乙方损害甲方形象利益、存在不诚信行为、出现重大或多次投诉（情节由男甲方认定）、出现负面舆论影响等，或乙方未按合同约定履行其义务经甲方催告仍未整改的，甲方有权解除本合同。</w:t>
      </w:r>
    </w:p>
    <w:p w14:paraId="1FCD6C78">
      <w:pPr>
        <w:pStyle w:val="4"/>
        <w:snapToGrid w:val="0"/>
        <w:spacing w:before="0" w:after="0" w:line="440" w:lineRule="exact"/>
        <w:ind w:firstLine="482"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八、合同纠纷处理</w:t>
      </w:r>
    </w:p>
    <w:p w14:paraId="4AC9A03C">
      <w:pPr>
        <w:tabs>
          <w:tab w:val="left" w:pos="1980"/>
        </w:tabs>
        <w:snapToGrid w:val="0"/>
        <w:spacing w:line="440" w:lineRule="exact"/>
        <w:ind w:firstLine="470" w:firstLineChars="196"/>
        <w:rPr>
          <w:rFonts w:hint="eastAsia" w:ascii="宋体" w:hAnsi="宋体" w:cs="宋体"/>
          <w:color w:val="000000"/>
          <w:sz w:val="24"/>
          <w:highlight w:val="none"/>
        </w:rPr>
      </w:pPr>
      <w:r>
        <w:rPr>
          <w:rFonts w:hint="eastAsia" w:ascii="宋体" w:hAnsi="宋体" w:cs="宋体"/>
          <w:color w:val="000000"/>
          <w:sz w:val="24"/>
          <w:highlight w:val="none"/>
        </w:rPr>
        <w:t>本合同执行过程中发生纠纷，协商解决不成的，双方均可向甲方住所地有管辖权的人民法院提起诉讼。因此产生的诉讼费、律师费等由责任方承担。</w:t>
      </w:r>
    </w:p>
    <w:p w14:paraId="2D4D38E7">
      <w:pPr>
        <w:pStyle w:val="4"/>
        <w:snapToGrid w:val="0"/>
        <w:spacing w:before="0" w:after="0" w:line="440" w:lineRule="exact"/>
        <w:ind w:firstLine="482"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九、合同生效 </w:t>
      </w:r>
    </w:p>
    <w:p w14:paraId="73BE32A5">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本合同由甲乙方双方法定代表人或授权代表签字并加盖公章或合同章后生效。</w:t>
      </w:r>
    </w:p>
    <w:p w14:paraId="44C2FCA2">
      <w:pPr>
        <w:pStyle w:val="4"/>
        <w:snapToGrid w:val="0"/>
        <w:spacing w:before="0" w:after="0" w:line="440" w:lineRule="exact"/>
        <w:ind w:firstLine="482"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十、合同鉴证</w:t>
      </w:r>
    </w:p>
    <w:p w14:paraId="554E6072">
      <w:pPr>
        <w:snapToGrid w:val="0"/>
        <w:spacing w:line="440" w:lineRule="exact"/>
        <w:ind w:firstLine="480" w:firstLineChars="200"/>
        <w:rPr>
          <w:rFonts w:hint="eastAsia" w:ascii="宋体" w:hAnsi="宋体" w:cs="宋体"/>
          <w:b/>
          <w:color w:val="000000"/>
          <w:sz w:val="24"/>
          <w:highlight w:val="none"/>
        </w:rPr>
      </w:pPr>
      <w:r>
        <w:rPr>
          <w:rFonts w:hint="eastAsia" w:ascii="宋体" w:hAnsi="宋体" w:cs="宋体"/>
          <w:color w:val="000000"/>
          <w:sz w:val="24"/>
          <w:highlight w:val="none"/>
        </w:rPr>
        <w:t>招标代理机构应当在本合同上签章，以证明本合同条款与招标文件、投标文件的相关要求相符并且未对采购内容和技术参数进行实质性修改。</w:t>
      </w:r>
    </w:p>
    <w:p w14:paraId="60EADAB6">
      <w:pPr>
        <w:pStyle w:val="4"/>
        <w:snapToGrid w:val="0"/>
        <w:spacing w:before="0" w:after="0" w:line="440" w:lineRule="exact"/>
        <w:ind w:firstLine="482"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十一、本合同的组成文件</w:t>
      </w:r>
    </w:p>
    <w:p w14:paraId="5D209EB5">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 xml:space="preserve">1.招标文件； </w:t>
      </w:r>
    </w:p>
    <w:p w14:paraId="3E28F994">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 xml:space="preserve">2.乙方的投标文件和评标时的澄清函（如有）； </w:t>
      </w:r>
    </w:p>
    <w:p w14:paraId="3DE87048">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3.中标通知书；</w:t>
      </w:r>
    </w:p>
    <w:p w14:paraId="7D0610FC">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4.合同条款；</w:t>
      </w:r>
    </w:p>
    <w:p w14:paraId="33D1E5F1">
      <w:pPr>
        <w:snapToGrid w:val="0"/>
        <w:spacing w:line="440" w:lineRule="exact"/>
        <w:ind w:left="555"/>
        <w:rPr>
          <w:rFonts w:hint="eastAsia" w:ascii="宋体" w:hAnsi="宋体" w:cs="宋体"/>
          <w:color w:val="000000"/>
          <w:sz w:val="24"/>
          <w:highlight w:val="none"/>
        </w:rPr>
      </w:pPr>
      <w:r>
        <w:rPr>
          <w:rFonts w:hint="eastAsia" w:ascii="宋体" w:hAnsi="宋体" w:cs="宋体"/>
          <w:color w:val="000000"/>
          <w:sz w:val="24"/>
          <w:highlight w:val="none"/>
        </w:rPr>
        <w:t>5.甲方、乙方双方商定的其他必要文件。</w:t>
      </w:r>
    </w:p>
    <w:p w14:paraId="5495DB70">
      <w:pPr>
        <w:snapToGrid w:val="0"/>
        <w:spacing w:line="440" w:lineRule="exact"/>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上述合同文件内容互为补充，如有不明确，由甲方负责解释。</w:t>
      </w:r>
    </w:p>
    <w:p w14:paraId="3CC51172">
      <w:pPr>
        <w:pStyle w:val="4"/>
        <w:snapToGrid w:val="0"/>
        <w:spacing w:before="0" w:after="0" w:line="440" w:lineRule="exact"/>
        <w:ind w:firstLine="482"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十二、合同备案</w:t>
      </w:r>
    </w:p>
    <w:p w14:paraId="7E5270E5">
      <w:pPr>
        <w:snapToGrid w:val="0"/>
        <w:spacing w:line="440" w:lineRule="exact"/>
        <w:ind w:firstLine="480" w:firstLineChars="200"/>
        <w:rPr>
          <w:rFonts w:hint="eastAsia" w:ascii="宋体" w:hAnsi="宋体" w:cs="宋体"/>
          <w:color w:val="000000"/>
          <w:sz w:val="24"/>
          <w:highlight w:val="none"/>
        </w:rPr>
      </w:pPr>
      <w:r>
        <w:rPr>
          <w:rFonts w:hint="eastAsia" w:ascii="宋体" w:hAnsi="宋体" w:cs="宋体"/>
          <w:bCs/>
          <w:color w:val="000000"/>
          <w:sz w:val="24"/>
          <w:highlight w:val="none"/>
        </w:rPr>
        <w:t>本合同一式陆份，中文书写。甲方、乙方各执贰份，招标代理机构执壹份，另外壹份由招标代理机构报政府采购主管部门备案。</w:t>
      </w:r>
    </w:p>
    <w:p w14:paraId="2D7226F1">
      <w:pPr>
        <w:snapToGrid w:val="0"/>
        <w:spacing w:before="19" w:line="360" w:lineRule="auto"/>
        <w:rPr>
          <w:rFonts w:hint="eastAsia" w:ascii="宋体" w:hAnsi="宋体"/>
          <w:b/>
          <w:color w:val="000000"/>
          <w:sz w:val="24"/>
          <w:highlight w:val="none"/>
          <w:u w:val="single"/>
        </w:rPr>
      </w:pPr>
      <w:r>
        <w:rPr>
          <w:rFonts w:hint="eastAsia" w:ascii="宋体" w:hAnsi="宋体"/>
          <w:b/>
          <w:color w:val="000000"/>
          <w:sz w:val="24"/>
          <w:highlight w:val="none"/>
        </w:rPr>
        <w:t>甲方：</w:t>
      </w:r>
      <w:r>
        <w:rPr>
          <w:rFonts w:hint="eastAsia" w:ascii="宋体" w:hAnsi="宋体" w:cs="宋体"/>
          <w:b/>
          <w:color w:val="000000"/>
          <w:sz w:val="24"/>
          <w:highlight w:val="none"/>
          <w:u w:val="single"/>
        </w:rPr>
        <w:t xml:space="preserve"> 海南省旅游和文化广电体育厅</w:t>
      </w:r>
      <w:r>
        <w:rPr>
          <w:rFonts w:hint="eastAsia" w:ascii="宋体" w:hAnsi="宋体"/>
          <w:b/>
          <w:color w:val="000000"/>
          <w:sz w:val="24"/>
          <w:highlight w:val="none"/>
          <w:u w:val="single"/>
        </w:rPr>
        <w:t>（盖章）</w:t>
      </w:r>
    </w:p>
    <w:p w14:paraId="6AC278EA">
      <w:pPr>
        <w:snapToGrid w:val="0"/>
        <w:spacing w:before="19" w:line="360" w:lineRule="auto"/>
        <w:rPr>
          <w:rFonts w:hint="eastAsia" w:ascii="宋体" w:hAnsi="宋体"/>
          <w:color w:val="000000"/>
          <w:sz w:val="24"/>
          <w:highlight w:val="none"/>
          <w:u w:val="single"/>
        </w:rPr>
      </w:pPr>
      <w:r>
        <w:rPr>
          <w:rFonts w:hint="eastAsia" w:ascii="宋体" w:hAnsi="宋体"/>
          <w:color w:val="000000"/>
          <w:sz w:val="24"/>
          <w:highlight w:val="none"/>
        </w:rPr>
        <w:t>地址：</w:t>
      </w:r>
      <w:r>
        <w:rPr>
          <w:rFonts w:hint="eastAsia" w:ascii="宋体" w:hAnsi="宋体"/>
          <w:color w:val="000000"/>
          <w:sz w:val="24"/>
          <w:highlight w:val="none"/>
          <w:u w:val="single"/>
        </w:rPr>
        <w:t xml:space="preserve"> 海口市海府路59号                   </w:t>
      </w:r>
    </w:p>
    <w:p w14:paraId="5760B6E2">
      <w:pPr>
        <w:snapToGrid w:val="0"/>
        <w:spacing w:before="19" w:line="360" w:lineRule="auto"/>
        <w:rPr>
          <w:rFonts w:hint="eastAsia" w:ascii="宋体" w:hAnsi="宋体"/>
          <w:color w:val="000000"/>
          <w:sz w:val="24"/>
          <w:highlight w:val="none"/>
        </w:rPr>
      </w:pPr>
      <w:r>
        <w:rPr>
          <w:rFonts w:hint="eastAsia" w:ascii="宋体" w:hAnsi="宋体"/>
          <w:color w:val="000000"/>
          <w:sz w:val="24"/>
          <w:highlight w:val="none"/>
        </w:rPr>
        <w:t>法定（授权）代表人：</w:t>
      </w:r>
      <w:r>
        <w:rPr>
          <w:rFonts w:hint="eastAsia" w:ascii="宋体" w:hAnsi="宋体"/>
          <w:color w:val="000000"/>
          <w:sz w:val="24"/>
          <w:highlight w:val="none"/>
          <w:u w:val="single"/>
        </w:rPr>
        <w:t xml:space="preserve">            </w:t>
      </w:r>
    </w:p>
    <w:p w14:paraId="0936A01D">
      <w:pPr>
        <w:snapToGrid w:val="0"/>
        <w:spacing w:before="19" w:line="360" w:lineRule="auto"/>
        <w:rPr>
          <w:rFonts w:hint="eastAsia" w:ascii="宋体" w:hAnsi="宋体"/>
          <w:color w:val="000000"/>
          <w:sz w:val="24"/>
          <w:highlight w:val="none"/>
        </w:rPr>
      </w:pPr>
      <w:r>
        <w:rPr>
          <w:rFonts w:hint="eastAsia" w:ascii="宋体" w:hAnsi="宋体"/>
          <w:color w:val="000000"/>
          <w:sz w:val="24"/>
          <w:highlight w:val="none"/>
        </w:rPr>
        <w:t>二</w:t>
      </w:r>
      <w:r>
        <w:rPr>
          <w:rFonts w:hint="eastAsia" w:ascii="宋体" w:hAnsi="宋体" w:cs="宋体"/>
          <w:color w:val="000000"/>
          <w:sz w:val="24"/>
          <w:highlight w:val="none"/>
        </w:rPr>
        <w:t>〇二</w:t>
      </w:r>
      <w:r>
        <w:rPr>
          <w:rFonts w:hint="eastAsia" w:ascii="宋体" w:hAnsi="宋体" w:cs="宋体"/>
          <w:color w:val="000000"/>
          <w:sz w:val="24"/>
          <w:highlight w:val="none"/>
          <w:lang w:val="en-US" w:eastAsia="zh-CN"/>
        </w:rPr>
        <w:t xml:space="preserve"> </w:t>
      </w:r>
      <w:r>
        <w:rPr>
          <w:rFonts w:hint="eastAsia" w:ascii="宋体" w:hAnsi="宋体" w:cs="仿宋_GB2312"/>
          <w:color w:val="000000"/>
          <w:sz w:val="24"/>
          <w:highlight w:val="none"/>
        </w:rPr>
        <w:t>年</w:t>
      </w:r>
      <w:r>
        <w:rPr>
          <w:rFonts w:hint="eastAsia" w:ascii="宋体" w:hAnsi="宋体"/>
          <w:color w:val="000000"/>
          <w:sz w:val="24"/>
          <w:highlight w:val="none"/>
          <w:u w:val="single"/>
        </w:rPr>
        <w:t xml:space="preserve"> 十一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601EAA6E">
      <w:pPr>
        <w:snapToGrid w:val="0"/>
        <w:spacing w:before="19" w:line="360" w:lineRule="auto"/>
        <w:rPr>
          <w:rFonts w:hint="eastAsia" w:ascii="宋体" w:hAnsi="宋体"/>
          <w:b/>
          <w:bCs/>
          <w:color w:val="000000"/>
          <w:sz w:val="24"/>
          <w:highlight w:val="none"/>
        </w:rPr>
      </w:pPr>
      <w:r>
        <w:rPr>
          <w:rFonts w:hint="eastAsia" w:ascii="宋体" w:hAnsi="宋体"/>
          <w:b/>
          <w:color w:val="000000"/>
          <w:sz w:val="24"/>
          <w:highlight w:val="none"/>
        </w:rPr>
        <w:t>乙方：</w:t>
      </w:r>
      <w:r>
        <w:rPr>
          <w:rFonts w:hint="eastAsia" w:ascii="宋体" w:hAnsi="宋体"/>
          <w:b/>
          <w:bCs/>
          <w:color w:val="000000"/>
          <w:sz w:val="24"/>
          <w:highlight w:val="none"/>
          <w:u w:val="single"/>
        </w:rPr>
        <w:t xml:space="preserve"> </w:t>
      </w:r>
      <w:r>
        <w:rPr>
          <w:rFonts w:hint="eastAsia" w:ascii="宋体" w:hAnsi="宋体"/>
          <w:b/>
          <w:bCs/>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b/>
          <w:bCs/>
          <w:color w:val="000000"/>
          <w:sz w:val="24"/>
          <w:highlight w:val="none"/>
          <w:u w:val="single"/>
        </w:rPr>
        <w:t>（ 盖章）</w:t>
      </w:r>
    </w:p>
    <w:p w14:paraId="5373D1BB">
      <w:pPr>
        <w:pStyle w:val="8"/>
        <w:ind w:firstLine="0" w:firstLineChars="0"/>
        <w:rPr>
          <w:rFonts w:hint="default" w:ascii="宋体" w:hAnsi="宋体" w:eastAsia="宋体"/>
          <w:color w:val="000000"/>
          <w:sz w:val="24"/>
          <w:highlight w:val="none"/>
          <w:lang w:val="en-US" w:eastAsia="zh-CN"/>
        </w:rPr>
      </w:pPr>
      <w:r>
        <w:rPr>
          <w:rFonts w:hint="eastAsia" w:ascii="宋体" w:hAnsi="宋体"/>
          <w:color w:val="000000"/>
          <w:sz w:val="24"/>
          <w:highlight w:val="none"/>
        </w:rPr>
        <w:t>地址：</w:t>
      </w:r>
      <w:r>
        <w:rPr>
          <w:rFonts w:hint="eastAsia" w:ascii="宋体" w:hAnsi="宋体"/>
          <w:color w:val="000000"/>
          <w:sz w:val="24"/>
          <w:highlight w:val="none"/>
          <w:u w:val="single"/>
          <w:lang w:val="en-US" w:eastAsia="zh-CN"/>
        </w:rPr>
        <w:t xml:space="preserve">      </w:t>
      </w:r>
    </w:p>
    <w:p w14:paraId="23BA4C2E">
      <w:pPr>
        <w:pStyle w:val="8"/>
        <w:ind w:firstLine="0" w:firstLineChars="0"/>
        <w:rPr>
          <w:rFonts w:hint="eastAsia" w:ascii="宋体" w:hAnsi="宋体"/>
          <w:color w:val="000000"/>
          <w:sz w:val="24"/>
          <w:highlight w:val="none"/>
        </w:rPr>
      </w:pPr>
      <w:r>
        <w:rPr>
          <w:rFonts w:hint="eastAsia" w:ascii="宋体" w:hAnsi="宋体"/>
          <w:color w:val="000000"/>
          <w:sz w:val="24"/>
          <w:highlight w:val="none"/>
        </w:rPr>
        <w:t>法定（授权）代表人</w:t>
      </w:r>
      <w:r>
        <w:rPr>
          <w:rFonts w:hint="eastAsia" w:ascii="宋体" w:hAnsi="宋体"/>
          <w:color w:val="000000"/>
          <w:sz w:val="24"/>
          <w:highlight w:val="none"/>
          <w:u w:val="single"/>
        </w:rPr>
        <w:t xml:space="preserve">：        </w:t>
      </w:r>
    </w:p>
    <w:p w14:paraId="45C9481C">
      <w:pPr>
        <w:snapToGrid w:val="0"/>
        <w:spacing w:before="19" w:line="360" w:lineRule="auto"/>
        <w:rPr>
          <w:rFonts w:hint="eastAsia" w:ascii="宋体" w:hAnsi="宋体"/>
          <w:color w:val="000000"/>
          <w:sz w:val="24"/>
          <w:highlight w:val="none"/>
        </w:rPr>
      </w:pPr>
      <w:r>
        <w:rPr>
          <w:rFonts w:hint="eastAsia" w:ascii="宋体" w:hAnsi="宋体"/>
          <w:color w:val="000000"/>
          <w:sz w:val="24"/>
          <w:highlight w:val="none"/>
        </w:rPr>
        <w:t>二</w:t>
      </w:r>
      <w:r>
        <w:rPr>
          <w:rFonts w:hint="eastAsia" w:ascii="宋体" w:hAnsi="宋体" w:cs="宋体"/>
          <w:color w:val="000000"/>
          <w:sz w:val="24"/>
          <w:highlight w:val="none"/>
        </w:rPr>
        <w:t>〇</w:t>
      </w:r>
      <w:r>
        <w:rPr>
          <w:rFonts w:hint="eastAsia" w:ascii="宋体" w:hAnsi="宋体"/>
          <w:color w:val="000000"/>
          <w:sz w:val="24"/>
          <w:highlight w:val="none"/>
        </w:rPr>
        <w:t>二</w:t>
      </w:r>
      <w:r>
        <w:rPr>
          <w:rFonts w:hint="eastAsia" w:ascii="宋体" w:hAnsi="宋体"/>
          <w:color w:val="000000"/>
          <w:sz w:val="24"/>
          <w:highlight w:val="none"/>
          <w:lang w:val="en-US" w:eastAsia="zh-CN"/>
        </w:rPr>
        <w:t xml:space="preserve"> </w:t>
      </w:r>
      <w:r>
        <w:rPr>
          <w:rFonts w:hint="eastAsia" w:ascii="宋体" w:hAnsi="宋体" w:cs="仿宋_GB2312"/>
          <w:color w:val="000000"/>
          <w:sz w:val="24"/>
          <w:highlight w:val="none"/>
        </w:rPr>
        <w:t>年</w:t>
      </w:r>
      <w:r>
        <w:rPr>
          <w:rFonts w:hint="eastAsia" w:ascii="宋体" w:hAnsi="宋体"/>
          <w:color w:val="000000"/>
          <w:sz w:val="24"/>
          <w:highlight w:val="none"/>
          <w:u w:val="single"/>
        </w:rPr>
        <w:t xml:space="preserve">  十一</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5BA6FBDE">
      <w:pPr>
        <w:snapToGrid w:val="0"/>
        <w:spacing w:before="19" w:line="360" w:lineRule="auto"/>
        <w:rPr>
          <w:rFonts w:hint="eastAsia" w:ascii="宋体" w:hAnsi="宋体"/>
          <w:color w:val="000000"/>
          <w:sz w:val="24"/>
          <w:highlight w:val="none"/>
        </w:rPr>
      </w:pPr>
      <w:r>
        <w:rPr>
          <w:rFonts w:hint="eastAsia" w:ascii="宋体" w:hAnsi="宋体"/>
          <w:color w:val="000000"/>
          <w:sz w:val="24"/>
          <w:highlight w:val="none"/>
        </w:rPr>
        <w:t>户名：</w:t>
      </w:r>
      <w:r>
        <w:rPr>
          <w:rFonts w:hint="eastAsia" w:ascii="宋体" w:hAnsi="宋体"/>
          <w:b/>
          <w:bCs/>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w:t>
      </w:r>
    </w:p>
    <w:p w14:paraId="37FE7EAA">
      <w:pPr>
        <w:snapToGrid w:val="0"/>
        <w:spacing w:before="19" w:line="360" w:lineRule="auto"/>
        <w:rPr>
          <w:rFonts w:hint="eastAsia" w:ascii="宋体" w:hAnsi="宋体"/>
          <w:color w:val="FF0000"/>
          <w:sz w:val="24"/>
          <w:highlight w:val="none"/>
        </w:rPr>
      </w:pPr>
      <w:r>
        <w:rPr>
          <w:rFonts w:hint="eastAsia" w:ascii="宋体" w:hAnsi="宋体"/>
          <w:color w:val="000000"/>
          <w:sz w:val="24"/>
          <w:highlight w:val="none"/>
        </w:rPr>
        <w:t>开户银行：</w:t>
      </w:r>
      <w:r>
        <w:rPr>
          <w:rFonts w:hint="eastAsia" w:ascii="宋体" w:hAnsi="宋体"/>
          <w:color w:val="FF0000"/>
          <w:sz w:val="24"/>
          <w:highlight w:val="none"/>
        </w:rPr>
        <w:t xml:space="preserve"> </w:t>
      </w:r>
    </w:p>
    <w:p w14:paraId="08C6D582">
      <w:pPr>
        <w:snapToGrid w:val="0"/>
        <w:spacing w:before="19" w:line="360" w:lineRule="auto"/>
        <w:rPr>
          <w:rFonts w:hint="eastAsia" w:ascii="宋体" w:hAnsi="宋体"/>
          <w:color w:val="000000"/>
          <w:sz w:val="24"/>
          <w:highlight w:val="none"/>
          <w:u w:val="single"/>
        </w:rPr>
      </w:pPr>
      <w:r>
        <w:rPr>
          <w:rFonts w:hint="eastAsia" w:ascii="宋体" w:hAnsi="宋体"/>
          <w:color w:val="000000"/>
          <w:sz w:val="24"/>
          <w:highlight w:val="none"/>
        </w:rPr>
        <w:t>账号：</w:t>
      </w:r>
      <w:r>
        <w:rPr>
          <w:rFonts w:hint="eastAsia" w:ascii="宋体" w:hAnsi="宋体"/>
          <w:color w:val="000000"/>
          <w:sz w:val="24"/>
          <w:highlight w:val="none"/>
          <w:u w:val="single"/>
        </w:rPr>
        <w:t xml:space="preserve">                         </w:t>
      </w:r>
    </w:p>
    <w:p w14:paraId="5A3BE3C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rPr>
          <w:rFonts w:hint="eastAsia" w:ascii="宋体" w:hAnsi="宋体" w:cs="宋体"/>
          <w:b/>
          <w:color w:val="000000"/>
          <w:sz w:val="24"/>
          <w:highlight w:val="none"/>
        </w:rPr>
      </w:pPr>
      <w:r>
        <w:rPr>
          <w:rFonts w:hint="eastAsia" w:ascii="宋体" w:hAnsi="宋体" w:cs="宋体"/>
          <w:b/>
          <w:color w:val="000000"/>
          <w:sz w:val="24"/>
          <w:highlight w:val="none"/>
        </w:rPr>
        <w:t>声明：本合同标的依法定程序采购，合同主要条款内容与招投标文件的内容一致。</w:t>
      </w:r>
    </w:p>
    <w:p w14:paraId="1FC9543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rPr>
          <w:rFonts w:hint="eastAsia" w:ascii="宋体" w:hAnsi="宋体" w:cs="宋体"/>
          <w:b/>
          <w:color w:val="000000"/>
          <w:sz w:val="24"/>
          <w:highlight w:val="none"/>
        </w:rPr>
      </w:pPr>
      <w:r>
        <w:rPr>
          <w:rFonts w:hint="eastAsia" w:ascii="宋体" w:hAnsi="宋体" w:cs="宋体"/>
          <w:b/>
          <w:color w:val="000000"/>
          <w:sz w:val="24"/>
          <w:highlight w:val="none"/>
        </w:rPr>
        <w:t>招标代理机构：（盖章）</w:t>
      </w:r>
    </w:p>
    <w:p w14:paraId="29002A0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40" w:lineRule="exact"/>
        <w:rPr>
          <w:rFonts w:hint="eastAsia" w:ascii="宋体" w:hAnsi="宋体" w:cs="宋体"/>
          <w:b/>
          <w:color w:val="000000"/>
          <w:sz w:val="24"/>
          <w:highlight w:val="none"/>
        </w:rPr>
      </w:pPr>
    </w:p>
    <w:p w14:paraId="07EF8D7D">
      <w:pPr>
        <w:snapToGrid w:val="0"/>
        <w:spacing w:line="440" w:lineRule="exact"/>
        <w:rPr>
          <w:highlight w:val="none"/>
        </w:rPr>
      </w:pPr>
      <w:r>
        <w:rPr>
          <w:rFonts w:hint="eastAsia" w:ascii="宋体" w:hAnsi="宋体" w:cs="宋体"/>
          <w:color w:val="000000"/>
          <w:sz w:val="24"/>
          <w:highlight w:val="none"/>
          <w:u w:val="single"/>
        </w:rPr>
        <w:t xml:space="preserve"> 二O二</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年十一</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月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352EC5B4">
      <w:pPr>
        <w:rPr>
          <w:highlight w:val="none"/>
        </w:rPr>
      </w:pPr>
    </w:p>
    <w:p w14:paraId="38D837B0">
      <w:pPr>
        <w:rPr>
          <w:highlight w:val="none"/>
        </w:rPr>
      </w:pPr>
    </w:p>
    <w:p w14:paraId="2BDBF413">
      <w:pPr>
        <w:pStyle w:val="6"/>
        <w:rPr>
          <w:rFonts w:hint="default" w:ascii="仿宋_GB2312" w:hAnsi="仿宋_GB2312" w:eastAsia="仿宋_GB2312" w:cs="仿宋_GB2312"/>
          <w:sz w:val="32"/>
          <w:szCs w:val="32"/>
          <w:highlight w:val="none"/>
          <w:lang w:val="en"/>
        </w:rPr>
      </w:pPr>
    </w:p>
    <w:p w14:paraId="7D900F96">
      <w:bookmarkStart w:id="7" w:name="_GoBack"/>
      <w:bookmarkEnd w:id="7"/>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053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beforeLines="0" w:after="120" w:afterLines="0" w:line="300" w:lineRule="auto"/>
      <w:jc w:val="center"/>
      <w:outlineLvl w:val="0"/>
    </w:pPr>
    <w:rPr>
      <w:rFonts w:ascii="宋体" w:hAnsi="Times New Roman"/>
      <w:b/>
      <w:kern w:val="44"/>
      <w:sz w:val="32"/>
      <w:szCs w:val="20"/>
    </w:rPr>
  </w:style>
  <w:style w:type="paragraph" w:styleId="3">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widowControl/>
      <w:spacing w:before="260" w:beforeLines="0" w:after="260" w:afterLines="0" w:line="413" w:lineRule="auto"/>
      <w:jc w:val="left"/>
      <w:outlineLvl w:val="2"/>
    </w:pPr>
    <w:rPr>
      <w:rFonts w:ascii="Times New Roman" w:hAnsi="Times New Roman"/>
      <w:b/>
      <w:bCs/>
      <w:sz w:val="32"/>
      <w:szCs w:val="32"/>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autoSpaceDE w:val="0"/>
      <w:autoSpaceDN w:val="0"/>
      <w:adjustRightInd w:val="0"/>
      <w:spacing w:line="360" w:lineRule="auto"/>
      <w:ind w:firstLine="540" w:firstLineChars="180"/>
    </w:pPr>
    <w:rPr>
      <w:rFonts w:ascii="Times New Roman" w:hAnsi="Times New Roman"/>
      <w:sz w:val="30"/>
      <w:szCs w:val="20"/>
    </w:rPr>
  </w:style>
  <w:style w:type="paragraph" w:styleId="6">
    <w:name w:val="Plain Text"/>
    <w:basedOn w:val="1"/>
    <w:qFormat/>
    <w:uiPriority w:val="0"/>
    <w:rPr>
      <w:rFonts w:ascii="宋体" w:hAnsi="Courier New"/>
    </w:rPr>
  </w:style>
  <w:style w:type="paragraph" w:styleId="7">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8">
    <w:name w:val="Body Text First Indent 2"/>
    <w:basedOn w:val="5"/>
    <w:qFormat/>
    <w:uiPriority w:val="0"/>
    <w:pPr>
      <w:ind w:firstLine="42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 New"/>
    <w:qFormat/>
    <w:uiPriority w:val="0"/>
    <w:pPr>
      <w:widowControl w:val="0"/>
      <w:jc w:val="both"/>
    </w:pPr>
    <w:rPr>
      <w:rFonts w:ascii="Times New Roman" w:hAnsi="Times New Roman" w:eastAsia="宋体" w:cs="Calibri"/>
      <w:kern w:val="2"/>
      <w:sz w:val="21"/>
      <w:szCs w:val="21"/>
      <w:lang w:val="en-US" w:eastAsia="zh-CN" w:bidi="ar-SA"/>
    </w:rPr>
  </w:style>
  <w:style w:type="paragraph" w:customStyle="1" w:styleId="13">
    <w:name w:val="海南化工城正文"/>
    <w:basedOn w:val="1"/>
    <w:qFormat/>
    <w:uiPriority w:val="99"/>
    <w:pPr>
      <w:spacing w:line="324" w:lineRule="auto"/>
      <w:ind w:firstLine="480" w:firstLineChars="200"/>
    </w:pPr>
    <w:rPr>
      <w:rFonts w:ascii="宋体" w:hAnsi="宋体"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2025-08-25T07:39:46Z</dcterms:created>
  <dc:creator>ABC</dc:creator>
  <cp:lastModifiedBy>admin</cp:lastModifiedBy>
  <dcterms:modified xsi:type="dcterms:W3CDTF">2025-08-25T07:39:49Z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eyJoZGlkIjoiNGRkNjRiZGViNGRhYjJjMmQ2YTI3ODRiZmY1ZTQ3MmUiLCJ1c2VySWQiOiI2MTQ0MTc5MTYifQ==</vt:lpwstr>
  </property>
  <property fmtid="{D5CDD505-2E9C-101B-9397-08002B2CF9AE}" pid="4" name="ICV">
    <vt:lpwstr>E324BD4568984B75BB453010905FC497_12</vt:lpwstr>
  </property>
</Properties>
</file>