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海南省财税学校数字校史馆及虚拟仿真实训体验基地建设项目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HNJY2025-21-5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海南省财税学校</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海南省教学仪器设备招标中心有限公司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海南省财税学校</w:t>
      </w:r>
      <w:r>
        <w:rPr>
          <w:rFonts w:ascii="仿宋_GB2312" w:hAnsi="仿宋_GB2312" w:cs="仿宋_GB2312" w:eastAsia="仿宋_GB2312"/>
        </w:rPr>
        <w:t xml:space="preserve"> 的委托， </w:t>
      </w:r>
      <w:r>
        <w:rPr>
          <w:rFonts w:ascii="仿宋_GB2312" w:hAnsi="仿宋_GB2312" w:cs="仿宋_GB2312" w:eastAsia="仿宋_GB2312"/>
        </w:rPr>
        <w:t>海南省教学仪器设备招标中心有限公司</w:t>
      </w:r>
      <w:r>
        <w:rPr>
          <w:rFonts w:ascii="仿宋_GB2312" w:hAnsi="仿宋_GB2312" w:cs="仿宋_GB2312" w:eastAsia="仿宋_GB2312"/>
        </w:rPr>
        <w:t xml:space="preserve"> 对 </w:t>
      </w:r>
      <w:r>
        <w:rPr>
          <w:rFonts w:ascii="仿宋_GB2312" w:hAnsi="仿宋_GB2312" w:cs="仿宋_GB2312" w:eastAsia="仿宋_GB2312"/>
        </w:rPr>
        <w:t>海南省财税学校数字校史馆及虚拟仿真实训体验基地建设项目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HNJY2025-21-5</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海南省财税学校数字校史馆及虚拟仿真实训体验基地建设项目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2,535,397.00元</w:t>
      </w:r>
      <w:r>
        <w:rPr>
          <w:rFonts w:ascii="仿宋_GB2312" w:hAnsi="仿宋_GB2312" w:cs="仿宋_GB2312" w:eastAsia="仿宋_GB2312"/>
        </w:rPr>
        <w:t>贰佰伍拾叁万伍仟叁佰玖拾柒元整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自合同签订之日起45天内完成供货及安装调试。</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2、本项目为远程不见面开标，供应商无须到达开标现场，但开标前必须进入电子开标大厅在线签到（未签到视为无效投标），远程按时参加在线开标解密即可。 3、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供应商使用交易系统遇到问题请拨打以下热线电话： 热线一：4001691288 ； 本项目需使用蓝色CA锁，CA数字证书认证咨询电话：0898-66668096。 4、本项目支持节能产品、环境标志产品、中小微企业发展、监狱企业发展及残疾人福利性单位等相关扶持政策。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海南省财税学校</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海南省海口市琼山区红城湖路62号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571800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0898-65823156</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海南省教学仪器设备招标中心有限公司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海南省海口市兰区蓝天路西2-8号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秦圣梁</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0898-66779294</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采购包1：2,535,397.00元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说明：根据合同约定</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代理服务费收费标准：参照“中华人民共和国国家计划委员会[计价格 ［2002］1980号]”文件规定折的8折收取。 单位名称：海南省教学仪器设备招标中心有限公司 开户银行：中国建设银行股份有限公司海口国兴大道支行、银行账号：46001002537052500288</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如供应商在非开标现场上传的电子标书的IP地址相同，则IP地址相同的投标按无效标处理。 16.1述标和/或产（样）品演（展）示：否 16.2是否接受进口产品投标：否 16.3采购需求：（1）采购需求中未列明偏差的除特殊订制类货物以外，列明的尺寸、重量及体积允许±5%偏差。（需求中技术参数已有要求的除外）（2）采购标的物需按照国家相关标准、行业标准、地方标准或者其他标准、规范执行。 16.4本项目所属行业：根据《统计上大中小微型企业划分办法（2017）》，本项目所属行业为工业。 16.5不专门面向中小企业的具有原因和情形：本项目如专门面向中小企业存在可能影响政府采购目标实现的情形。16.6交货地点：用户指定地点。16.7供应商应在投标（响应）文件中如实描述技术商务情况，真实填写响应（偏离）情况。除采购文件有特殊规定外，对主要技术商务或响应（偏离）情况不如实描述的，可按无效投标（响应）处理，涉及提供虚假材料谋取中标成交的，按相关法律规定处理。资格性审查、符合性审查不通过或投标无效的，采购人、采购代理机构或评审专家应在评审报告中注明不通过或投标无效的具体原因。除价格评审外，其他评审扣分的，评审专家应在评审报告中注明扣分分值、扣分理由和依据。除客观评审项外，针对同一供应商的同一评审项，评审专家的评分分值偏离幅度不得超过该评审项平均分值的30%，否则，该项评审意见无效。 16.8本采购活动采用全流程电子化的方式，响应、签到、解密、磋商、报价、评审等全流程均通过线上进行.（供应商要准备二次报价或最后报价环节），供应商需保证自己蓝色CA锁在有效期内，如开标当天出现过期或签章不了，自行承担责任。</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联系人：秦先生</w:t>
      </w:r>
    </w:p>
    <w:p>
      <w:pPr>
        <w:pStyle w:val="null3"/>
        <w:jc w:val="left"/>
      </w:pPr>
      <w:r>
        <w:rPr>
          <w:rFonts w:ascii="仿宋_GB2312" w:hAnsi="仿宋_GB2312" w:cs="仿宋_GB2312" w:eastAsia="仿宋_GB2312"/>
        </w:rPr>
        <w:t>联系电话：0898-66779294</w:t>
      </w:r>
    </w:p>
    <w:p>
      <w:pPr>
        <w:pStyle w:val="null3"/>
        <w:jc w:val="left"/>
      </w:pPr>
      <w:r>
        <w:rPr>
          <w:rFonts w:ascii="仿宋_GB2312" w:hAnsi="仿宋_GB2312" w:cs="仿宋_GB2312" w:eastAsia="仿宋_GB2312"/>
        </w:rPr>
        <w:t>地址：海南省海口市美兰区蓝天路西2-8号</w:t>
      </w:r>
    </w:p>
    <w:p>
      <w:pPr>
        <w:pStyle w:val="null3"/>
        <w:jc w:val="left"/>
      </w:pPr>
      <w:r>
        <w:rPr>
          <w:rFonts w:ascii="仿宋_GB2312" w:hAnsi="仿宋_GB2312" w:cs="仿宋_GB2312" w:eastAsia="仿宋_GB2312"/>
        </w:rPr>
        <w:t>邮编：570206</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color w:val="000000"/>
          <w:shd w:fill="FFFFFF" w:val="clear"/>
        </w:rPr>
        <w:t>项目编号：</w:t>
      </w:r>
      <w:r>
        <w:rPr>
          <w:rFonts w:ascii="仿宋_GB2312" w:hAnsi="仿宋_GB2312" w:cs="仿宋_GB2312" w:eastAsia="仿宋_GB2312"/>
          <w:sz w:val="24"/>
          <w:color w:val="000000"/>
          <w:shd w:fill="FFFFFF" w:val="clear"/>
        </w:rPr>
        <w:t>HNJY2025-</w:t>
      </w:r>
      <w:r>
        <w:rPr>
          <w:rFonts w:ascii="仿宋_GB2312" w:hAnsi="仿宋_GB2312" w:cs="仿宋_GB2312" w:eastAsia="仿宋_GB2312"/>
          <w:sz w:val="24"/>
          <w:color w:val="000000"/>
          <w:shd w:fill="FFFFFF" w:val="clear"/>
        </w:rPr>
        <w:t>21</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5</w:t>
      </w:r>
    </w:p>
    <w:p>
      <w:pPr>
        <w:pStyle w:val="null3"/>
        <w:ind w:firstLine="420"/>
        <w:jc w:val="left"/>
      </w:pPr>
      <w:r>
        <w:rPr>
          <w:rFonts w:ascii="仿宋_GB2312" w:hAnsi="仿宋_GB2312" w:cs="仿宋_GB2312" w:eastAsia="仿宋_GB2312"/>
          <w:sz w:val="24"/>
          <w:color w:val="000000"/>
          <w:shd w:fill="FFFFFF" w:val="clear"/>
        </w:rPr>
        <w:t>项目名称：</w:t>
      </w:r>
      <w:r>
        <w:rPr>
          <w:rFonts w:ascii="仿宋_GB2312" w:hAnsi="仿宋_GB2312" w:cs="仿宋_GB2312" w:eastAsia="仿宋_GB2312"/>
          <w:sz w:val="24"/>
          <w:color w:val="000000"/>
          <w:shd w:fill="FFFFFF" w:val="clear"/>
        </w:rPr>
        <w:t>海南省财税学校数字校史馆及虚拟仿真实训体验基地建设项目</w:t>
      </w:r>
      <w:r>
        <w:rPr>
          <w:rFonts w:ascii="仿宋_GB2312" w:hAnsi="仿宋_GB2312" w:cs="仿宋_GB2312" w:eastAsia="仿宋_GB2312"/>
          <w:sz w:val="24"/>
          <w:shd w:fill="FFFFFF" w:val="clear"/>
        </w:rPr>
        <w:t xml:space="preserve"> </w:t>
      </w:r>
    </w:p>
    <w:p>
      <w:pPr>
        <w:pStyle w:val="null3"/>
        <w:ind w:firstLine="420"/>
        <w:jc w:val="left"/>
      </w:pPr>
      <w:r>
        <w:rPr>
          <w:rFonts w:ascii="仿宋_GB2312" w:hAnsi="仿宋_GB2312" w:cs="仿宋_GB2312" w:eastAsia="仿宋_GB2312"/>
          <w:sz w:val="24"/>
          <w:color w:val="000000"/>
          <w:shd w:fill="FFFFFF" w:val="clear"/>
        </w:rPr>
        <w:t>采购方式：竞争性磋商</w:t>
      </w:r>
    </w:p>
    <w:p>
      <w:pPr>
        <w:pStyle w:val="null3"/>
        <w:ind w:firstLine="420"/>
        <w:jc w:val="left"/>
      </w:pPr>
      <w:r>
        <w:rPr>
          <w:rFonts w:ascii="仿宋_GB2312" w:hAnsi="仿宋_GB2312" w:cs="仿宋_GB2312" w:eastAsia="仿宋_GB2312"/>
          <w:sz w:val="24"/>
          <w:color w:val="000000"/>
          <w:shd w:fill="FFFFFF" w:val="clear"/>
        </w:rPr>
        <w:t>预算金额：</w:t>
      </w:r>
      <w:r>
        <w:rPr>
          <w:rFonts w:ascii="仿宋_GB2312" w:hAnsi="仿宋_GB2312" w:cs="仿宋_GB2312" w:eastAsia="仿宋_GB2312"/>
          <w:sz w:val="24"/>
          <w:color w:val="000000"/>
          <w:shd w:fill="FFFFFF" w:val="clear"/>
        </w:rPr>
        <w:t>253</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5397</w:t>
      </w:r>
      <w:r>
        <w:rPr>
          <w:rFonts w:ascii="仿宋_GB2312" w:hAnsi="仿宋_GB2312" w:cs="仿宋_GB2312" w:eastAsia="仿宋_GB2312"/>
          <w:sz w:val="24"/>
          <w:shd w:fill="FFFFFF" w:val="clear"/>
        </w:rPr>
        <w:t xml:space="preserve"> </w:t>
      </w:r>
      <w:r>
        <w:rPr>
          <w:rFonts w:ascii="仿宋_GB2312" w:hAnsi="仿宋_GB2312" w:cs="仿宋_GB2312" w:eastAsia="仿宋_GB2312"/>
          <w:sz w:val="24"/>
          <w:color w:val="000000"/>
          <w:shd w:fill="FFFFFF" w:val="clear"/>
        </w:rPr>
        <w:t>万元。</w:t>
      </w:r>
    </w:p>
    <w:p>
      <w:pPr>
        <w:pStyle w:val="null3"/>
        <w:ind w:firstLine="420"/>
        <w:jc w:val="left"/>
      </w:pPr>
      <w:r>
        <w:rPr>
          <w:rFonts w:ascii="仿宋_GB2312" w:hAnsi="仿宋_GB2312" w:cs="仿宋_GB2312" w:eastAsia="仿宋_GB2312"/>
          <w:sz w:val="24"/>
          <w:color w:val="000000"/>
          <w:shd w:fill="FFFFFF" w:val="clear"/>
        </w:rPr>
        <w:t>最高限价：</w:t>
      </w:r>
      <w:r>
        <w:rPr>
          <w:rFonts w:ascii="仿宋_GB2312" w:hAnsi="仿宋_GB2312" w:cs="仿宋_GB2312" w:eastAsia="仿宋_GB2312"/>
          <w:sz w:val="24"/>
          <w:color w:val="000000"/>
          <w:shd w:fill="FFFFFF" w:val="clear"/>
        </w:rPr>
        <w:t>253</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5397</w:t>
      </w:r>
      <w:r>
        <w:rPr>
          <w:rFonts w:ascii="仿宋_GB2312" w:hAnsi="仿宋_GB2312" w:cs="仿宋_GB2312" w:eastAsia="仿宋_GB2312"/>
          <w:sz w:val="24"/>
          <w:color w:val="000000"/>
          <w:shd w:fill="FFFFFF" w:val="clear"/>
        </w:rPr>
        <w:t>万元。</w:t>
      </w:r>
    </w:p>
    <w:p>
      <w:pPr>
        <w:pStyle w:val="null3"/>
        <w:ind w:firstLine="420"/>
        <w:jc w:val="left"/>
      </w:pPr>
      <w:r>
        <w:rPr>
          <w:rFonts w:ascii="仿宋_GB2312" w:hAnsi="仿宋_GB2312" w:cs="仿宋_GB2312" w:eastAsia="仿宋_GB2312"/>
          <w:sz w:val="24"/>
          <w:color w:val="000000"/>
          <w:shd w:fill="FFFFFF" w:val="clear"/>
        </w:rPr>
        <w:t>采购需求：设备一批、详见招标文件采购需求清单</w:t>
      </w:r>
    </w:p>
    <w:p>
      <w:pPr>
        <w:pStyle w:val="null3"/>
        <w:ind w:firstLine="420"/>
        <w:jc w:val="left"/>
      </w:pPr>
      <w:r>
        <w:rPr>
          <w:rFonts w:ascii="仿宋_GB2312" w:hAnsi="仿宋_GB2312" w:cs="仿宋_GB2312" w:eastAsia="仿宋_GB2312"/>
          <w:sz w:val="24"/>
          <w:color w:val="000000"/>
          <w:shd w:fill="FFFFFF" w:val="clear"/>
        </w:rPr>
        <w:t>合同履行期限</w:t>
      </w:r>
      <w:r>
        <w:rPr>
          <w:rFonts w:ascii="仿宋_GB2312" w:hAnsi="仿宋_GB2312" w:cs="仿宋_GB2312" w:eastAsia="仿宋_GB2312"/>
          <w:sz w:val="24"/>
          <w:color w:val="000000"/>
          <w:shd w:fill="FFFFFF" w:val="clear"/>
        </w:rPr>
        <w:t>(交付时间)：自合同签订之日起</w:t>
      </w:r>
      <w:r>
        <w:rPr>
          <w:rFonts w:ascii="仿宋_GB2312" w:hAnsi="仿宋_GB2312" w:cs="仿宋_GB2312" w:eastAsia="仿宋_GB2312"/>
          <w:sz w:val="24"/>
          <w:color w:val="000000"/>
          <w:shd w:fill="FFFFFF" w:val="clear"/>
        </w:rPr>
        <w:t>45</w:t>
      </w:r>
      <w:r>
        <w:rPr>
          <w:rFonts w:ascii="仿宋_GB2312" w:hAnsi="仿宋_GB2312" w:cs="仿宋_GB2312" w:eastAsia="仿宋_GB2312"/>
          <w:sz w:val="24"/>
          <w:color w:val="000000"/>
          <w:shd w:fill="FFFFFF" w:val="clear"/>
        </w:rPr>
        <w:t>天内完成供货及安装调试。</w:t>
      </w:r>
    </w:p>
    <w:p>
      <w:pPr>
        <w:pStyle w:val="null3"/>
        <w:ind w:firstLine="420"/>
        <w:jc w:val="left"/>
      </w:pP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交付地点：采购人指定地点</w:t>
      </w:r>
    </w:p>
    <w:p>
      <w:pPr>
        <w:pStyle w:val="null3"/>
        <w:ind w:firstLine="420"/>
        <w:jc w:val="left"/>
      </w:pPr>
      <w:r>
        <w:rPr>
          <w:rFonts w:ascii="仿宋_GB2312" w:hAnsi="仿宋_GB2312" w:cs="仿宋_GB2312" w:eastAsia="仿宋_GB2312"/>
          <w:sz w:val="24"/>
          <w:color w:val="000000"/>
          <w:shd w:fill="FFFFFF" w:val="clear"/>
        </w:rPr>
        <w:t>核心产品：</w:t>
      </w:r>
      <w:r>
        <w:rPr>
          <w:rFonts w:ascii="仿宋_GB2312" w:hAnsi="仿宋_GB2312" w:cs="仿宋_GB2312" w:eastAsia="仿宋_GB2312"/>
          <w:sz w:val="24"/>
          <w:color w:val="000000"/>
          <w:shd w:fill="FFFFFF" w:val="clear"/>
        </w:rPr>
        <w:t>1.数据集成平台、2.全国职业教育智慧大脑院校中台对接系统</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2,535,397.00</w:t>
      </w:r>
    </w:p>
    <w:p>
      <w:pPr>
        <w:pStyle w:val="null3"/>
        <w:jc w:val="left"/>
      </w:pPr>
      <w:r>
        <w:rPr>
          <w:rFonts w:ascii="仿宋_GB2312" w:hAnsi="仿宋_GB2312" w:cs="仿宋_GB2312" w:eastAsia="仿宋_GB2312"/>
        </w:rPr>
        <w:t>采购包最高限价（元）: 2,535,397.00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A02019900-其他信息化设备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2,535,397.00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A02019900-其他信息化设备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2,535,397.00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标的名称：A02019900-其他信息化设备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详见附件技术和服务要求，以附件中技术参数为准。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color w:val="000000"/>
              </w:rPr>
              <w:t>一、设备的安装调试、试运行和验收标准要求</w:t>
            </w:r>
          </w:p>
          <w:p>
            <w:pPr>
              <w:pStyle w:val="null3"/>
              <w:jc w:val="left"/>
            </w:pPr>
            <w:r>
              <w:rPr>
                <w:rFonts w:ascii="仿宋_GB2312" w:hAnsi="仿宋_GB2312" w:cs="仿宋_GB2312" w:eastAsia="仿宋_GB2312"/>
                <w:sz w:val="24"/>
                <w:color w:val="000000"/>
              </w:rPr>
              <w:t>1.1本项目为交付设备承包项目，成交供应商承包及负责招标文件对中标供应商要求的一切事宜及责任。包括项目产品供货、配套设备提供、运输、保管、安装、调试、验收、培训及相关服务等以及投标人认为必要的其他货物、材料、工程、服务；投标人应自行增加系统正常、合法、安全运行及使用所必需但招标文件没有包含的所有设备、版权、专利等一切费用，如果供应商在成交并签署合同后，在供货、安装、调试、培训等工作中出现货物的任何遗漏，均由成交供应商免费提供，买方将不再支付任何费用。</w:t>
            </w:r>
          </w:p>
          <w:p>
            <w:pPr>
              <w:pStyle w:val="null3"/>
              <w:jc w:val="left"/>
            </w:pPr>
            <w:r>
              <w:rPr>
                <w:rFonts w:ascii="仿宋_GB2312" w:hAnsi="仿宋_GB2312" w:cs="仿宋_GB2312" w:eastAsia="仿宋_GB2312"/>
                <w:sz w:val="24"/>
                <w:color w:val="000000"/>
              </w:rPr>
              <w:t>1.2成交采购设备到达目的地，经安装、调试、技术培训后，成交供应商向业主提请设备验收。业主在接到投标人通知的5天内派人按《海南省政府采购履约验收管理暂行办法》（琼财采规【2023】16号）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响应文件一致或在采购文件允许的范围内并符合响应的国家或行业标准以及符合用户的使用要求。如有损坏、缺件、翻新等情况，应按款额赔偿。</w:t>
            </w:r>
          </w:p>
          <w:p>
            <w:pPr>
              <w:pStyle w:val="null3"/>
              <w:jc w:val="left"/>
            </w:pPr>
            <w:r>
              <w:rPr>
                <w:rFonts w:ascii="仿宋_GB2312" w:hAnsi="仿宋_GB2312" w:cs="仿宋_GB2312" w:eastAsia="仿宋_GB2312"/>
                <w:sz w:val="24"/>
                <w:color w:val="000000"/>
              </w:rPr>
              <w:t>1.3所有产品经安装、调试、技术培训、验收合格后，双方在《海南省政府集中采购货物验收单》一式四份书面签字（盖章）验收。</w:t>
            </w:r>
          </w:p>
          <w:p>
            <w:pPr>
              <w:pStyle w:val="null3"/>
              <w:jc w:val="left"/>
            </w:pPr>
            <w:r>
              <w:rPr>
                <w:rFonts w:ascii="仿宋_GB2312" w:hAnsi="仿宋_GB2312" w:cs="仿宋_GB2312" w:eastAsia="仿宋_GB2312"/>
                <w:sz w:val="24"/>
                <w:color w:val="000000"/>
              </w:rPr>
              <w:t>二、技术资料</w:t>
            </w:r>
          </w:p>
          <w:p>
            <w:pPr>
              <w:pStyle w:val="null3"/>
              <w:jc w:val="left"/>
            </w:pPr>
            <w:r>
              <w:rPr>
                <w:rFonts w:ascii="仿宋_GB2312" w:hAnsi="仿宋_GB2312" w:cs="仿宋_GB2312" w:eastAsia="仿宋_GB2312"/>
                <w:sz w:val="24"/>
                <w:color w:val="000000"/>
              </w:rPr>
              <w:t>供应商应保证所提交给招标人和招标代理机构的资料和数据是真实的，因提交的资料和数据不真实所引起的责任由投标人自行承担。</w:t>
            </w:r>
          </w:p>
          <w:p>
            <w:pPr>
              <w:pStyle w:val="null3"/>
              <w:jc w:val="left"/>
            </w:pPr>
            <w:r>
              <w:rPr>
                <w:rFonts w:ascii="仿宋_GB2312" w:hAnsi="仿宋_GB2312" w:cs="仿宋_GB2312" w:eastAsia="仿宋_GB2312"/>
                <w:sz w:val="24"/>
                <w:color w:val="000000"/>
              </w:rPr>
              <w:t>三、工具</w:t>
            </w:r>
          </w:p>
          <w:p>
            <w:pPr>
              <w:pStyle w:val="null3"/>
              <w:jc w:val="left"/>
            </w:pPr>
            <w:r>
              <w:rPr>
                <w:rFonts w:ascii="仿宋_GB2312" w:hAnsi="仿宋_GB2312" w:cs="仿宋_GB2312" w:eastAsia="仿宋_GB2312"/>
                <w:sz w:val="24"/>
                <w:color w:val="000000"/>
              </w:rPr>
              <w:t>供应商提供产品设备所带专用工具清单，并标明其种类、用途和生产厂，并在货物到货时同时提供给业主，此价格应包含在投标价中。</w:t>
            </w:r>
          </w:p>
          <w:p>
            <w:pPr>
              <w:pStyle w:val="null3"/>
              <w:jc w:val="left"/>
            </w:pPr>
            <w:r>
              <w:rPr>
                <w:rFonts w:ascii="仿宋_GB2312" w:hAnsi="仿宋_GB2312" w:cs="仿宋_GB2312" w:eastAsia="仿宋_GB2312"/>
                <w:sz w:val="24"/>
                <w:color w:val="000000"/>
              </w:rPr>
              <w:t>四、备件</w:t>
            </w:r>
          </w:p>
          <w:p>
            <w:pPr>
              <w:pStyle w:val="null3"/>
              <w:jc w:val="left"/>
            </w:pPr>
            <w:r>
              <w:rPr>
                <w:rFonts w:ascii="仿宋_GB2312" w:hAnsi="仿宋_GB2312" w:cs="仿宋_GB2312" w:eastAsia="仿宋_GB2312"/>
                <w:sz w:val="24"/>
                <w:color w:val="000000"/>
              </w:rPr>
              <w:t>供应商可提供一个在正常情况使用下，保质期满后一年内可保证仪器设备正常使用的备件和材料清单，并标明其种类、生产厂、单价和总价，业主有权决定全部或有选择的购买。</w:t>
            </w:r>
          </w:p>
          <w:p>
            <w:pPr>
              <w:pStyle w:val="null3"/>
              <w:jc w:val="left"/>
            </w:pPr>
            <w:r>
              <w:rPr>
                <w:rFonts w:ascii="仿宋_GB2312" w:hAnsi="仿宋_GB2312" w:cs="仿宋_GB2312" w:eastAsia="仿宋_GB2312"/>
                <w:sz w:val="24"/>
                <w:color w:val="000000"/>
              </w:rPr>
              <w:t>五、易损件</w:t>
            </w:r>
          </w:p>
          <w:p>
            <w:pPr>
              <w:pStyle w:val="null3"/>
              <w:jc w:val="left"/>
            </w:pPr>
            <w:r>
              <w:rPr>
                <w:rFonts w:ascii="仿宋_GB2312" w:hAnsi="仿宋_GB2312" w:cs="仿宋_GB2312" w:eastAsia="仿宋_GB2312"/>
                <w:sz w:val="24"/>
                <w:color w:val="000000"/>
              </w:rPr>
              <w:t>供应商可提供一个易损、易耗件清单，并标明用途、生产厂、常规使用寿命和单价。</w:t>
            </w:r>
          </w:p>
          <w:p>
            <w:pPr>
              <w:pStyle w:val="null3"/>
              <w:jc w:val="left"/>
            </w:pPr>
            <w:r>
              <w:rPr>
                <w:rFonts w:ascii="仿宋_GB2312" w:hAnsi="仿宋_GB2312" w:cs="仿宋_GB2312" w:eastAsia="仿宋_GB2312"/>
                <w:sz w:val="24"/>
                <w:color w:val="000000"/>
              </w:rPr>
              <w:t>六、质量保质期</w:t>
            </w:r>
          </w:p>
          <w:p>
            <w:pPr>
              <w:pStyle w:val="null3"/>
              <w:jc w:val="left"/>
            </w:pPr>
            <w:r>
              <w:rPr>
                <w:rFonts w:ascii="仿宋_GB2312" w:hAnsi="仿宋_GB2312" w:cs="仿宋_GB2312" w:eastAsia="仿宋_GB2312"/>
                <w:sz w:val="24"/>
                <w:color w:val="000000"/>
              </w:rPr>
              <w:t>设备不得低于</w:t>
            </w:r>
            <w:r>
              <w:rPr>
                <w:rFonts w:ascii="仿宋_GB2312" w:hAnsi="仿宋_GB2312" w:cs="仿宋_GB2312" w:eastAsia="仿宋_GB2312"/>
                <w:sz w:val="24"/>
                <w:color w:val="000000"/>
              </w:rPr>
              <w:t>1年保修（自验收合格之日起算），（采购清单中免费保修期有特殊要求的按照采购清单中的为准）。若厂家有超过期限免费保修期的按厂家方案执行。）</w:t>
            </w:r>
          </w:p>
          <w:p>
            <w:pPr>
              <w:pStyle w:val="null3"/>
              <w:jc w:val="left"/>
            </w:pPr>
            <w:r>
              <w:rPr>
                <w:rFonts w:ascii="仿宋_GB2312" w:hAnsi="仿宋_GB2312" w:cs="仿宋_GB2312" w:eastAsia="仿宋_GB2312"/>
                <w:sz w:val="24"/>
                <w:color w:val="000000"/>
              </w:rPr>
              <w:t>七、除招标文件明确外，未经业主同意，成交供应商不得以任何方式转包或分包本项目。</w:t>
            </w:r>
          </w:p>
          <w:p>
            <w:pPr>
              <w:pStyle w:val="null3"/>
              <w:jc w:val="left"/>
            </w:pPr>
            <w:r>
              <w:rPr>
                <w:rFonts w:ascii="仿宋_GB2312" w:hAnsi="仿宋_GB2312" w:cs="仿宋_GB2312" w:eastAsia="仿宋_GB2312"/>
                <w:sz w:val="24"/>
                <w:color w:val="000000"/>
              </w:rPr>
              <w:t>八、签订合同：成交供应商在收到《成交通知书》后</w:t>
            </w:r>
            <w:r>
              <w:rPr>
                <w:rFonts w:ascii="仿宋_GB2312" w:hAnsi="仿宋_GB2312" w:cs="仿宋_GB2312" w:eastAsia="仿宋_GB2312"/>
                <w:sz w:val="24"/>
                <w:color w:val="000000"/>
              </w:rPr>
              <w:t>5个工作日内与业主签订合同。</w:t>
            </w:r>
          </w:p>
          <w:p>
            <w:pPr>
              <w:pStyle w:val="null3"/>
              <w:jc w:val="left"/>
            </w:pPr>
            <w:r>
              <w:rPr>
                <w:rFonts w:ascii="仿宋_GB2312" w:hAnsi="仿宋_GB2312" w:cs="仿宋_GB2312" w:eastAsia="仿宋_GB2312"/>
                <w:sz w:val="24"/>
                <w:color w:val="000000"/>
              </w:rPr>
              <w:t>九、其它注意事项</w:t>
            </w:r>
          </w:p>
          <w:p>
            <w:pPr>
              <w:pStyle w:val="null3"/>
              <w:jc w:val="left"/>
            </w:pPr>
            <w:r>
              <w:rPr>
                <w:rFonts w:ascii="仿宋_GB2312" w:hAnsi="仿宋_GB2312" w:cs="仿宋_GB2312" w:eastAsia="仿宋_GB2312"/>
                <w:sz w:val="24"/>
                <w:color w:val="000000"/>
              </w:rPr>
              <w:t>9.1提供正常系统维护和免费提供软件系统升级</w:t>
            </w:r>
          </w:p>
          <w:p>
            <w:pPr>
              <w:pStyle w:val="null3"/>
              <w:jc w:val="left"/>
            </w:pPr>
            <w:r>
              <w:rPr>
                <w:rFonts w:ascii="仿宋_GB2312" w:hAnsi="仿宋_GB2312" w:cs="仿宋_GB2312" w:eastAsia="仿宋_GB2312"/>
                <w:sz w:val="24"/>
                <w:color w:val="000000"/>
              </w:rPr>
              <w:t>9.2中标方负责设备的安装、调试</w:t>
            </w:r>
          </w:p>
          <w:p>
            <w:pPr>
              <w:pStyle w:val="null3"/>
              <w:jc w:val="left"/>
            </w:pPr>
            <w:r>
              <w:rPr>
                <w:rFonts w:ascii="仿宋_GB2312" w:hAnsi="仿宋_GB2312" w:cs="仿宋_GB2312" w:eastAsia="仿宋_GB2312"/>
                <w:sz w:val="24"/>
                <w:color w:val="000000"/>
              </w:rPr>
              <w:t>9.3未尽事宜由双方商议解决</w:t>
            </w:r>
          </w:p>
          <w:p>
            <w:pPr>
              <w:pStyle w:val="null3"/>
              <w:jc w:val="left"/>
            </w:pPr>
            <w:r>
              <w:rPr>
                <w:rFonts w:ascii="仿宋_GB2312" w:hAnsi="仿宋_GB2312" w:cs="仿宋_GB2312" w:eastAsia="仿宋_GB2312"/>
                <w:sz w:val="24"/>
                <w:color w:val="000000"/>
              </w:rPr>
              <w:t>十、交付期及交付地点</w:t>
            </w:r>
          </w:p>
          <w:p>
            <w:pPr>
              <w:pStyle w:val="null3"/>
              <w:jc w:val="left"/>
            </w:pPr>
            <w:r>
              <w:rPr>
                <w:rFonts w:ascii="仿宋_GB2312" w:hAnsi="仿宋_GB2312" w:cs="仿宋_GB2312" w:eastAsia="仿宋_GB2312"/>
                <w:sz w:val="24"/>
                <w:color w:val="000000"/>
              </w:rPr>
              <w:t>交付期：合同签订之日起</w:t>
            </w:r>
            <w:r>
              <w:rPr>
                <w:rFonts w:ascii="仿宋_GB2312" w:hAnsi="仿宋_GB2312" w:cs="仿宋_GB2312" w:eastAsia="仿宋_GB2312"/>
                <w:sz w:val="24"/>
                <w:color w:val="000000"/>
              </w:rPr>
              <w:t>45天内须完成全部供货（成交人所投的全部货物和服务等）及安装调试；若在合同签订之日起45天内成交供应商未按合同要求完成全部供货及安装调试，采购人有权单方面终止与中标人签订的采购合同，并将成交供应商违约信息录入政府采购信用评价系统，扣除全部履约保证金，同时抄送省级行政主管部门，一切后果由中标人负责。</w:t>
            </w:r>
          </w:p>
          <w:p>
            <w:pPr>
              <w:pStyle w:val="null3"/>
              <w:jc w:val="left"/>
            </w:pPr>
            <w:r>
              <w:rPr>
                <w:rFonts w:ascii="仿宋_GB2312" w:hAnsi="仿宋_GB2312" w:cs="仿宋_GB2312" w:eastAsia="仿宋_GB2312"/>
                <w:sz w:val="24"/>
                <w:color w:val="000000"/>
              </w:rPr>
              <w:t>十一、交付地点：海南省内采购人指定地点。</w:t>
            </w:r>
          </w:p>
          <w:p>
            <w:pPr>
              <w:pStyle w:val="null3"/>
              <w:jc w:val="left"/>
            </w:pPr>
            <w:r>
              <w:rPr>
                <w:rFonts w:ascii="仿宋_GB2312" w:hAnsi="仿宋_GB2312" w:cs="仿宋_GB2312" w:eastAsia="仿宋_GB2312"/>
                <w:sz w:val="24"/>
                <w:color w:val="000000"/>
              </w:rPr>
              <w:t>供应商必须根据所投产品或服务的技术参数、资质资料编写响应文件。在成交结果公示期间，采购人有权要求成交候选人提供所投产品或服务的参数的证明材料原件及所投产品样机设备等进行核查，如发现与其响应文件中的描述不一致，代理机构将报政府采购主管部门严肃处理，同时废除中标资格，给采购人造成损失的，还必须进行赔偿并承担相关责任。</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承诺函 自觉抵制政府采购领域商业贿赂行为承诺书</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承诺函 中小企业声明函 残疾人福利性单位声明函 法定代表人资格证明书或法定代表人授权委托书 监狱企业的证明文件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承诺函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不能满足带“▲”号招标要求的每项扣1.5分，标注▲的技术参数总扣分超过24分（含）的，已严重偏离采购目标，本项设备技术性能及参数记为0分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不能满足未带“▲”号招标要求的每项扣0.05分，未带▲的技术参数扣分超过16分（含）的，已严重偏离采购目标，本项设备技术性能及参数记为0分。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投标人资质</w:t>
            </w:r>
          </w:p>
        </w:tc>
        <w:tc>
          <w:tcPr>
            <w:tcW w:type="dxa" w:w="2492"/>
          </w:tcPr>
          <w:p>
            <w:pPr>
              <w:pStyle w:val="null3"/>
              <w:jc w:val="left"/>
            </w:pPr>
            <w:r>
              <w:rPr>
                <w:rFonts w:ascii="仿宋_GB2312" w:hAnsi="仿宋_GB2312" w:cs="仿宋_GB2312" w:eastAsia="仿宋_GB2312"/>
              </w:rPr>
              <w:t>具有中国展览馆协会颁发的展览工程企业水平证书：壹级得2分，贰级得1分 具有中国多媒体工程系统集成资质证书：壹级得2分，贰级得1分 具有ISO9001质量管理体系认证证书（2分） 具有ISO14001环境管理体系认证证书（2分） （需提供资质证书复印件加盖投标人公章）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业绩案例</w:t>
            </w:r>
          </w:p>
        </w:tc>
        <w:tc>
          <w:tcPr>
            <w:tcW w:type="dxa" w:w="2492"/>
          </w:tcPr>
          <w:p>
            <w:pPr>
              <w:pStyle w:val="null3"/>
              <w:jc w:val="left"/>
            </w:pPr>
            <w:r>
              <w:rPr>
                <w:rFonts w:ascii="仿宋_GB2312" w:hAnsi="仿宋_GB2312" w:cs="仿宋_GB2312" w:eastAsia="仿宋_GB2312"/>
              </w:rPr>
              <w:t>投标人须提供自2022年至今（以合同签署日期为准）类似项目业绩，按每提供一个有效业绩得1分，满分3分，以提供盖章的项目合同复印件为准。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设计方案</w:t>
            </w:r>
          </w:p>
        </w:tc>
        <w:tc>
          <w:tcPr>
            <w:tcW w:type="dxa" w:w="2492"/>
          </w:tcPr>
          <w:p>
            <w:pPr>
              <w:pStyle w:val="null3"/>
              <w:jc w:val="left"/>
            </w:pPr>
            <w:r>
              <w:rPr>
                <w:rFonts w:ascii="仿宋_GB2312" w:hAnsi="仿宋_GB2312" w:cs="仿宋_GB2312" w:eastAsia="仿宋_GB2312"/>
              </w:rPr>
              <w:t>根据投标人提交的设计方案进行综合评分，内容包含但不仅限于：（1）对海南省财税学校历史沿革、文化精神、办学特色和展厅实用性的理解深度与策展主题提炼的准确性。（2）对校史馆定位（教育性、文化性、功能性、展示性）与学校发展战略契合度的阐述。（3）对现有场地条件（空间、结构、环境）的动线规划及提出的针对性、创新性平面布局优化策略。（4）展陈大纲与叙事逻辑：结构严谨性、主题鲜明度（突出财税行业属性和学院展厅的实际功能应用）。（5）展陈逻辑清晰度、章节合理性、重点突出性。（6）展陈形式设计与艺术化表现力：核心创意表现，设计风格与学院文化/财税特色的契合度、空间布局与动线规划的合理性及创新性。（7）艺术表现力与视觉冲击力、由学院自身区位和教学特点转译出的设计形式的特色感，墙面展示内容版式设计、灯光色彩材质运用的专业性与协调性、重点展项（如序厅、数字调度中心、财税特色展区）的设计深度。（8）智慧化系统（导览、管理、互动）形式。（9）方案与校史馆需求的契合度、技术的先进性与成熟度、用户体验设计。（10）数字化内容（如珍贵史料数字化、多媒体互动内容）的创意性、与展线内容的融合度。数字资源长期保存与管理方案的合理性。 投标人提交完整的项目设计方案得10分，每缺少一项内容扣1分，扣完为止；设计方案内容每存在一处缺陷（缺陷是指方案内容不符合项目实际要求、描述不详细、缺乏针对性、缺乏可操作性、不合理、相关标准引用错误、前后相互矛盾、存在无法实现预期目标的风险等）扣0.5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根据投标人提交的项目实施方案进行综合评分，内容包含但不仅限于：（1）实施计划；（2）实施人员职责分工（投标单位为服务成员缴纳社保证明等信息，不提供不得分）；（3）质量控制；（4）验收方案。投标人提交完整的项目实施方案得4分，每缺少一项内容扣1分，扣完为止；项目实施方案内容存在一处缺陷（缺陷是指方案内容不符合项目实际要求、描述不详细、缺乏针对性、缺乏可操作性、不合理、相关标准引用错误、前后相互矛盾、存在无法实现预期目标的风险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售后服务</w:t>
            </w:r>
          </w:p>
        </w:tc>
        <w:tc>
          <w:tcPr>
            <w:tcW w:type="dxa" w:w="2492"/>
          </w:tcPr>
          <w:p>
            <w:pPr>
              <w:pStyle w:val="null3"/>
              <w:jc w:val="left"/>
            </w:pPr>
            <w:r>
              <w:rPr>
                <w:rFonts w:ascii="仿宋_GB2312" w:hAnsi="仿宋_GB2312" w:cs="仿宋_GB2312" w:eastAsia="仿宋_GB2312"/>
              </w:rPr>
              <w:t>1.自采购人验收通过之日起，供应商对所提供的基础装修提供至少2年免费维护；电子设备类（电脑类含主机和显示器）提供至少 2年免费上门检测、维修、保养，确保货物和设施能正常使用，满足以上条款得1分 2.供应商提供7×24小时热线在线技术支持服务，一般故障通过在线技术支持1小时内远程解决，如故障不能解决或排除的，应在2 小时内提供现场服务，待设备运行正常后撤离现场，满足以上条款得1分。 3.质保期限内供应商每个月安排技术人员上门巡检，并出具完整的技术巡检服务报告，满足以上条款得1分。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培训方案</w:t>
            </w:r>
          </w:p>
        </w:tc>
        <w:tc>
          <w:tcPr>
            <w:tcW w:type="dxa" w:w="2492"/>
          </w:tcPr>
          <w:p>
            <w:pPr>
              <w:pStyle w:val="null3"/>
              <w:jc w:val="left"/>
            </w:pPr>
            <w:r>
              <w:rPr>
                <w:rFonts w:ascii="仿宋_GB2312" w:hAnsi="仿宋_GB2312" w:cs="仿宋_GB2312" w:eastAsia="仿宋_GB2312"/>
              </w:rPr>
              <w:t>根据投标人提交的培训方案进行综合评分，内容包含但不仅限于：（1）培训原则；（2）培训计划。投标人提交完整的培训方案得2分，每缺少一项内容扣1分，扣完为止；培训方案内容存在一处缺陷（缺陷是指方案内容不符合项目实际要求、描述不详细、缺乏针对性、缺乏可操作性、不合理、相关标准引用错误、前后相互矛盾、存在无法实现预期目标的风险等）扣0.5分，扣完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HNJY2025-21-5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海南省财税学校数字校史馆及虚拟仿真实训体验基地建设项目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海南省财税学校数字校史馆及虚拟仿真实训体验基地建设项目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A02019900-其他信息化设备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2535397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详见附件：承诺函</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