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color w:val="auto"/>
          <w:sz w:val="44"/>
          <w:szCs w:val="44"/>
          <w:highlight w:val="none"/>
          <w:lang w:eastAsia="zh-CN"/>
        </w:rPr>
        <w:sectPr>
          <w:pgSz w:w="11906" w:h="16838"/>
          <w:pgMar w:top="1440" w:right="1800" w:bottom="1440" w:left="1800" w:header="851" w:footer="992" w:gutter="0"/>
          <w:pgNumType w:fmt="decimal"/>
          <w:cols w:space="720" w:num="1"/>
          <w:docGrid w:type="lines" w:linePitch="312" w:charSpace="0"/>
        </w:sectPr>
      </w:pPr>
      <w:bookmarkStart w:id="0" w:name="_GoBack"/>
      <w:bookmarkEnd w:id="0"/>
      <w:r>
        <w:rPr>
          <w:rFonts w:hint="eastAsia" w:ascii="仿宋" w:hAnsi="仿宋" w:eastAsia="仿宋" w:cs="仿宋"/>
          <w:b/>
          <w:bCs/>
          <w:color w:val="auto"/>
          <w:sz w:val="44"/>
          <w:szCs w:val="44"/>
          <w:highlight w:val="none"/>
        </w:rPr>
        <w:t>第五章   合同文本</w:t>
      </w:r>
      <w:r>
        <w:rPr>
          <w:rFonts w:hint="eastAsia" w:ascii="仿宋" w:hAnsi="仿宋" w:eastAsia="仿宋" w:cs="仿宋"/>
          <w:b/>
          <w:bCs/>
          <w:color w:val="auto"/>
          <w:sz w:val="44"/>
          <w:szCs w:val="44"/>
          <w:highlight w:val="none"/>
          <w:lang w:eastAsia="zh-CN"/>
        </w:rPr>
        <w:t>（</w:t>
      </w:r>
      <w:r>
        <w:rPr>
          <w:rFonts w:hint="eastAsia" w:ascii="仿宋" w:hAnsi="仿宋" w:eastAsia="仿宋" w:cs="仿宋"/>
          <w:b/>
          <w:bCs/>
          <w:color w:val="auto"/>
          <w:sz w:val="44"/>
          <w:szCs w:val="44"/>
          <w:highlight w:val="none"/>
          <w:lang w:val="en-US" w:eastAsia="zh-CN"/>
        </w:rPr>
        <w:t>模版</w:t>
      </w:r>
      <w:r>
        <w:rPr>
          <w:rFonts w:hint="eastAsia" w:ascii="仿宋" w:hAnsi="仿宋" w:eastAsia="仿宋" w:cs="仿宋"/>
          <w:b/>
          <w:bCs/>
          <w:color w:val="auto"/>
          <w:sz w:val="44"/>
          <w:szCs w:val="44"/>
          <w:highlight w:val="none"/>
          <w:lang w:eastAsia="zh-CN"/>
        </w:rPr>
        <w:t>）</w:t>
      </w:r>
    </w:p>
    <w:p>
      <w:pPr>
        <w:rPr>
          <w:rFonts w:hint="eastAsia" w:ascii="仿宋" w:hAnsi="仿宋" w:eastAsia="仿宋" w:cs="仿宋"/>
          <w:color w:val="auto"/>
          <w:sz w:val="24"/>
          <w:highlight w:val="none"/>
          <w:u w:val="single"/>
        </w:rPr>
      </w:pPr>
      <w:r>
        <w:rPr>
          <w:rFonts w:hint="eastAsia" w:ascii="仿宋" w:hAnsi="仿宋" w:eastAsia="仿宋" w:cs="仿宋"/>
          <w:b/>
          <w:color w:val="auto"/>
          <w:sz w:val="30"/>
          <w:szCs w:val="30"/>
          <w:highlight w:val="none"/>
        </w:rPr>
        <w:t>合同编号：</w:t>
      </w:r>
      <w:r>
        <w:rPr>
          <w:rFonts w:hint="eastAsia" w:ascii="仿宋" w:hAnsi="仿宋" w:eastAsia="仿宋" w:cs="仿宋"/>
          <w:color w:val="auto"/>
          <w:sz w:val="24"/>
          <w:highlight w:val="none"/>
          <w:u w:val="single"/>
        </w:rPr>
        <w:t xml:space="preserve">           </w:t>
      </w:r>
    </w:p>
    <w:p>
      <w:pPr>
        <w:spacing w:line="360" w:lineRule="auto"/>
        <w:jc w:val="left"/>
        <w:rPr>
          <w:rFonts w:hint="eastAsia" w:ascii="仿宋" w:hAnsi="仿宋" w:eastAsia="仿宋" w:cs="仿宋"/>
          <w:b/>
          <w:color w:val="auto"/>
          <w:sz w:val="30"/>
          <w:szCs w:val="30"/>
          <w:highlight w:val="none"/>
        </w:rPr>
      </w:pPr>
    </w:p>
    <w:p>
      <w:pPr>
        <w:spacing w:line="360" w:lineRule="auto"/>
        <w:ind w:right="40" w:firstLine="4350" w:firstLineChars="1450"/>
        <w:jc w:val="left"/>
        <w:rPr>
          <w:rFonts w:hint="eastAsia" w:ascii="仿宋" w:hAnsi="仿宋" w:eastAsia="仿宋" w:cs="仿宋"/>
          <w:color w:val="auto"/>
          <w:sz w:val="30"/>
          <w:szCs w:val="30"/>
          <w:highlight w:val="none"/>
        </w:rPr>
      </w:pPr>
    </w:p>
    <w:p>
      <w:pPr>
        <w:spacing w:line="360" w:lineRule="auto"/>
        <w:ind w:right="40" w:firstLine="4350" w:firstLineChars="1450"/>
        <w:jc w:val="left"/>
        <w:rPr>
          <w:rFonts w:hint="eastAsia" w:ascii="仿宋" w:hAnsi="仿宋" w:eastAsia="仿宋" w:cs="仿宋"/>
          <w:color w:val="auto"/>
          <w:sz w:val="30"/>
          <w:szCs w:val="30"/>
          <w:highlight w:val="none"/>
        </w:rPr>
      </w:pPr>
    </w:p>
    <w:p>
      <w:pPr>
        <w:spacing w:line="360" w:lineRule="auto"/>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海南省政府采购项目</w:t>
      </w:r>
    </w:p>
    <w:p>
      <w:pPr>
        <w:spacing w:line="360" w:lineRule="auto"/>
        <w:rPr>
          <w:rFonts w:hint="eastAsia" w:ascii="仿宋" w:hAnsi="仿宋" w:eastAsia="仿宋" w:cs="仿宋"/>
          <w:b/>
          <w:color w:val="auto"/>
          <w:sz w:val="30"/>
          <w:szCs w:val="30"/>
          <w:highlight w:val="none"/>
        </w:rPr>
      </w:pPr>
    </w:p>
    <w:p>
      <w:pPr>
        <w:spacing w:line="360" w:lineRule="auto"/>
        <w:jc w:val="center"/>
        <w:rPr>
          <w:rFonts w:hint="eastAsia" w:ascii="仿宋" w:hAnsi="仿宋" w:eastAsia="仿宋" w:cs="仿宋"/>
          <w:b/>
          <w:color w:val="auto"/>
          <w:sz w:val="110"/>
          <w:szCs w:val="110"/>
          <w:highlight w:val="none"/>
        </w:rPr>
      </w:pPr>
      <w:r>
        <w:rPr>
          <w:rFonts w:hint="eastAsia" w:ascii="仿宋" w:hAnsi="仿宋" w:eastAsia="仿宋" w:cs="仿宋"/>
          <w:b/>
          <w:color w:val="auto"/>
          <w:sz w:val="110"/>
          <w:szCs w:val="110"/>
          <w:highlight w:val="none"/>
        </w:rPr>
        <w:t xml:space="preserve">合 </w:t>
      </w: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110"/>
          <w:szCs w:val="110"/>
          <w:highlight w:val="none"/>
        </w:rPr>
        <w:t xml:space="preserve">同 </w:t>
      </w: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110"/>
          <w:szCs w:val="110"/>
          <w:highlight w:val="none"/>
        </w:rPr>
        <w:t>书</w:t>
      </w:r>
    </w:p>
    <w:p>
      <w:pPr>
        <w:spacing w:line="360" w:lineRule="auto"/>
        <w:jc w:val="center"/>
        <w:rPr>
          <w:rFonts w:hint="eastAsia" w:ascii="仿宋" w:hAnsi="仿宋" w:eastAsia="仿宋" w:cs="仿宋"/>
          <w:b/>
          <w:color w:val="auto"/>
          <w:sz w:val="32"/>
          <w:szCs w:val="32"/>
          <w:highlight w:val="none"/>
        </w:rPr>
      </w:pPr>
    </w:p>
    <w:p>
      <w:pPr>
        <w:spacing w:line="360" w:lineRule="auto"/>
        <w:rPr>
          <w:rFonts w:hint="eastAsia" w:ascii="仿宋" w:hAnsi="仿宋" w:eastAsia="仿宋" w:cs="仿宋"/>
          <w:b/>
          <w:color w:val="auto"/>
          <w:sz w:val="32"/>
          <w:szCs w:val="32"/>
          <w:highlight w:val="none"/>
        </w:rPr>
      </w:pP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仿宋" w:hAnsi="仿宋" w:eastAsia="仿宋" w:cs="仿宋"/>
          <w:b/>
          <w:color w:val="auto"/>
          <w:sz w:val="32"/>
          <w:szCs w:val="32"/>
          <w:highlight w:val="none"/>
        </w:rPr>
      </w:pP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仿宋" w:hAnsi="仿宋" w:eastAsia="仿宋" w:cs="仿宋"/>
          <w:b/>
          <w:color w:val="auto"/>
          <w:sz w:val="32"/>
          <w:szCs w:val="32"/>
          <w:highlight w:val="none"/>
        </w:rPr>
      </w:pP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项目名称：</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 xml:space="preserve"> </w:t>
      </w: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项目编号：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 xml:space="preserve"> </w:t>
      </w: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甲    方：</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 xml:space="preserve">  </w:t>
      </w: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乙    方：</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 xml:space="preserve"> </w:t>
      </w: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签订日期：</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年</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 xml:space="preserve"> 月</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日</w:t>
      </w:r>
    </w:p>
    <w:p>
      <w:pPr>
        <w:pStyle w:val="3"/>
        <w:rPr>
          <w:rFonts w:ascii="仿宋" w:hAnsi="仿宋" w:eastAsia="仿宋" w:cs="仿宋"/>
          <w:color w:val="auto"/>
          <w:highlight w:val="none"/>
        </w:rPr>
      </w:pPr>
    </w:p>
    <w:p>
      <w:pPr>
        <w:spacing w:line="360" w:lineRule="auto"/>
        <w:ind w:firstLine="1285" w:firstLineChars="400"/>
        <w:rPr>
          <w:rFonts w:hint="eastAsia" w:ascii="仿宋" w:hAnsi="仿宋" w:eastAsia="仿宋" w:cs="仿宋"/>
          <w:b/>
          <w:color w:val="auto"/>
          <w:sz w:val="32"/>
          <w:szCs w:val="32"/>
          <w:highlight w:val="none"/>
        </w:rPr>
      </w:pPr>
    </w:p>
    <w:p>
      <w:pPr>
        <w:spacing w:line="360" w:lineRule="auto"/>
        <w:jc w:val="center"/>
        <w:rPr>
          <w:rFonts w:hint="eastAsia" w:ascii="仿宋" w:hAnsi="仿宋" w:eastAsia="仿宋" w:cs="仿宋"/>
          <w:b/>
          <w:color w:val="auto"/>
          <w:sz w:val="32"/>
          <w:szCs w:val="32"/>
          <w:highlight w:val="none"/>
        </w:rPr>
        <w:sectPr>
          <w:footerReference r:id="rId4" w:type="first"/>
          <w:footerReference r:id="rId3" w:type="default"/>
          <w:pgSz w:w="11907" w:h="16840"/>
          <w:pgMar w:top="1440" w:right="1077" w:bottom="1440" w:left="1247" w:header="936" w:footer="992" w:gutter="0"/>
          <w:pgNumType w:fmt="decimal"/>
          <w:cols w:space="720" w:num="1"/>
          <w:titlePg/>
          <w:docGrid w:linePitch="312" w:charSpace="0"/>
        </w:sectPr>
      </w:pPr>
    </w:p>
    <w:p>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合同专用条款</w:t>
      </w:r>
    </w:p>
    <w:p>
      <w:pPr>
        <w:spacing w:line="360" w:lineRule="auto"/>
        <w:jc w:val="center"/>
        <w:rPr>
          <w:rFonts w:hint="eastAsia" w:ascii="仿宋" w:hAnsi="仿宋" w:eastAsia="仿宋" w:cs="仿宋"/>
          <w:b/>
          <w:color w:val="auto"/>
          <w:sz w:val="32"/>
          <w:szCs w:val="32"/>
          <w:highlight w:val="none"/>
        </w:rPr>
      </w:pPr>
    </w:p>
    <w:p>
      <w:pPr>
        <w:spacing w:line="360" w:lineRule="auto"/>
        <w:ind w:firstLine="560" w:firstLineChars="200"/>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4"/>
          <w:highlight w:val="none"/>
          <w:u w:val="single"/>
        </w:rPr>
        <w:t xml:space="preserve">（采购人名称）   </w:t>
      </w:r>
      <w:r>
        <w:rPr>
          <w:rFonts w:hint="eastAsia" w:ascii="仿宋" w:hAnsi="仿宋" w:eastAsia="仿宋" w:cs="仿宋"/>
          <w:color w:val="auto"/>
          <w:sz w:val="24"/>
          <w:highlight w:val="none"/>
        </w:rPr>
        <w:t xml:space="preserve">以 </w:t>
      </w:r>
      <w:r>
        <w:rPr>
          <w:rFonts w:hint="eastAsia" w:ascii="仿宋" w:hAnsi="仿宋" w:eastAsia="仿宋" w:cs="仿宋"/>
          <w:color w:val="auto"/>
          <w:sz w:val="24"/>
          <w:highlight w:val="none"/>
          <w:u w:val="single"/>
        </w:rPr>
        <w:t xml:space="preserve">  （政府采购方式）  </w:t>
      </w:r>
      <w:r>
        <w:rPr>
          <w:rFonts w:hint="eastAsia" w:ascii="仿宋" w:hAnsi="仿宋" w:eastAsia="仿宋" w:cs="仿宋"/>
          <w:color w:val="auto"/>
          <w:sz w:val="24"/>
          <w:highlight w:val="none"/>
        </w:rPr>
        <w:t xml:space="preserve">对 </w:t>
      </w:r>
      <w:r>
        <w:rPr>
          <w:rFonts w:hint="eastAsia" w:ascii="仿宋" w:hAnsi="仿宋" w:eastAsia="仿宋" w:cs="仿宋"/>
          <w:color w:val="auto"/>
          <w:sz w:val="24"/>
          <w:highlight w:val="none"/>
          <w:u w:val="single"/>
        </w:rPr>
        <w:t xml:space="preserve">  （同前页项目名称）</w:t>
      </w:r>
      <w:r>
        <w:rPr>
          <w:rFonts w:hint="eastAsia" w:ascii="仿宋" w:hAnsi="仿宋" w:eastAsia="仿宋" w:cs="仿宋"/>
          <w:color w:val="auto"/>
          <w:sz w:val="24"/>
          <w:highlight w:val="none"/>
        </w:rPr>
        <w:t xml:space="preserve">   项目（项目编号：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）进行了采购，</w:t>
      </w:r>
      <w:r>
        <w:rPr>
          <w:rFonts w:hint="eastAsia" w:ascii="仿宋" w:hAnsi="仿宋" w:eastAsia="仿宋" w:cs="仿宋"/>
          <w:color w:val="auto"/>
          <w:sz w:val="24"/>
          <w:highlight w:val="none"/>
          <w:u w:val="single"/>
        </w:rPr>
        <w:t xml:space="preserve">   （中标供应商名称）</w:t>
      </w:r>
      <w:r>
        <w:rPr>
          <w:rFonts w:hint="eastAsia" w:ascii="仿宋" w:hAnsi="仿宋" w:eastAsia="仿宋" w:cs="仿宋"/>
          <w:color w:val="auto"/>
          <w:sz w:val="24"/>
          <w:highlight w:val="none"/>
        </w:rPr>
        <w:t>为该项目中标供应商。</w:t>
      </w:r>
    </w:p>
    <w:p>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（采购人名称）  </w:t>
      </w:r>
      <w:r>
        <w:rPr>
          <w:rFonts w:hint="eastAsia" w:ascii="仿宋" w:hAnsi="仿宋" w:eastAsia="仿宋" w:cs="仿宋"/>
          <w:color w:val="auto"/>
          <w:sz w:val="24"/>
          <w:highlight w:val="none"/>
          <w:lang w:val="zh-CN"/>
        </w:rPr>
        <w:t>(以下简称：甲方)</w:t>
      </w:r>
      <w:r>
        <w:rPr>
          <w:rFonts w:hint="eastAsia" w:ascii="仿宋" w:hAnsi="仿宋" w:eastAsia="仿宋" w:cs="仿宋"/>
          <w:color w:val="auto"/>
          <w:sz w:val="24"/>
          <w:highlight w:val="none"/>
        </w:rPr>
        <w:t xml:space="preserve">和 </w:t>
      </w:r>
      <w:r>
        <w:rPr>
          <w:rFonts w:hint="eastAsia" w:ascii="仿宋" w:hAnsi="仿宋" w:eastAsia="仿宋" w:cs="仿宋"/>
          <w:color w:val="auto"/>
          <w:sz w:val="24"/>
          <w:highlight w:val="none"/>
          <w:u w:val="single"/>
        </w:rPr>
        <w:t xml:space="preserve"> （中标供应商名称）   </w:t>
      </w:r>
      <w:r>
        <w:rPr>
          <w:rFonts w:hint="eastAsia" w:ascii="仿宋" w:hAnsi="仿宋" w:eastAsia="仿宋" w:cs="仿宋"/>
          <w:color w:val="auto"/>
          <w:sz w:val="24"/>
          <w:highlight w:val="none"/>
          <w:lang w:val="zh-CN"/>
        </w:rPr>
        <w:t>(以下简称：乙方)</w:t>
      </w:r>
      <w:r>
        <w:rPr>
          <w:rFonts w:hint="eastAsia" w:ascii="仿宋" w:hAnsi="仿宋" w:eastAsia="仿宋" w:cs="仿宋"/>
          <w:color w:val="auto"/>
          <w:sz w:val="24"/>
          <w:highlight w:val="none"/>
        </w:rPr>
        <w:t>根据《中华人民共和国民法典》、</w:t>
      </w:r>
      <w:r>
        <w:rPr>
          <w:rFonts w:hint="eastAsia" w:ascii="仿宋" w:hAnsi="仿宋" w:eastAsia="仿宋" w:cs="仿宋"/>
          <w:color w:val="auto"/>
          <w:sz w:val="24"/>
          <w:highlight w:val="none"/>
          <w:lang w:val="zh-CN"/>
        </w:rPr>
        <w:t>《中华人民共和国政府采购法》等相</w:t>
      </w:r>
      <w:r>
        <w:rPr>
          <w:rFonts w:hint="eastAsia" w:ascii="仿宋" w:hAnsi="仿宋" w:eastAsia="仿宋" w:cs="仿宋"/>
          <w:color w:val="auto"/>
          <w:sz w:val="24"/>
          <w:highlight w:val="none"/>
        </w:rPr>
        <w:t>关法律法规，遵循平等、自愿、公平和诚实信用原则，同意按照下面的条款和条件订立本政府采购合同，共同信守。</w:t>
      </w:r>
    </w:p>
    <w:p>
      <w:pPr>
        <w:spacing w:before="120" w:beforeLines="50" w:line="360" w:lineRule="auto"/>
        <w:ind w:firstLine="481"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一、政府采购合同文件</w:t>
      </w:r>
    </w:p>
    <w:p>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本政府采购合同所附下列文件是构成本政府采购合同不可分割的部分：</w:t>
      </w:r>
    </w:p>
    <w:p>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1.招标文件（含澄清或者修改文件）；</w:t>
      </w:r>
    </w:p>
    <w:p>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2.招标文件的更正公告、变更公告；</w:t>
      </w:r>
    </w:p>
    <w:p>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3.乙方提交的投标文件（含澄清或者说明文件）；</w:t>
      </w:r>
    </w:p>
    <w:p>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4.政府采购合同条款；</w:t>
      </w:r>
    </w:p>
    <w:p>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5.中标通知书；</w:t>
      </w:r>
    </w:p>
    <w:p>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6.政府采购合同的</w:t>
      </w:r>
      <w:r>
        <w:rPr>
          <w:rFonts w:hint="eastAsia" w:ascii="仿宋" w:hAnsi="仿宋" w:eastAsia="仿宋" w:cs="仿宋"/>
          <w:color w:val="auto"/>
          <w:sz w:val="24"/>
          <w:highlight w:val="none"/>
          <w:lang w:eastAsia="zh-CN"/>
        </w:rPr>
        <w:t>其他</w:t>
      </w:r>
      <w:r>
        <w:rPr>
          <w:rFonts w:hint="eastAsia" w:ascii="仿宋" w:hAnsi="仿宋" w:eastAsia="仿宋" w:cs="仿宋"/>
          <w:color w:val="auto"/>
          <w:sz w:val="24"/>
          <w:highlight w:val="none"/>
        </w:rPr>
        <w:t>附件。</w:t>
      </w:r>
    </w:p>
    <w:p>
      <w:pPr>
        <w:spacing w:before="120" w:beforeLines="50" w:line="360" w:lineRule="auto"/>
        <w:ind w:firstLine="481"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二、政府采购合同范围和条件</w:t>
      </w:r>
    </w:p>
    <w:p>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本政府采购合同的范围和条件与上述政府采购合同文件的规定相一致。</w:t>
      </w:r>
    </w:p>
    <w:p>
      <w:pPr>
        <w:spacing w:before="120" w:beforeLines="50" w:line="360" w:lineRule="auto"/>
        <w:ind w:firstLine="481" w:firstLineChars="200"/>
        <w:jc w:val="left"/>
        <w:outlineLvl w:val="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三</w:t>
      </w:r>
      <w:r>
        <w:rPr>
          <w:rFonts w:hint="eastAsia" w:ascii="仿宋" w:hAnsi="仿宋" w:eastAsia="仿宋" w:cs="仿宋"/>
          <w:b/>
          <w:color w:val="auto"/>
          <w:sz w:val="24"/>
          <w:highlight w:val="none"/>
        </w:rPr>
        <w:t>、</w:t>
      </w:r>
      <w:r>
        <w:rPr>
          <w:rFonts w:hint="eastAsia" w:ascii="仿宋" w:hAnsi="仿宋" w:eastAsia="仿宋" w:cs="仿宋"/>
          <w:b/>
          <w:color w:val="auto"/>
          <w:sz w:val="24"/>
          <w:highlight w:val="none"/>
          <w:lang w:eastAsia="zh-CN"/>
        </w:rPr>
        <w:t>折扣率</w:t>
      </w:r>
    </w:p>
    <w:p>
      <w:pPr>
        <w:spacing w:line="360" w:lineRule="auto"/>
        <w:ind w:firstLine="480"/>
        <w:jc w:val="left"/>
        <w:rPr>
          <w:rFonts w:hint="eastAsia" w:ascii="仿宋" w:hAnsi="仿宋" w:eastAsia="仿宋" w:cs="仿宋"/>
          <w:b/>
          <w:bCs/>
          <w:color w:val="auto"/>
          <w:sz w:val="24"/>
          <w:highlight w:val="none"/>
          <w:lang w:eastAsia="zh-CN"/>
        </w:rPr>
      </w:pPr>
      <w:r>
        <w:rPr>
          <w:rFonts w:hint="eastAsia" w:ascii="仿宋" w:hAnsi="仿宋" w:eastAsia="仿宋" w:cs="仿宋"/>
          <w:color w:val="auto"/>
          <w:sz w:val="24"/>
          <w:highlight w:val="none"/>
        </w:rPr>
        <w:t>根据上述政府采购合同文件要求，</w:t>
      </w:r>
      <w:r>
        <w:rPr>
          <w:rFonts w:hint="eastAsia" w:ascii="仿宋" w:hAnsi="仿宋" w:eastAsia="仿宋" w:cs="仿宋"/>
          <w:color w:val="auto"/>
          <w:sz w:val="24"/>
          <w:highlight w:val="none"/>
          <w:lang w:eastAsia="zh-CN"/>
        </w:rPr>
        <w:t>本合同进行结算的采购标的分项</w:t>
      </w:r>
      <w:r>
        <w:rPr>
          <w:rFonts w:hint="eastAsia" w:ascii="仿宋" w:hAnsi="仿宋" w:eastAsia="仿宋" w:cs="仿宋"/>
          <w:b w:val="0"/>
          <w:bCs w:val="0"/>
          <w:color w:val="auto"/>
          <w:sz w:val="24"/>
          <w:highlight w:val="none"/>
          <w:lang w:eastAsia="zh-CN"/>
        </w:rPr>
        <w:t>折扣率（</w:t>
      </w:r>
      <w:r>
        <w:rPr>
          <w:rFonts w:hint="eastAsia" w:ascii="仿宋" w:hAnsi="仿宋" w:eastAsia="仿宋" w:cs="仿宋"/>
          <w:b w:val="0"/>
          <w:bCs w:val="0"/>
          <w:color w:val="auto"/>
          <w:sz w:val="24"/>
          <w:highlight w:val="none"/>
          <w:lang w:val="en-US" w:eastAsia="zh-CN"/>
        </w:rPr>
        <w:t>%</w:t>
      </w:r>
      <w:r>
        <w:rPr>
          <w:rFonts w:hint="eastAsia" w:ascii="仿宋" w:hAnsi="仿宋" w:eastAsia="仿宋" w:cs="仿宋"/>
          <w:b w:val="0"/>
          <w:bCs w:val="0"/>
          <w:color w:val="auto"/>
          <w:sz w:val="24"/>
          <w:highlight w:val="none"/>
          <w:lang w:eastAsia="zh-CN"/>
        </w:rPr>
        <w:t>）如下：</w:t>
      </w:r>
    </w:p>
    <w:tbl>
      <w:tblPr>
        <w:tblStyle w:val="8"/>
        <w:tblW w:w="791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5"/>
        <w:gridCol w:w="1949"/>
        <w:gridCol w:w="48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序号</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品类</w:t>
            </w:r>
          </w:p>
        </w:tc>
        <w:tc>
          <w:tcPr>
            <w:tcW w:w="48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color w:val="auto"/>
                <w:kern w:val="0"/>
                <w:sz w:val="24"/>
                <w:highlight w:val="none"/>
                <w:lang w:eastAsia="zh-CN" w:bidi="ar"/>
              </w:rPr>
              <w:t>分项</w:t>
            </w:r>
            <w:r>
              <w:rPr>
                <w:rFonts w:hint="eastAsia" w:ascii="仿宋" w:hAnsi="仿宋" w:eastAsia="仿宋" w:cs="仿宋"/>
                <w:color w:val="auto"/>
                <w:kern w:val="0"/>
                <w:sz w:val="24"/>
                <w:highlight w:val="none"/>
                <w:lang w:val="en-US" w:eastAsia="zh-CN" w:bidi="ar"/>
              </w:rPr>
              <w:t>折扣</w:t>
            </w:r>
            <w:r>
              <w:rPr>
                <w:rFonts w:hint="eastAsia" w:ascii="仿宋" w:hAnsi="仿宋" w:eastAsia="仿宋" w:cs="仿宋"/>
                <w:color w:val="auto"/>
                <w:kern w:val="0"/>
                <w:sz w:val="24"/>
                <w:highlight w:val="none"/>
                <w:lang w:eastAsia="zh-CN" w:bidi="ar"/>
              </w:rPr>
              <w:t>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畜禽肉类</w:t>
            </w:r>
          </w:p>
        </w:tc>
        <w:tc>
          <w:tcPr>
            <w:tcW w:w="48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bidi w:val="0"/>
              <w:snapToGrid/>
              <w:spacing w:line="360" w:lineRule="auto"/>
              <w:jc w:val="left"/>
              <w:rPr>
                <w:rFonts w:hint="eastAsia" w:ascii="仿宋" w:hAnsi="仿宋" w:eastAsia="仿宋" w:cs="仿宋"/>
                <w:i w:val="0"/>
                <w:iCs w:val="0"/>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水产品类</w:t>
            </w:r>
          </w:p>
        </w:tc>
        <w:tc>
          <w:tcPr>
            <w:tcW w:w="48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bidi w:val="0"/>
              <w:snapToGrid/>
              <w:spacing w:line="360" w:lineRule="auto"/>
              <w:jc w:val="left"/>
              <w:rPr>
                <w:rFonts w:hint="eastAsia" w:ascii="仿宋" w:hAnsi="仿宋" w:eastAsia="仿宋" w:cs="仿宋"/>
                <w:i w:val="0"/>
                <w:iCs w:val="0"/>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3</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冻品</w:t>
            </w:r>
          </w:p>
        </w:tc>
        <w:tc>
          <w:tcPr>
            <w:tcW w:w="48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bidi w:val="0"/>
              <w:snapToGrid/>
              <w:spacing w:line="360" w:lineRule="auto"/>
              <w:jc w:val="left"/>
              <w:rPr>
                <w:rFonts w:hint="eastAsia" w:ascii="仿宋" w:hAnsi="仿宋" w:eastAsia="仿宋" w:cs="仿宋"/>
                <w:i w:val="0"/>
                <w:iCs w:val="0"/>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4</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kern w:val="2"/>
                <w:sz w:val="24"/>
                <w:szCs w:val="24"/>
                <w:highlight w:val="none"/>
                <w:u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瓜果蔬菜类</w:t>
            </w:r>
          </w:p>
        </w:tc>
        <w:tc>
          <w:tcPr>
            <w:tcW w:w="48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bidi w:val="0"/>
              <w:snapToGrid/>
              <w:spacing w:line="360" w:lineRule="auto"/>
              <w:jc w:val="left"/>
              <w:rPr>
                <w:rFonts w:hint="eastAsia" w:ascii="仿宋" w:hAnsi="仿宋" w:eastAsia="仿宋" w:cs="仿宋"/>
                <w:i w:val="0"/>
                <w:iCs w:val="0"/>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5</w:t>
            </w:r>
          </w:p>
        </w:tc>
        <w:tc>
          <w:tcPr>
            <w:tcW w:w="194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bidi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主副食类</w:t>
            </w:r>
          </w:p>
        </w:tc>
        <w:tc>
          <w:tcPr>
            <w:tcW w:w="48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bidi w:val="0"/>
              <w:snapToGrid/>
              <w:spacing w:line="360" w:lineRule="auto"/>
              <w:jc w:val="left"/>
              <w:rPr>
                <w:rFonts w:hint="eastAsia" w:ascii="仿宋" w:hAnsi="仿宋" w:eastAsia="仿宋" w:cs="仿宋"/>
                <w:i w:val="0"/>
                <w:iCs w:val="0"/>
                <w:color w:val="auto"/>
                <w:sz w:val="24"/>
                <w:szCs w:val="24"/>
                <w:highlight w:val="none"/>
                <w:lang w:val="en-US" w:eastAsia="zh-CN"/>
              </w:rPr>
            </w:pPr>
          </w:p>
        </w:tc>
      </w:tr>
    </w:tbl>
    <w:p>
      <w:pPr>
        <w:spacing w:before="120" w:beforeLines="50" w:line="360" w:lineRule="auto"/>
        <w:ind w:firstLine="481" w:firstLineChars="200"/>
        <w:jc w:val="left"/>
        <w:outlineLvl w:val="0"/>
        <w:rPr>
          <w:rFonts w:hint="eastAsia" w:ascii="仿宋" w:hAnsi="仿宋" w:eastAsia="仿宋" w:cs="仿宋"/>
          <w:b/>
          <w:color w:val="auto"/>
          <w:sz w:val="24"/>
          <w:highlight w:val="none"/>
          <w:lang w:val="en-US" w:eastAsia="zh-CN"/>
        </w:rPr>
      </w:pPr>
      <w:r>
        <w:rPr>
          <w:rFonts w:hint="eastAsia" w:ascii="仿宋" w:hAnsi="仿宋" w:eastAsia="仿宋" w:cs="仿宋"/>
          <w:b/>
          <w:color w:val="auto"/>
          <w:sz w:val="24"/>
          <w:highlight w:val="none"/>
          <w:lang w:eastAsia="zh-CN"/>
        </w:rPr>
        <w:t>四、付款方式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1.货款计算按对应品种的验收后实际数量计算。</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2.货款结算前，乙方需及时提交以下票据和材料：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（1）每期付款由乙方提供该期相应金额的发票，方可办理支付手续；收款方、出具发票方、合同乙方名称均应一致。</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（2）配送确认清单（须由甲方指定人员签字并盖章确认）。</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3.货款实行按月结算，甲方在收到乙方的发票和经确认的配送清单后，五个工作日内通过银行转账的方式将上一个月份的货款直接支付给乙方指定的银行账户。</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乙方指定的收款账户应符合法律法规要求，且以书面形式报甲方备案，一经确定，不得随意更改。由于银行更改账号、单位变更等原因确需更改的，要重新以书面形式备案，附上有关证明、说明及单位法定代表人签名并加盖公章。</w:t>
      </w:r>
    </w:p>
    <w:p>
      <w:pPr>
        <w:numPr>
          <w:ilvl w:val="0"/>
          <w:numId w:val="0"/>
        </w:numPr>
        <w:spacing w:before="120" w:beforeLines="50" w:line="360" w:lineRule="auto"/>
        <w:ind w:firstLine="481"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五</w:t>
      </w:r>
      <w:r>
        <w:rPr>
          <w:rFonts w:hint="eastAsia" w:ascii="仿宋" w:hAnsi="仿宋" w:eastAsia="仿宋" w:cs="仿宋"/>
          <w:b/>
          <w:color w:val="auto"/>
          <w:sz w:val="24"/>
          <w:highlight w:val="none"/>
        </w:rPr>
        <w:t>、服务期、服务地点</w:t>
      </w:r>
    </w:p>
    <w:p>
      <w:pPr>
        <w:keepNext w:val="0"/>
        <w:keepLines w:val="0"/>
        <w:pageBreakBefore w:val="0"/>
        <w:widowControl w:val="0"/>
        <w:suppressLineNumbers w:val="0"/>
        <w:kinsoku/>
        <w:wordWrap/>
        <w:overflowPunct/>
        <w:topLinePunct w:val="0"/>
        <w:autoSpaceDE/>
        <w:autoSpaceDN/>
        <w:bidi w:val="0"/>
        <w:adjustRightInd/>
        <w:snapToGrid/>
        <w:spacing w:line="560" w:lineRule="exact"/>
        <w:ind w:left="0" w:righ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服务期</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本项目服务期限为合同签订后一年。投标人在本项目服务期内考核合格，未出现食品质量与食品安全等问题，可以续签服务期，合同一年一签，续签不超过2次。</w:t>
      </w:r>
    </w:p>
    <w:p>
      <w:pPr>
        <w:keepNext w:val="0"/>
        <w:keepLines w:val="0"/>
        <w:pageBreakBefore w:val="0"/>
        <w:widowControl w:val="0"/>
        <w:suppressLineNumbers w:val="0"/>
        <w:kinsoku/>
        <w:wordWrap/>
        <w:overflowPunct/>
        <w:topLinePunct w:val="0"/>
        <w:autoSpaceDE/>
        <w:autoSpaceDN/>
        <w:bidi w:val="0"/>
        <w:adjustRightInd/>
        <w:snapToGrid/>
        <w:spacing w:line="560" w:lineRule="exact"/>
        <w:ind w:left="0" w:righ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服务地点：</w:t>
      </w:r>
      <w:r>
        <w:rPr>
          <w:rFonts w:hint="eastAsia" w:ascii="仿宋" w:hAnsi="仿宋" w:eastAsia="仿宋" w:cs="仿宋"/>
          <w:color w:val="auto"/>
          <w:sz w:val="24"/>
          <w:szCs w:val="24"/>
          <w:highlight w:val="none"/>
          <w:lang w:val="en-US" w:eastAsia="zh-CN"/>
        </w:rPr>
        <w:t>海南省海口市美兰区东营西路27号</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120" w:beforeLines="50" w:beforeAutospacing="0" w:afterAutospacing="0" w:line="360" w:lineRule="auto"/>
        <w:ind w:left="0" w:right="0" w:firstLine="481" w:firstLineChars="200"/>
        <w:jc w:val="left"/>
        <w:textAlignment w:val="auto"/>
        <w:outlineLvl w:val="0"/>
        <w:rPr>
          <w:rFonts w:hint="eastAsia" w:ascii="仿宋" w:hAnsi="仿宋" w:eastAsia="仿宋" w:cs="仿宋"/>
          <w:b/>
          <w:bCs w:val="0"/>
          <w:color w:val="auto"/>
          <w:sz w:val="24"/>
          <w:szCs w:val="24"/>
          <w:highlight w:val="none"/>
          <w:lang w:val="en-US" w:eastAsia="zh-CN"/>
        </w:rPr>
      </w:pPr>
      <w:r>
        <w:rPr>
          <w:rFonts w:hint="eastAsia" w:ascii="仿宋" w:hAnsi="仿宋" w:eastAsia="仿宋" w:cs="仿宋"/>
          <w:b/>
          <w:color w:val="auto"/>
          <w:sz w:val="24"/>
          <w:highlight w:val="none"/>
          <w:lang w:eastAsia="zh-CN"/>
        </w:rPr>
        <w:t>六</w:t>
      </w:r>
      <w:r>
        <w:rPr>
          <w:rFonts w:hint="eastAsia" w:ascii="仿宋" w:hAnsi="仿宋" w:eastAsia="仿宋" w:cs="仿宋"/>
          <w:b/>
          <w:color w:val="auto"/>
          <w:sz w:val="24"/>
          <w:highlight w:val="none"/>
        </w:rPr>
        <w:t>、</w:t>
      </w:r>
      <w:r>
        <w:rPr>
          <w:rFonts w:hint="eastAsia" w:ascii="仿宋" w:hAnsi="仿宋" w:eastAsia="仿宋" w:cs="仿宋"/>
          <w:b/>
          <w:bCs w:val="0"/>
          <w:color w:val="auto"/>
          <w:sz w:val="24"/>
          <w:szCs w:val="24"/>
          <w:highlight w:val="none"/>
          <w:lang w:val="en-US" w:eastAsia="zh-CN"/>
        </w:rPr>
        <w:t>违约条款</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1.采购人违约责任</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（1）采购人无正当理由拒绝投标人配送的合格食材，采购人应向投标人偿付本次所拒收合格食材金额0.5%的违约金。</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（2）采购人无故逾期验收和办理合同款项支付手续的，采购人应按逾期付款总额每日0.5%向投标人支付违约金。</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2.投标人违约责任</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因投标人原因造成合同无法按时签订或者签订合同后不履行其投标承诺或者其他由于投标人自身原因造成无法履行合同的，均视为投标人违约。如果已经签订合同的则合同自动解除，且投标人还要承担相应的法律责任。给采购人造成损失的，还需另行支付相应的赔偿。</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投标人不按采购人采购的品种、规格、数量供货或不能按时、保质、保量供货(不可抗拒原因除外)，又没有主动与采购人对接造成采购人没有物资使用，每次处违约金10000元，违约金由货款抵扣。超过二次的，采购人有权无条件终止合同，</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（3）因投标人弄虚作假，以次充好，投标人应按合同价赔偿采购人损失物资(本批次不合格部份)价值的3倍且每次不得低于10000元，违约金可从采购人应付给投标人的货款中抵扣。</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（4）短斤少两者经现场验收查出，将按实际数量结算货款，每次处违约金5000元，可从采购人应付给投标人的货款中抵扣。</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质量未达标，无条件更换至达标。净菜率、净货率、出成率等达不到要求的，按实际计算，并处相应违约金：第一次5000元，第二次10000元，违约金可从采购人应付给投标人的货款中抵扣。第三次发现同种情况，采购人有权无条件终止合同。</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（6）供货数量不低于或高于计划的2%，超出部分不予结算。</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7）投标人所供应货物的剩余保质期不得少于保质期的三分之二，保证质量、期限。投标人所供的货物已过保质期或变质的，发现一次应支付违约金10000元，违约金可从采购人应付给投标人的货款中抵扣，并且无条件退货，超过1次采购人有权无条件终止合同。</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（8）如发现销售的商品为伪劣商品，发现一次应支付违约金10000元以上，违约金可以从采购人应付给投标人的货款中抵扣，并且无条件退货，超过1次采购人有权无条件终止合同。</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（9）因投标人违约供货不及时或供货不足或所供产品为残次品等，除按上述违约条款执行外，采购人为保障食材供应可自行采购，自行采购产生的与合同约定的货款折扣的差额将由投标人负责赔偿。</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（10）因投标人原因造成采购供货合同无法按时签订，视为投标人违约，投标人违约对采购人造成的损失的，需另行支付相应的赔偿。</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（11）投标人在送货途中运输、保管所产生的费用由投标人承担。若交接前发生损毁的，其损失由投标人自行承担。</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投标人必须无条件接受工商、卫生监督部门安全工作检查小组和采购人相关职能部门对食品安全方面的监督管理、检查考核。如因投标人原因造成食物中毒等事件，经卫生检疫部门认定后，投标人不仅要承担所有医疗费用、卫生检疫部门的罚金及赔偿采购人相关经济损失，同时要承担相关法律责任。</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（13）在签定采购供货合同之后，投标人要求解除合同的或投标人未能履行合同项下的任何其他义务，视为投标人违约，投标人违约对采购人造成的损失的，需另行支付相应的赔偿。</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14）因投标人原因发生重大质量事故，除依法依约承担赔偿责任外，还将按有关质量管理办法规定执行。若发生人身伤亡安全事故，除按国家有关安全管理规定及采购人有关安全管理办法执行外，并报相关行政主管部门处罚；若发生重大安全事故或特大安全事故，除按国家有关安全管理规定及采购人有关安全管理办法执行外，采购人有权无条件终止合同，给采购人造成损失的，投标人还应承担赔偿等法律责任。</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（15）投标人应保证采购人100%可通过海南省食品生产经营追溯管理系统查询食材溯源。若发现无法溯源，投标人每次应支付违约金5000元，并及时整改。</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（16）在明确违约责任后，若投标人的货款无法抵扣违约金，投标人应在接到书面通知书起7天内支付违约金。</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1"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七、保密条款</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1.对于在采购和合同履行过程中所获悉的属于保密的内容，采购人、投标人双方均负有保密义务。</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2.在本合同履行期间和终止后，双方均应严格保密并不得披露任何保密信息。</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3.如一方违反保密条款，应赔偿对方全部损失，赔偿范围包括但不限于直接损失和可得利益的损失以及守约方为维权而支出的调查取证费用、诉讼费用、律师费用等。</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1" w:firstLineChars="20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八、知识产权</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投标人提供的采购标的应符合国家知识产权法律、法规的规定且非假冒伪劣品；投标人还应保证采购人不受到第三方关于侵犯著作权及专利权、商标权或工业设计权等知识产权方面的指控，任何第三方如果提出此方面指控均与采购人无关，投标人应与第三方交涉，并承担可能发生的一切法律责任、费用和后果，若投标人与第三方交涉超出10个工作日，且影响采购人工作的，采购人有权单方面解除合同，投标人应承担违约责任；若采购人因此而遭致损失，则投标人应赔偿该损失，并承担相应违约责任。</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若投标人提供的采购标的不符合国家知识产权法律、法规的规定或被有关主管机关认定为假冒伪劣品，则投标人中标或成交资格将被取消；采购人还将按照有关法律、法规和规章的规定进行处理，具体如下：追究投标人违约责任；移送相关职能部门进行惩处。</w:t>
      </w:r>
    </w:p>
    <w:p>
      <w:pPr>
        <w:tabs>
          <w:tab w:val="left" w:pos="1980"/>
        </w:tabs>
        <w:snapToGrid w:val="0"/>
        <w:spacing w:before="19" w:line="500" w:lineRule="exact"/>
        <w:ind w:firstLine="481" w:firstLineChars="200"/>
        <w:rPr>
          <w:rFonts w:hint="eastAsia" w:ascii="仿宋" w:hAnsi="仿宋" w:eastAsia="仿宋" w:cs="仿宋"/>
          <w:b/>
          <w:bCs w:val="0"/>
          <w:color w:val="auto"/>
          <w:sz w:val="24"/>
          <w:highlight w:val="none"/>
        </w:rPr>
      </w:pPr>
      <w:r>
        <w:rPr>
          <w:rFonts w:hint="eastAsia" w:ascii="仿宋" w:hAnsi="仿宋" w:eastAsia="仿宋" w:cs="仿宋"/>
          <w:b/>
          <w:bCs w:val="0"/>
          <w:color w:val="auto"/>
          <w:sz w:val="24"/>
          <w:highlight w:val="none"/>
          <w:lang w:val="en-US" w:eastAsia="zh-CN"/>
        </w:rPr>
        <w:t>九、</w:t>
      </w:r>
      <w:r>
        <w:rPr>
          <w:rFonts w:hint="eastAsia" w:ascii="仿宋" w:hAnsi="仿宋" w:eastAsia="仿宋" w:cs="仿宋"/>
          <w:b/>
          <w:bCs w:val="0"/>
          <w:color w:val="auto"/>
          <w:sz w:val="24"/>
          <w:highlight w:val="none"/>
        </w:rPr>
        <w:t>合同纠纷处理</w:t>
      </w:r>
    </w:p>
    <w:p>
      <w:pPr>
        <w:tabs>
          <w:tab w:val="left" w:pos="1980"/>
        </w:tabs>
        <w:snapToGrid w:val="0"/>
        <w:spacing w:before="19" w:line="500" w:lineRule="exact"/>
        <w:ind w:firstLine="470" w:firstLineChars="196"/>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本合同履行过程中发生的任何争议，甲乙双方当事人均可通过和解或者调解解决；不愿和解、调解或者和解、调解不成的，可以选择下列第</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种方式解决：</w:t>
      </w:r>
    </w:p>
    <w:p>
      <w:pPr>
        <w:numPr>
          <w:ilvl w:val="0"/>
          <w:numId w:val="1"/>
        </w:num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将争议提交</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仲裁委员会依申请仲裁时其现行有效的仲裁规则裁决；</w:t>
      </w:r>
    </w:p>
    <w:p>
      <w:pPr>
        <w:tabs>
          <w:tab w:val="left" w:pos="1980"/>
        </w:tabs>
        <w:snapToGrid w:val="0"/>
        <w:spacing w:before="19" w:line="500" w:lineRule="exact"/>
        <w:ind w:firstLine="470" w:firstLineChars="196"/>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rPr>
        <w:t>（2） 向</w:t>
      </w:r>
      <w:r>
        <w:rPr>
          <w:rFonts w:hint="eastAsia" w:ascii="仿宋" w:hAnsi="仿宋" w:eastAsia="仿宋" w:cs="仿宋"/>
          <w:color w:val="auto"/>
          <w:sz w:val="24"/>
          <w:highlight w:val="none"/>
          <w:u w:val="single"/>
        </w:rPr>
        <w:t xml:space="preserve">   （被告住所地、合同履行地、合同签订地、原告住所地、标的物所在地等与争议有实际联系的地点中选出的人民法院名称）    </w:t>
      </w:r>
      <w:r>
        <w:rPr>
          <w:rFonts w:hint="eastAsia" w:ascii="仿宋" w:hAnsi="仿宋" w:eastAsia="仿宋" w:cs="仿宋"/>
          <w:color w:val="auto"/>
          <w:sz w:val="24"/>
          <w:highlight w:val="none"/>
        </w:rPr>
        <w:t>人民法院起诉</w:t>
      </w:r>
      <w:r>
        <w:rPr>
          <w:rFonts w:hint="eastAsia" w:ascii="仿宋" w:hAnsi="仿宋" w:eastAsia="仿宋" w:cs="仿宋"/>
          <w:color w:val="auto"/>
          <w:sz w:val="24"/>
          <w:highlight w:val="none"/>
          <w:shd w:val="clear" w:color="auto" w:fill="FFFFFF"/>
        </w:rPr>
        <w:t>。</w:t>
      </w:r>
    </w:p>
    <w:p>
      <w:pPr>
        <w:spacing w:before="120" w:beforeLines="50" w:line="360" w:lineRule="auto"/>
        <w:ind w:firstLine="481"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十</w:t>
      </w:r>
      <w:r>
        <w:rPr>
          <w:rFonts w:hint="eastAsia" w:ascii="仿宋" w:hAnsi="仿宋" w:eastAsia="仿宋" w:cs="仿宋"/>
          <w:b/>
          <w:color w:val="auto"/>
          <w:sz w:val="24"/>
          <w:highlight w:val="none"/>
        </w:rPr>
        <w:t>、政府采购合同生效</w:t>
      </w:r>
    </w:p>
    <w:p>
      <w:pPr>
        <w:spacing w:before="120" w:beforeLines="50" w:line="360" w:lineRule="auto"/>
        <w:ind w:firstLine="480" w:firstLineChars="200"/>
        <w:jc w:val="left"/>
        <w:outlineLvl w:val="0"/>
        <w:rPr>
          <w:rFonts w:hint="eastAsia" w:ascii="仿宋" w:hAnsi="仿宋" w:eastAsia="仿宋" w:cs="仿宋"/>
          <w:color w:val="auto"/>
          <w:sz w:val="24"/>
          <w:highlight w:val="none"/>
        </w:rPr>
      </w:pPr>
      <w:r>
        <w:rPr>
          <w:rFonts w:hint="eastAsia" w:ascii="仿宋" w:hAnsi="仿宋" w:eastAsia="仿宋" w:cs="仿宋"/>
          <w:color w:val="auto"/>
          <w:sz w:val="24"/>
          <w:highlight w:val="none"/>
        </w:rPr>
        <w:t>本政府采购合同经甲乙双方授权代表签字盖章后生效。</w:t>
      </w:r>
    </w:p>
    <w:p>
      <w:pPr>
        <w:spacing w:before="120" w:beforeLines="50" w:line="360" w:lineRule="auto"/>
        <w:ind w:firstLine="480" w:firstLineChars="200"/>
        <w:jc w:val="left"/>
        <w:outlineLvl w:val="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本合同共三份：甲方一份、乙方一份。</w:t>
      </w:r>
    </w:p>
    <w:p>
      <w:pPr>
        <w:tabs>
          <w:tab w:val="left" w:pos="1980"/>
        </w:tabs>
        <w:snapToGrid w:val="0"/>
        <w:spacing w:before="19" w:line="500" w:lineRule="exact"/>
        <w:ind w:firstLine="472" w:firstLineChars="196"/>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十一</w:t>
      </w:r>
      <w:r>
        <w:rPr>
          <w:rFonts w:hint="eastAsia" w:ascii="仿宋" w:hAnsi="仿宋" w:eastAsia="仿宋" w:cs="仿宋"/>
          <w:b/>
          <w:color w:val="auto"/>
          <w:sz w:val="24"/>
          <w:highlight w:val="none"/>
        </w:rPr>
        <w:t>、其他</w:t>
      </w:r>
    </w:p>
    <w:p>
      <w:pPr>
        <w:spacing w:before="120" w:beforeLines="50" w:line="360" w:lineRule="auto"/>
        <w:ind w:firstLine="480" w:firstLineChars="200"/>
        <w:jc w:val="left"/>
        <w:outlineLvl w:val="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本合同未尽事宜，双方可以增加条款或补充协议的形式加以补充，但增加或补充协议的条款不得对招标文件和投标文件约定的内容作实质性修改。补充协议与本合同具有相同的法律效力。</w:t>
      </w:r>
    </w:p>
    <w:p>
      <w:pPr>
        <w:autoSpaceDE w:val="0"/>
        <w:autoSpaceDN w:val="0"/>
        <w:adjustRightInd w:val="0"/>
        <w:spacing w:line="360" w:lineRule="auto"/>
        <w:ind w:firstLine="120" w:firstLineChars="50"/>
        <w:jc w:val="left"/>
        <w:rPr>
          <w:rFonts w:hint="eastAsia" w:ascii="仿宋" w:hAnsi="仿宋" w:eastAsia="仿宋" w:cs="仿宋"/>
          <w:color w:val="auto"/>
          <w:sz w:val="24"/>
          <w:highlight w:val="none"/>
        </w:rPr>
      </w:pPr>
    </w:p>
    <w:p>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附件：中标通知书。</w:t>
      </w:r>
    </w:p>
    <w:p>
      <w:pPr>
        <w:spacing w:line="360" w:lineRule="auto"/>
        <w:ind w:firstLine="480" w:firstLineChars="200"/>
        <w:rPr>
          <w:rFonts w:hint="eastAsia" w:ascii="仿宋" w:hAnsi="仿宋" w:eastAsia="仿宋" w:cs="仿宋"/>
          <w:color w:val="auto"/>
          <w:sz w:val="24"/>
          <w:highlight w:val="none"/>
        </w:rPr>
      </w:pPr>
    </w:p>
    <w:p>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甲方（公章）:                        乙方(公章):  </w:t>
      </w:r>
    </w:p>
    <w:p>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办公地址：                           办公地址：</w:t>
      </w:r>
    </w:p>
    <w:p>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                           法定代表人</w:t>
      </w:r>
    </w:p>
    <w:p>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或授权代表(签字):                    或授权代表(签字):</w:t>
      </w:r>
    </w:p>
    <w:p>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联系人：                             联系人：</w:t>
      </w:r>
    </w:p>
    <w:p>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电话：                               电话：</w:t>
      </w:r>
    </w:p>
    <w:p>
      <w:pPr>
        <w:snapToGrid w:val="0"/>
        <w:ind w:firstLine="444" w:firstLineChars="185"/>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传真:                                传真:</w:t>
      </w:r>
    </w:p>
    <w:p>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电子邮箱：                           电子邮箱：</w:t>
      </w:r>
    </w:p>
    <w:p>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开户银行：                           开户银行： </w:t>
      </w:r>
    </w:p>
    <w:p>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开户名称：                           开户名称： </w:t>
      </w:r>
    </w:p>
    <w:p>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开户账号：</w:t>
      </w:r>
      <w:r>
        <w:rPr>
          <w:rFonts w:hint="eastAsia" w:ascii="仿宋" w:hAnsi="仿宋" w:eastAsia="仿宋" w:cs="仿宋"/>
          <w:color w:val="auto"/>
          <w:sz w:val="24"/>
          <w:highlight w:val="none"/>
          <w:lang w:val="zh-CN"/>
        </w:rPr>
        <w:t xml:space="preserve">                           </w:t>
      </w:r>
      <w:r>
        <w:rPr>
          <w:rFonts w:hint="eastAsia" w:ascii="仿宋" w:hAnsi="仿宋" w:eastAsia="仿宋" w:cs="仿宋"/>
          <w:color w:val="auto"/>
          <w:sz w:val="24"/>
          <w:highlight w:val="none"/>
        </w:rPr>
        <w:t>开户账号：</w:t>
      </w:r>
    </w:p>
    <w:p>
      <w:pPr>
        <w:snapToGrid w:val="0"/>
        <w:spacing w:before="19"/>
        <w:ind w:firstLine="960" w:firstLineChars="400"/>
        <w:rPr>
          <w:rFonts w:hint="eastAsia" w:ascii="仿宋" w:hAnsi="仿宋" w:eastAsia="仿宋" w:cs="仿宋"/>
          <w:color w:val="auto"/>
          <w:sz w:val="24"/>
          <w:highlight w:val="none"/>
        </w:rPr>
      </w:pPr>
    </w:p>
    <w:p>
      <w:pPr>
        <w:snapToGrid w:val="0"/>
        <w:spacing w:before="19"/>
        <w:ind w:firstLine="960" w:firstLineChars="4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pPr>
        <w:spacing w:line="360" w:lineRule="auto"/>
        <w:ind w:firstLine="6720" w:firstLineChars="2400"/>
        <w:rPr>
          <w:rFonts w:hint="eastAsia" w:ascii="仿宋" w:hAnsi="仿宋" w:eastAsia="仿宋" w:cs="仿宋"/>
          <w:color w:val="auto"/>
          <w:sz w:val="28"/>
          <w:szCs w:val="28"/>
          <w:highlight w:val="none"/>
        </w:rPr>
      </w:pPr>
    </w:p>
    <w:p>
      <w:pPr>
        <w:spacing w:line="360" w:lineRule="auto"/>
        <w:rPr>
          <w:rFonts w:hint="eastAsia" w:ascii="仿宋" w:hAnsi="仿宋" w:eastAsia="仿宋" w:cs="仿宋"/>
          <w:color w:val="auto"/>
          <w:sz w:val="28"/>
          <w:szCs w:val="28"/>
          <w:highlight w:val="none"/>
        </w:rPr>
        <w:sectPr>
          <w:footerReference r:id="rId6" w:type="first"/>
          <w:footerReference r:id="rId5" w:type="default"/>
          <w:pgSz w:w="11907" w:h="16840"/>
          <w:pgMar w:top="1440" w:right="1077" w:bottom="1440" w:left="1247" w:header="936" w:footer="992" w:gutter="0"/>
          <w:pgNumType w:fmt="decimal"/>
          <w:cols w:space="720" w:num="1"/>
          <w:docGrid w:linePitch="312" w:charSpace="0"/>
        </w:sectPr>
      </w:pPr>
    </w:p>
    <w:p>
      <w:pPr>
        <w:pStyle w:val="2"/>
        <w:adjustRightInd w:val="0"/>
        <w:snapToGrid w:val="0"/>
        <w:spacing w:line="360" w:lineRule="auto"/>
        <w:jc w:val="center"/>
        <w:rPr>
          <w:rFonts w:ascii="仿宋" w:hAnsi="仿宋" w:eastAsia="仿宋" w:cs="仿宋"/>
          <w:color w:val="auto"/>
          <w:sz w:val="24"/>
          <w:szCs w:val="24"/>
          <w:highlight w:val="none"/>
        </w:rPr>
      </w:pPr>
      <w:r>
        <w:rPr>
          <w:rFonts w:ascii="仿宋" w:hAnsi="仿宋" w:eastAsia="仿宋" w:cs="仿宋"/>
          <w:color w:val="auto"/>
          <w:sz w:val="24"/>
          <w:szCs w:val="24"/>
          <w:highlight w:val="none"/>
        </w:rPr>
        <w:t>合同通用条款</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1．定义</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本合同下列术语应解释为：</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（l）“合同”系指甲方和乙方（以下简称合同双方）签署的、合同格式中列明的合同双方所达成的协议，包括所有的附件、附录和构成合同的所有文件。</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（2）“合同价”系指根据合同规定，乙方在完全履行合同义务后甲方应付给乙方的价格。</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（3）“货物（含软件及相关服务）”系指乙方按合同要求，须向甲方提供的一切设备、机械、仪器、备件、工具、技术及手册等有关资料。“工程”系指按合同要求进行施工。</w:t>
      </w:r>
    </w:p>
    <w:p>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（4）“服务”系指根据合同规定乙方承担与供货有关的所有辅助服务，如运输、保险以及</w:t>
      </w:r>
      <w:r>
        <w:rPr>
          <w:rFonts w:hint="eastAsia" w:ascii="仿宋" w:hAnsi="仿宋" w:eastAsia="仿宋" w:cs="仿宋"/>
          <w:color w:val="auto"/>
          <w:sz w:val="24"/>
          <w:highlight w:val="none"/>
          <w:lang w:eastAsia="zh-CN"/>
        </w:rPr>
        <w:t>其他</w:t>
      </w:r>
      <w:r>
        <w:rPr>
          <w:rFonts w:hint="eastAsia" w:ascii="仿宋" w:hAnsi="仿宋" w:eastAsia="仿宋" w:cs="仿宋"/>
          <w:color w:val="auto"/>
          <w:sz w:val="24"/>
          <w:highlight w:val="none"/>
        </w:rPr>
        <w:t>的服务，如安装、调试、提供技术援助、培训及其他类似的义务。</w:t>
      </w:r>
    </w:p>
    <w:p>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（5）“甲方”系指购买货物（含软件及相关服务）的单位。</w:t>
      </w:r>
    </w:p>
    <w:p>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（6）“乙方”系指根据合同规定提供货物（含软件及相关服务）和服务的制造商或代理商。</w:t>
      </w:r>
    </w:p>
    <w:p>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（7）“现场”系指将要进行货物（含软件及相关服务）安装和调试的地点。</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2．技术规范</w:t>
      </w:r>
    </w:p>
    <w:p>
      <w:pPr>
        <w:adjustRightInd w:val="0"/>
        <w:snapToGrid w:val="0"/>
        <w:spacing w:line="360" w:lineRule="auto"/>
        <w:ind w:firstLine="470" w:firstLineChars="196"/>
        <w:rPr>
          <w:rFonts w:hint="eastAsia" w:ascii="仿宋" w:hAnsi="仿宋" w:eastAsia="仿宋" w:cs="仿宋"/>
          <w:b/>
          <w:color w:val="auto"/>
          <w:sz w:val="24"/>
          <w:highlight w:val="none"/>
        </w:rPr>
      </w:pPr>
      <w:r>
        <w:rPr>
          <w:rFonts w:hint="eastAsia" w:ascii="仿宋" w:hAnsi="仿宋" w:eastAsia="仿宋" w:cs="仿宋"/>
          <w:color w:val="auto"/>
          <w:sz w:val="24"/>
          <w:highlight w:val="none"/>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3．专利权</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4．包装要求</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4.2 每件包装箱内应附一份详细装箱单和质量合格证。</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5．装运标志</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 乙方应在每一包装箱邻接的四侧用不褪色的油漆以醒目的中文字样做出下列标记：</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（l）收货人</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（2）合同号</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（3）装运标志</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（4）收货人代号</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（5）目的地</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（6）货物（含软件及相关服务）名称、品目号和箱号</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（7）毛重／净重</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（8）尺寸（长X宽X高，以厘米计）</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5.3因缺少装运标志或者装运标志不明确导致货物在运输、装卸过程中产生的损失，乙方应承担相应的过错责任。</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6．交货方式</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 交货方式一般为下列其中一种，具体在合同专用条款中规定。</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6.1.1 现场交货：乙方负责办理运输和保险，将货物（含软件及相关服务）运抵现场。有关运输和保险的一切费用由乙方承担。所有货物（含软件及相关服务）运抵现扬的日期为交货日期。</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6.1.2 工厂交货：由乙方负责办理运输和保险事宜。运输费和保险费由甲方承担。运输部门出具收据的日期为交货日期。</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6.1.3 甲方自提货物（含软件及相关服务）：由甲方在合同规定地点自行办理提货。提单日期为交货日期。</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6.3 在现场交货和工厂交货条件下，乙方装运的货物（含软件及相关服务）不应超过合同规定的数量或重量。否则，乙方应对超运部分的数量或重量而引起的一切后果负责。</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7．装运通知</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8．保险</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9．付款方式</w:t>
      </w:r>
    </w:p>
    <w:p>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付款方式见合同专用条款。</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10．技术资料</w:t>
      </w:r>
    </w:p>
    <w:p>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合同项下技术资料（除合同专用条款规定外）将以下列方式交付：</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10.1 合同生效后 60天之内，乙方应将每台设备和仪器的中文技术资料一套，如目录索引、图纸、操作手册、使用指南、维修指南和服务手册等交给甲方。</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10.2 另外一套完整的上述资料应包装好随每批货物（含软件及相关服务）一起发运。</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10.3 如果甲方确认乙方提供的技术资料不完整或在运输过程中丢失，乙方将在收到甲方通知后3天内将这些资料免费交给甲方。</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11．质量保证</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11.3 乙方在收到通知后三十天内应免费维修或更换有缺陷的货物（含软件及相关服务）或部件，并无偿为甲方提供替代产品。</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11.4 如果乙方在收到通知后三十天内没有弥补缺陷，甲方可采取必要的补救措施，但风险和费用将由乙方承担。</w:t>
      </w:r>
    </w:p>
    <w:p>
      <w:pPr>
        <w:adjustRightInd w:val="0"/>
        <w:snapToGrid w:val="0"/>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11.5 除合同专用条款规定外，合同项下货物（含软件及相关服务）的质量保证期为自货物（含软件及相关服务）通过最终验收起12个月。</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12.检验及安装</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12.4 甲方有权提出在货物（含软件及相关服务）制造过程中派人到制造厂进行监造，乙方有义务为甲方监造人员提乙方便。</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12.5 制造厂对所供货物（含软件及相关服务）进行机械运转试验和性能试验时，必须提前通知甲方。</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12.6 货物（含软件及相关服务）的安装按采购文件的要求进行。</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13．索赔</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13.1 除责任应由保险公司或运输部门承担的之外，甲方有权根据甲方按检验标准自己检验的结果或当地商检部门出具的商检证书向乙方提出索赔。</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13.2 在第 11条和第 12条规定的检验期和质量保证期内，如果乙方对甲方提出的索赔和差异负有责任，乙方应按照甲方同意的下列一种或多种方式解决索赔事宜：</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乙方同意退货，并按合同规定的同种货币将货款退还给甲方，并承担由此发生的一切损失和费用，包括利息、银行手续费、运费、保险费、检验费、仓储费、装卸费以及为保护退回货物（含软件及相关服务）所需的</w:t>
      </w:r>
      <w:r>
        <w:rPr>
          <w:rFonts w:hint="eastAsia" w:ascii="仿宋" w:hAnsi="仿宋" w:eastAsia="仿宋" w:cs="仿宋"/>
          <w:color w:val="auto"/>
          <w:sz w:val="24"/>
          <w:highlight w:val="none"/>
          <w:lang w:eastAsia="zh-CN"/>
        </w:rPr>
        <w:t>其他</w:t>
      </w:r>
      <w:r>
        <w:rPr>
          <w:rFonts w:hint="eastAsia" w:ascii="仿宋" w:hAnsi="仿宋" w:eastAsia="仿宋" w:cs="仿宋"/>
          <w:color w:val="auto"/>
          <w:sz w:val="24"/>
          <w:highlight w:val="none"/>
        </w:rPr>
        <w:t>必要费用。</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（2）根据货物（含软件及相关服务）的低劣程度、损坏程度以及甲方遭受损失的数额，经买卖双方商定降低货物（含软件及相关服务）的价格。</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14．拖延交货</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14.l 乙方应按照合同专用条款中规定的交货期交货和提供服务。</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14.2 如果乙方毫无理由地拖延交货达1个月以上的，将受到以下制裁：没收履约保证金，加收违约损失赔偿和／或终止合同。</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15．违约赔偿</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16．不可抗力</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16.l 如果双方中任何一方由于战争、严重火灾、水灾、台风和地震以及</w:t>
      </w:r>
      <w:r>
        <w:rPr>
          <w:rFonts w:hint="eastAsia" w:ascii="仿宋" w:hAnsi="仿宋" w:eastAsia="仿宋" w:cs="仿宋"/>
          <w:color w:val="auto"/>
          <w:sz w:val="24"/>
          <w:highlight w:val="none"/>
          <w:lang w:eastAsia="zh-CN"/>
        </w:rPr>
        <w:t>其他</w:t>
      </w:r>
      <w:r>
        <w:rPr>
          <w:rFonts w:hint="eastAsia" w:ascii="仿宋" w:hAnsi="仿宋" w:eastAsia="仿宋" w:cs="仿宋"/>
          <w:color w:val="auto"/>
          <w:sz w:val="24"/>
          <w:highlight w:val="none"/>
        </w:rPr>
        <w:t>经双方同意属于不可抗力的事故，致使合同履行受阻时，履行合同的期限应予以延长，延长的期限应相当于事故所影响的时间。</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17．税费</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17.l 中国政府根据现行税法对甲方征收的与本合同有关的一切税费均由甲方承担。</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17.2 中国政府根据现行税法对乙方征收的与本合同有关的一切税费均由乙方承担。</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17.3 在中国境外发生的与执行本合同有关的一切税费均由乙方承担。</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18．仲裁</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18.l 买卖双方应通过友好协商，解决在执行本合同中所发生的或与本合同有关的一切争端，如果协商仍得不到解决，任何一方均可按“中华人民共和国民法典”规定提交调解和仲裁。</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18.2 仲裁裁决应为终局裁决，对双方均具有约束力。</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18.3 仲裁费除仲裁机构另有裁决外应由败诉方负担。</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18.4 在仲裁期间，除正在进行仲裁的部分外，合同</w:t>
      </w:r>
      <w:r>
        <w:rPr>
          <w:rFonts w:hint="eastAsia" w:ascii="仿宋" w:hAnsi="仿宋" w:eastAsia="仿宋" w:cs="仿宋"/>
          <w:color w:val="auto"/>
          <w:sz w:val="24"/>
          <w:highlight w:val="none"/>
          <w:lang w:eastAsia="zh-CN"/>
        </w:rPr>
        <w:t>其他</w:t>
      </w:r>
      <w:r>
        <w:rPr>
          <w:rFonts w:hint="eastAsia" w:ascii="仿宋" w:hAnsi="仿宋" w:eastAsia="仿宋" w:cs="仿宋"/>
          <w:color w:val="auto"/>
          <w:sz w:val="24"/>
          <w:highlight w:val="none"/>
        </w:rPr>
        <w:t>部分继续执行。</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19．违约终止合同</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（l）如果乙方未能在合同规定的期限或甲方同意延期的限期内提供全部或部分货物（含软件及相关服务）；</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（2）如果乙方未能履行合同规定的</w:t>
      </w:r>
      <w:r>
        <w:rPr>
          <w:rFonts w:hint="eastAsia" w:ascii="仿宋" w:hAnsi="仿宋" w:eastAsia="仿宋" w:cs="仿宋"/>
          <w:color w:val="auto"/>
          <w:sz w:val="24"/>
          <w:highlight w:val="none"/>
          <w:lang w:eastAsia="zh-CN"/>
        </w:rPr>
        <w:t>其他</w:t>
      </w:r>
      <w:r>
        <w:rPr>
          <w:rFonts w:hint="eastAsia" w:ascii="仿宋" w:hAnsi="仿宋" w:eastAsia="仿宋" w:cs="仿宋"/>
          <w:color w:val="auto"/>
          <w:sz w:val="24"/>
          <w:highlight w:val="none"/>
        </w:rPr>
        <w:t>义务。</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20．破产终止合同</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如果乙方破产或无清偿能力，甲方可在任何时候以书面通知乙方终止合同，该终止合同以不损害或影响甲方已经采取或将采取补救措施的权利。</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21．转让与分包</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21.1 未经甲方事先书面同意，乙方不得部分转让或全部转让其应履行的合同义务。</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21.2 对投标中没有明确分包的合同，乙方应书面通知甲方本合同中将分包的全部分包合同，在原投标/响应文件中或后来发出的分包通知均不能解除乙方履行本合同的义务。</w:t>
      </w:r>
    </w:p>
    <w:p>
      <w:pPr>
        <w:pStyle w:val="3"/>
        <w:adjustRightInd w:val="0"/>
        <w:snapToGrid w:val="0"/>
        <w:spacing w:line="360" w:lineRule="auto"/>
        <w:rPr>
          <w:rFonts w:ascii="仿宋" w:hAnsi="仿宋" w:eastAsia="仿宋" w:cs="仿宋"/>
          <w:color w:val="auto"/>
          <w:sz w:val="24"/>
          <w:szCs w:val="24"/>
          <w:highlight w:val="none"/>
        </w:rPr>
      </w:pPr>
      <w:r>
        <w:rPr>
          <w:rFonts w:ascii="仿宋" w:hAnsi="仿宋" w:eastAsia="仿宋" w:cs="仿宋"/>
          <w:color w:val="auto"/>
          <w:sz w:val="24"/>
          <w:szCs w:val="24"/>
          <w:highlight w:val="none"/>
        </w:rPr>
        <w:t>22．适用法律</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本合同应按中华人民共和国的法律进行解释。</w:t>
      </w:r>
    </w:p>
    <w:p>
      <w:pPr>
        <w:pStyle w:val="3"/>
        <w:adjustRightInd w:val="0"/>
        <w:snapToGrid w:val="0"/>
        <w:spacing w:line="360" w:lineRule="auto"/>
        <w:rPr>
          <w:rFonts w:hint="eastAsia" w:ascii="仿宋" w:hAnsi="仿宋" w:eastAsia="仿宋" w:cs="仿宋"/>
          <w:color w:val="auto"/>
          <w:sz w:val="24"/>
          <w:szCs w:val="24"/>
          <w:highlight w:val="none"/>
          <w:lang w:eastAsia="zh-CN"/>
        </w:rPr>
      </w:pPr>
      <w:r>
        <w:rPr>
          <w:rFonts w:ascii="仿宋" w:hAnsi="仿宋" w:eastAsia="仿宋" w:cs="仿宋"/>
          <w:color w:val="auto"/>
          <w:sz w:val="24"/>
          <w:szCs w:val="24"/>
          <w:highlight w:val="none"/>
        </w:rPr>
        <w:t>23．合同生效及</w:t>
      </w:r>
      <w:r>
        <w:rPr>
          <w:rFonts w:hint="eastAsia" w:ascii="仿宋" w:hAnsi="仿宋" w:eastAsia="仿宋" w:cs="仿宋"/>
          <w:color w:val="auto"/>
          <w:sz w:val="24"/>
          <w:szCs w:val="24"/>
          <w:highlight w:val="none"/>
          <w:lang w:eastAsia="zh-CN"/>
        </w:rPr>
        <w:t>其他</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23.1 合同在双方签字盖章后生效。</w:t>
      </w:r>
    </w:p>
    <w:p>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23.2 如需修改或补充合同内容，经协商，双方应签署书面修改或补充协议并经</w:t>
      </w:r>
      <w:r>
        <w:rPr>
          <w:rFonts w:hint="eastAsia" w:ascii="仿宋" w:hAnsi="仿宋" w:eastAsia="仿宋" w:cs="仿宋"/>
          <w:color w:val="auto"/>
          <w:sz w:val="24"/>
          <w:highlight w:val="none"/>
          <w:lang w:eastAsia="zh-CN"/>
        </w:rPr>
        <w:t>采购人</w:t>
      </w:r>
      <w:r>
        <w:rPr>
          <w:rFonts w:hint="eastAsia" w:ascii="仿宋" w:hAnsi="仿宋" w:eastAsia="仿宋" w:cs="仿宋"/>
          <w:color w:val="auto"/>
          <w:sz w:val="24"/>
          <w:highlight w:val="none"/>
        </w:rPr>
        <w:t>鉴证，该协议将作为本合同的一个组成部分。</w:t>
      </w:r>
    </w:p>
    <w:p>
      <w:pPr>
        <w:adjustRightInd w:val="0"/>
        <w:snapToGrid w:val="0"/>
        <w:spacing w:line="360" w:lineRule="auto"/>
        <w:rPr>
          <w:rFonts w:hint="eastAsia" w:ascii="仿宋" w:hAnsi="仿宋" w:eastAsia="仿宋" w:cs="仿宋"/>
          <w:dstrike/>
          <w:color w:val="auto"/>
          <w:sz w:val="24"/>
          <w:highlight w:val="none"/>
        </w:rPr>
      </w:pPr>
    </w:p>
    <w:p>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4"/>
          <w:highlight w:val="none"/>
        </w:rPr>
        <w:t>备注：合同通用条款与合同专用条款不一致的，以合同专用条款为准。</w:t>
      </w:r>
    </w:p>
    <w:p>
      <w:pPr>
        <w:jc w:val="center"/>
        <w:rPr>
          <w:rFonts w:hint="eastAsia" w:ascii="仿宋" w:hAnsi="仿宋" w:eastAsia="仿宋" w:cs="仿宋"/>
          <w:b/>
          <w:bCs/>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Liberation Sans">
    <w:altName w:val="汉仪新人文宋简"/>
    <w:panose1 w:val="00000000000000000000"/>
    <w:charset w:val="00"/>
    <w:family w:val="swiss"/>
    <w:pitch w:val="default"/>
    <w:sig w:usb0="00000000" w:usb1="00000000" w:usb2="00000000" w:usb3="00000000" w:csb0="00040001" w:csb1="00000000"/>
  </w:font>
  <w:font w:name="Noto Sans CJK SC Regular">
    <w:panose1 w:val="020B0500000000000000"/>
    <w:charset w:val="86"/>
    <w:family w:val="auto"/>
    <w:pitch w:val="default"/>
    <w:sig w:usb0="30000003" w:usb1="2BDF3C10" w:usb2="00000016" w:usb3="00000000" w:csb0="602E0107"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wrap="none" lIns="0" tIns="0" rIns="0" bIns="0" upright="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YleiXswEAAFIDAAAOAAAAAAAAAAEAIAAAADQBAABkcnMvZTJvRG9j&#10;LnhtbFBLBQYAAAAABgAGAFkBAABZ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wrap="none" lIns="0" tIns="0" rIns="0" bIns="0" upright="false">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N2fG6bQBAABSAwAADgAAAAAAAAABACAAAAA0AQAAZHJzL2Uyb0Rv&#10;Yy54bWxQSwUGAAAAAAYABgBZAQAAWg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40</w:t>
                          </w:r>
                          <w:r>
                            <w:fldChar w:fldCharType="end"/>
                          </w:r>
                        </w:p>
                      </w:txbxContent>
                    </wps:txbx>
                    <wps:bodyPr wrap="none" lIns="0" tIns="0" rIns="0" bIns="0" upright="fals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SPDfDbQBAABSAwAADgAAAAAAAAABACAAAAA0AQAAZHJzL2Uyb0Rv&#10;Yy54bWxQSwUGAAAAAAYABgBZAQAAWg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rg6jf7QBAABSAwAADgAAAAAAAAABACAAAAA0AQAAZHJzL2Uyb0Rv&#10;Yy54bWxQSwUGAAAAAAYABgBZAQAAWg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isplayBackgroundShape w:val="true"/>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
  <w:displayHorizontalDrawingGridEvery w:val="0"/>
  <w:displayVerticalDrawingGridEvery w:val="0"/>
  <w:doNotUseMarginsForDrawingGridOrigin w:val="true"/>
  <w:drawingGridHorizontalOrigin w:val="0"/>
  <w:drawingGridVerticalOrigin w:val="0"/>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FD695E"/>
    <w:rsid w:val="ECF4B5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9">
    <w:name w:val="Default Paragraph Font"/>
    <w:uiPriority w:val="0"/>
  </w:style>
  <w:style w:type="table" w:default="1" w:styleId="8">
    <w:name w:val="Normal Table"/>
    <w:semiHidden/>
    <w:qFormat/>
    <w:uiPriority w:val="0"/>
    <w:tblPr>
      <w:tblStyle w:val="8"/>
      <w:tblCellMar>
        <w:top w:w="0" w:type="dxa"/>
        <w:left w:w="108" w:type="dxa"/>
        <w:bottom w:w="0" w:type="dxa"/>
        <w:right w:w="108" w:type="dxa"/>
      </w:tblCellMar>
    </w:tblPr>
  </w:style>
  <w:style w:type="paragraph" w:styleId="4">
    <w:name w:val="caption"/>
    <w:basedOn w:val="1"/>
    <w:uiPriority w:val="0"/>
    <w:pPr>
      <w:widowControl w:val="0"/>
      <w:suppressLineNumbers/>
      <w:suppressAutoHyphens/>
      <w:spacing w:before="120" w:after="120"/>
    </w:pPr>
    <w:rPr>
      <w:i/>
      <w:iCs/>
      <w:sz w:val="24"/>
      <w:szCs w:val="24"/>
    </w:rPr>
  </w:style>
  <w:style w:type="paragraph" w:styleId="5">
    <w:name w:val="Body Text"/>
    <w:basedOn w:val="1"/>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List"/>
    <w:basedOn w:val="5"/>
    <w:uiPriority w:val="0"/>
  </w:style>
  <w:style w:type="character" w:customStyle="1" w:styleId="10">
    <w:name w:val="默认段落字体1"/>
    <w:uiPriority w:val="0"/>
  </w:style>
  <w:style w:type="paragraph" w:customStyle="1" w:styleId="11">
    <w:name w:val="Heading"/>
    <w:basedOn w:val="1"/>
    <w:next w:val="5"/>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2">
    <w:name w:val="Index"/>
    <w:basedOn w:val="1"/>
    <w:uiPriority w:val="0"/>
    <w:pPr>
      <w:widowControl w:val="0"/>
      <w:suppressLineNumbers/>
      <w:suppressAutoHyphens/>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Office_11.8.2.10587_F1E327BC-269C-435d-A152-05C5408002CA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2018-11-27T09:47:00Z</dcterms:created>
  <dc:creator>greatwall</dc:creator>
  <cp:lastModifiedBy>greatwall</cp:lastModifiedBy>
  <dcterms:modified xsi:type="dcterms:W3CDTF">2025-09-03T12:55:31Z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