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海南省2025年三亚珊瑚礁国家级自然保护区补助（第二批）(二次)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[HNCS-]20250700001[GK]-1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海南三亚国家级珊瑚礁自然保护区管理处</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海南长昇工程项目咨询有限责任公司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海南三亚国家级珊瑚礁自然保护区管理处</w:t>
      </w:r>
      <w:r>
        <w:rPr>
          <w:rFonts w:ascii="仿宋_GB2312" w:hAnsi="仿宋_GB2312" w:cs="仿宋_GB2312" w:eastAsia="仿宋_GB2312"/>
        </w:rPr>
        <w:t xml:space="preserve"> 委托， </w:t>
      </w:r>
      <w:r>
        <w:rPr>
          <w:rFonts w:ascii="仿宋_GB2312" w:hAnsi="仿宋_GB2312" w:cs="仿宋_GB2312" w:eastAsia="仿宋_GB2312"/>
        </w:rPr>
        <w:t>海南长昇工程项目咨询有限责任公司</w:t>
      </w:r>
      <w:r>
        <w:rPr>
          <w:rFonts w:ascii="仿宋_GB2312" w:hAnsi="仿宋_GB2312" w:cs="仿宋_GB2312" w:eastAsia="仿宋_GB2312"/>
        </w:rPr>
        <w:t xml:space="preserve"> 对 </w:t>
      </w:r>
      <w:r>
        <w:rPr>
          <w:rFonts w:ascii="仿宋_GB2312" w:hAnsi="仿宋_GB2312" w:cs="仿宋_GB2312" w:eastAsia="仿宋_GB2312"/>
        </w:rPr>
        <w:t>海南省2025年三亚珊瑚礁国家级自然保护区补助（第二批）(二次)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[HNCS-]20250700001[GK]-1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海南省2025年三亚珊瑚礁国家级自然保护区补助（第二批）(二次)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485,000.00元</w:t>
      </w:r>
      <w:r>
        <w:rPr>
          <w:rFonts w:ascii="仿宋_GB2312" w:hAnsi="仿宋_GB2312" w:cs="仿宋_GB2312" w:eastAsia="仿宋_GB2312"/>
        </w:rPr>
        <w:t>肆拾捌万伍仟元整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自合同签订之日起至2026年6月30日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 (https://ccgp-hainan.gov.cn/maincms-web/)中的海南省政府采购智慧云平台进行注册并完善信息，然后下载参与投标项目电子招标文件（数据包）及其他文件； 2、本项目不收取投标保证金。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4、电子标采用全程电子化操作，供应商应详细阅读海南政府采购网的通知《海南省财政厅关于进一步推进政府采购全流程电子化的通知》，供应商使用交易系统遇到问题可致电技术支持0898-66220881/0898-66220882。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海南三亚国家级珊瑚礁自然保护区管理处</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海南省三亚市天涯区胜利路91号海湾商务大厦902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0898-88958280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海南长昇工程项目咨询有限责任公司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海口市美兰区大英山西二街2号法苑里2号楼2单元12A-1201室501-D76室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18689981451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 60 天内有效。（投标有效期从提交投标文件的截止之日起算。有效期短于该规定期限的投标无效）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代理服务费收费标准：招标代理服务费按照国家相关部门的规定标准分别向各标包中标方收取；参考海南省物价局关于降低部分招标代理服务收费标准的通知（琼价费管[2011]225号）标准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16.1如投标人在非开标现场上传的电子标书的IP地址相同，则IP地址相同的投标按无效标处理。 16.2 低于成本不正当竞争预防措施：投标人不得低于成本的报价竞标，应保证货物（或服务）的质量，不得进行恶意低价竞争。根据《关于在相关自由贸易试验区和自由贸易港开展推动解决政府采购异常低价问题试点工作的通知》（财办库〔2024〕265号）的要求，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16.3本采购活动投标、签到、解密、评审等全流程均通过线上进行，供应商需保证自己蓝色CA锁在有效期内，如开标当天出现过期或无法签章，自行承担责任。 16.4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联系电话：18689981451</w:t>
      </w:r>
    </w:p>
    <w:p>
      <w:pPr>
        <w:pStyle w:val="null3"/>
        <w:jc w:val="left"/>
      </w:pPr>
      <w:r>
        <w:rPr>
          <w:rFonts w:ascii="仿宋_GB2312" w:hAnsi="仿宋_GB2312" w:cs="仿宋_GB2312" w:eastAsia="仿宋_GB2312"/>
        </w:rPr>
        <w:t>地址：海口市美兰区大英山西二街2号法苑里2号楼2单元12A-1201室</w:t>
      </w:r>
    </w:p>
    <w:p>
      <w:pPr>
        <w:pStyle w:val="null3"/>
        <w:jc w:val="left"/>
      </w:pPr>
      <w:r>
        <w:rPr>
          <w:rFonts w:ascii="仿宋_GB2312" w:hAnsi="仿宋_GB2312" w:cs="仿宋_GB2312" w:eastAsia="仿宋_GB2312"/>
        </w:rPr>
        <w:t>邮编： 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海南省</w:t>
      </w:r>
      <w:r>
        <w:rPr>
          <w:rFonts w:ascii="仿宋_GB2312" w:hAnsi="仿宋_GB2312" w:cs="仿宋_GB2312" w:eastAsia="仿宋_GB2312"/>
          <w:sz w:val="24"/>
        </w:rPr>
        <w:t>2025年三亚珊瑚礁国家级自然保护区补助（第二批）包含4个子项目，总投资789.88万元，分别为：（1）三亚珊瑚礁保护区珊瑚礁生态健康评估，投资400.00万元；（2）三亚珊瑚礁保护区2021-2024年珊瑚礁生态修复效果专项评估，投资191.49万元；（3）三亚珊瑚礁保护区西岛周边海域养殖悬浮物调查与监测，投资48.50万元；（4）三亚珊瑚礁保护区生态保护宣传片拍摄与制作《珊瑚之心》，投资149.89万元</w:t>
      </w:r>
      <w:r>
        <w:rPr>
          <w:rFonts w:ascii="仿宋_GB2312" w:hAnsi="仿宋_GB2312" w:cs="仿宋_GB2312" w:eastAsia="仿宋_GB2312"/>
          <w:sz w:val="24"/>
        </w:rPr>
        <w:t>，具体项目内容如下：</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485,000.00</w:t>
      </w:r>
    </w:p>
    <w:p>
      <w:pPr>
        <w:pStyle w:val="null3"/>
        <w:jc w:val="left"/>
      </w:pPr>
      <w:r>
        <w:rPr>
          <w:rFonts w:ascii="仿宋_GB2312" w:hAnsi="仿宋_GB2312" w:cs="仿宋_GB2312" w:eastAsia="仿宋_GB2312"/>
        </w:rPr>
        <w:t>采购包最高限价（元）: 485,000.00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三亚珊瑚礁保护区西岛周边海域养殖悬浮物调查与监测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三亚珊瑚礁保护区西岛周边海域养殖悬浮物调查与监测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 报价均须以人民币为计算单位。 2 .投标人的报价应包括全部货物、服务的价格及相关税费、运输到指定地点的装运费用、安装调试、培训、售后服务等其它有关的所有费用。 3 .投标人应按“开标一览表”的要求报价，并且该报价在所有的投标文件中必须是统一的报价。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标的名称：三亚珊瑚礁保护区西岛周边海域养殖悬浮物调查与监测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本子项目面向近岸海域可持续发展与生态环境保护的应用需求，围绕三亚国家级珊瑚礁自然保护区重点区域，利用多源卫星遥感数据、无人机航拍水体实测表观和悬沙浓度等现场观测数据，以水色遥感理论为桥梁，研究和解决高时空分辨率遥感影像的复杂浑浊水体悬沙浓度高精度反演等问题。在此基础上借助悬浮物海洋数值模拟方法，揭示珊瑚礁自然保护区附近海域网箱养殖水体悬沙浓度时空格局的长时序动态变化特征，最终探索其对珊瑚礁保护区的准确影响范围。</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）查明三亚珊瑚礁保护区西岛海域的海洋动力环境及水体特征</w:t>
            </w:r>
          </w:p>
          <w:p>
            <w:pPr>
              <w:pStyle w:val="null3"/>
              <w:jc w:val="left"/>
            </w:pPr>
            <w:r>
              <w:rPr>
                <w:rFonts w:ascii="仿宋_GB2312" w:hAnsi="仿宋_GB2312" w:cs="仿宋_GB2312" w:eastAsia="仿宋_GB2312"/>
              </w:rPr>
              <w:t>在三亚珊瑚礁保护区西岛附近海域进行一次海洋动力环境观测，多次悬浮物调查，揭示珊瑚礁区的水流、潮汐、悬浮物特征。</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）构建面向养殖海域水体的悬沙浓度高精度遥感反演模型</w:t>
            </w:r>
          </w:p>
          <w:p>
            <w:pPr>
              <w:pStyle w:val="null3"/>
              <w:jc w:val="left"/>
            </w:pPr>
            <w:r>
              <w:rPr>
                <w:rFonts w:ascii="仿宋_GB2312" w:hAnsi="仿宋_GB2312" w:cs="仿宋_GB2312" w:eastAsia="仿宋_GB2312"/>
              </w:rPr>
              <w:t>获取悬浮物调查同时段多源卫星遥感影像，辅助以无人机航拍多波段影像，利用有限的悬浮物采样点，通过建立实测数据和遥感影像波段反射率关系模型来对影像中的全部水体进行反演。</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）揭示近岸水体悬沙浓度长时序时空变化特征</w:t>
            </w:r>
          </w:p>
          <w:p>
            <w:pPr>
              <w:pStyle w:val="null3"/>
              <w:jc w:val="left"/>
            </w:pPr>
            <w:r>
              <w:rPr>
                <w:rFonts w:ascii="仿宋_GB2312" w:hAnsi="仿宋_GB2312" w:cs="仿宋_GB2312" w:eastAsia="仿宋_GB2312"/>
              </w:rPr>
              <w:t>建立近岸海洋动力与悬浮物扩散模型，计算西岛附近养殖海域悬沙浓度和沉降物长时序扩散变化值，分析其时空演变规律。根据珊瑚礁空间分布信息，叠加悬浮物浓度范围进行风险评估。</w:t>
            </w:r>
          </w:p>
          <w:p>
            <w:pPr>
              <w:pStyle w:val="null3"/>
              <w:jc w:val="left"/>
            </w:pPr>
            <w:r>
              <w:rPr>
                <w:rFonts w:ascii="仿宋_GB2312" w:hAnsi="仿宋_GB2312" w:cs="仿宋_GB2312" w:eastAsia="仿宋_GB2312"/>
              </w:rPr>
              <w:t>研究成果对珊瑚礁保护区长时序监测具有重要的应用价值，后期珊瑚礁区的管护只需要分析遥感影像就能得到悬浮物浓度分布及影响范围，不需要再实地调查采样和实验室分析，能够快速高效地为近岸海域珊瑚礁生态修复、统筹治理提供科学性、系统性的数据支撑与决策支持。</w:t>
            </w:r>
          </w:p>
          <w:p>
            <w:pPr>
              <w:pStyle w:val="null3"/>
              <w:jc w:val="both"/>
            </w:pPr>
            <w:r>
              <w:rPr>
                <w:rFonts w:ascii="仿宋_GB2312" w:hAnsi="仿宋_GB2312" w:cs="仿宋_GB2312" w:eastAsia="仿宋_GB2312"/>
                <w:sz w:val="21"/>
              </w:rPr>
              <w:t>根据以上要求作出相应的实施方案、对项目需求</w:t>
            </w:r>
            <w:r>
              <w:rPr>
                <w:rFonts w:ascii="仿宋_GB2312" w:hAnsi="仿宋_GB2312" w:cs="仿宋_GB2312" w:eastAsia="仿宋_GB2312"/>
                <w:sz w:val="21"/>
              </w:rPr>
              <w:t>的</w:t>
            </w:r>
            <w:r>
              <w:rPr>
                <w:rFonts w:ascii="仿宋_GB2312" w:hAnsi="仿宋_GB2312" w:cs="仿宋_GB2312" w:eastAsia="仿宋_GB2312"/>
                <w:sz w:val="21"/>
              </w:rPr>
              <w:t>分析</w:t>
            </w:r>
            <w:r>
              <w:rPr>
                <w:rFonts w:ascii="仿宋_GB2312" w:hAnsi="仿宋_GB2312" w:cs="仿宋_GB2312" w:eastAsia="仿宋_GB2312"/>
                <w:sz w:val="21"/>
              </w:rPr>
              <w:t>、</w:t>
            </w:r>
            <w:r>
              <w:rPr>
                <w:rFonts w:ascii="仿宋_GB2312" w:hAnsi="仿宋_GB2312" w:cs="仿宋_GB2312" w:eastAsia="仿宋_GB2312"/>
                <w:sz w:val="21"/>
              </w:rPr>
              <w:t>对重点难点的阐述</w:t>
            </w:r>
            <w:r>
              <w:rPr>
                <w:rFonts w:ascii="仿宋_GB2312" w:hAnsi="仿宋_GB2312" w:cs="仿宋_GB2312" w:eastAsia="仿宋_GB2312"/>
                <w:sz w:val="21"/>
              </w:rPr>
              <w:t>和应对对策、质量保障措施和进度保障措施及</w:t>
            </w:r>
            <w:r>
              <w:rPr>
                <w:rFonts w:ascii="仿宋_GB2312" w:hAnsi="仿宋_GB2312" w:cs="仿宋_GB2312" w:eastAsia="仿宋_GB2312"/>
                <w:sz w:val="21"/>
              </w:rPr>
              <w:t>售后服务</w:t>
            </w:r>
            <w:r>
              <w:rPr>
                <w:rFonts w:ascii="仿宋_GB2312" w:hAnsi="仿宋_GB2312" w:cs="仿宋_GB2312" w:eastAsia="仿宋_GB2312"/>
                <w:sz w:val="21"/>
              </w:rPr>
              <w:t>方案</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645"/>
              <w:jc w:val="both"/>
            </w:pPr>
            <w:r>
              <w:rPr>
                <w:rFonts w:ascii="仿宋_GB2312" w:hAnsi="仿宋_GB2312" w:cs="仿宋_GB2312" w:eastAsia="仿宋_GB2312"/>
                <w:sz w:val="30"/>
              </w:rPr>
              <w:t>1.项目实施地点：</w:t>
            </w:r>
            <w:r>
              <w:rPr>
                <w:rFonts w:ascii="仿宋_GB2312" w:hAnsi="仿宋_GB2312" w:cs="仿宋_GB2312" w:eastAsia="仿宋_GB2312"/>
                <w:sz w:val="30"/>
              </w:rPr>
              <w:t>采购人指定地点（海南省内）</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2.预算金额：¥</w:t>
            </w:r>
            <w:r>
              <w:rPr>
                <w:rFonts w:ascii="仿宋_GB2312" w:hAnsi="仿宋_GB2312" w:cs="仿宋_GB2312" w:eastAsia="仿宋_GB2312"/>
                <w:sz w:val="30"/>
              </w:rPr>
              <w:t xml:space="preserve"> </w:t>
            </w:r>
            <w:r>
              <w:rPr>
                <w:rFonts w:ascii="仿宋_GB2312" w:hAnsi="仿宋_GB2312" w:cs="仿宋_GB2312" w:eastAsia="仿宋_GB2312"/>
                <w:sz w:val="30"/>
              </w:rPr>
              <w:t>48.50万元。</w:t>
            </w:r>
          </w:p>
          <w:p>
            <w:pPr>
              <w:pStyle w:val="null3"/>
              <w:ind w:firstLine="600"/>
              <w:jc w:val="both"/>
            </w:pPr>
            <w:r>
              <w:rPr>
                <w:rFonts w:ascii="仿宋_GB2312" w:hAnsi="仿宋_GB2312" w:cs="仿宋_GB2312" w:eastAsia="仿宋_GB2312"/>
                <w:sz w:val="30"/>
              </w:rPr>
              <w:t>3.质量要求：符合国家、海南省、行业相关规范和标准的要求。</w:t>
            </w:r>
          </w:p>
          <w:p>
            <w:pPr>
              <w:pStyle w:val="null3"/>
              <w:ind w:firstLine="600"/>
              <w:jc w:val="left"/>
            </w:pPr>
            <w:r>
              <w:rPr>
                <w:rFonts w:ascii="仿宋_GB2312" w:hAnsi="仿宋_GB2312" w:cs="仿宋_GB2312" w:eastAsia="仿宋_GB2312"/>
                <w:sz w:val="30"/>
              </w:rPr>
              <w:t>4.履行时间（期限）：自合</w:t>
            </w:r>
            <w:r>
              <w:rPr>
                <w:rFonts w:ascii="仿宋_GB2312" w:hAnsi="仿宋_GB2312" w:cs="仿宋_GB2312" w:eastAsia="仿宋_GB2312"/>
                <w:sz w:val="32"/>
              </w:rPr>
              <w:t>同签订之日</w:t>
            </w:r>
            <w:r>
              <w:rPr>
                <w:rFonts w:ascii="仿宋_GB2312" w:hAnsi="仿宋_GB2312" w:cs="仿宋_GB2312" w:eastAsia="仿宋_GB2312"/>
                <w:sz w:val="30"/>
              </w:rPr>
              <w:t>起至</w:t>
            </w:r>
            <w:r>
              <w:rPr>
                <w:rFonts w:ascii="仿宋_GB2312" w:hAnsi="仿宋_GB2312" w:cs="仿宋_GB2312" w:eastAsia="仿宋_GB2312"/>
                <w:sz w:val="30"/>
              </w:rPr>
              <w:t>2026年6月30日。</w:t>
            </w:r>
          </w:p>
          <w:p>
            <w:pPr>
              <w:pStyle w:val="null3"/>
              <w:ind w:firstLine="600"/>
              <w:jc w:val="both"/>
            </w:pPr>
            <w:r>
              <w:rPr>
                <w:rFonts w:ascii="仿宋_GB2312" w:hAnsi="仿宋_GB2312" w:cs="仿宋_GB2312" w:eastAsia="仿宋_GB2312"/>
                <w:sz w:val="30"/>
              </w:rPr>
              <w:t>5.付款条件</w:t>
            </w:r>
          </w:p>
          <w:p>
            <w:pPr>
              <w:pStyle w:val="null3"/>
              <w:ind w:firstLine="600"/>
              <w:jc w:val="left"/>
            </w:pPr>
            <w:r>
              <w:rPr>
                <w:rFonts w:ascii="仿宋_GB2312" w:hAnsi="仿宋_GB2312" w:cs="仿宋_GB2312" w:eastAsia="仿宋_GB2312"/>
                <w:sz w:val="30"/>
              </w:rPr>
              <w:t>第一次付款：</w:t>
            </w:r>
            <w:r>
              <w:rPr>
                <w:rFonts w:ascii="仿宋_GB2312" w:hAnsi="仿宋_GB2312" w:cs="仿宋_GB2312" w:eastAsia="仿宋_GB2312"/>
                <w:sz w:val="30"/>
              </w:rPr>
              <w:t>合同签订后且收到乙方提供的等额有效完税发票之日起</w:t>
            </w:r>
            <w:r>
              <w:rPr>
                <w:rFonts w:ascii="仿宋_GB2312" w:hAnsi="仿宋_GB2312" w:cs="仿宋_GB2312" w:eastAsia="仿宋_GB2312"/>
                <w:sz w:val="30"/>
              </w:rPr>
              <w:t>5</w:t>
            </w:r>
            <w:r>
              <w:rPr>
                <w:rFonts w:ascii="仿宋_GB2312" w:hAnsi="仿宋_GB2312" w:cs="仿宋_GB2312" w:eastAsia="仿宋_GB2312"/>
                <w:sz w:val="30"/>
              </w:rPr>
              <w:t>个工作日内，甲方支付给乙方合同金额的</w:t>
            </w:r>
            <w:r>
              <w:rPr>
                <w:rFonts w:ascii="仿宋_GB2312" w:hAnsi="仿宋_GB2312" w:cs="仿宋_GB2312" w:eastAsia="仿宋_GB2312"/>
                <w:sz w:val="30"/>
              </w:rPr>
              <w:t>65</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第二次付款：</w:t>
            </w:r>
            <w:r>
              <w:rPr>
                <w:rFonts w:ascii="仿宋_GB2312" w:hAnsi="仿宋_GB2312" w:cs="仿宋_GB2312" w:eastAsia="仿宋_GB2312"/>
                <w:sz w:val="30"/>
              </w:rPr>
              <w:t>乙方依据项目实施时间节点</w:t>
            </w:r>
            <w:r>
              <w:rPr>
                <w:rFonts w:ascii="仿宋_GB2312" w:hAnsi="仿宋_GB2312" w:cs="仿宋_GB2312" w:eastAsia="仿宋_GB2312"/>
                <w:sz w:val="30"/>
              </w:rPr>
              <w:t>完成所有外业调查经双方确认后，</w:t>
            </w:r>
            <w:r>
              <w:rPr>
                <w:rFonts w:ascii="仿宋_GB2312" w:hAnsi="仿宋_GB2312" w:cs="仿宋_GB2312" w:eastAsia="仿宋_GB2312"/>
                <w:sz w:val="30"/>
              </w:rPr>
              <w:t>且甲方收到乙方提供的等额有效完税发票之日起</w:t>
            </w:r>
            <w:r>
              <w:rPr>
                <w:rFonts w:ascii="仿宋_GB2312" w:hAnsi="仿宋_GB2312" w:cs="仿宋_GB2312" w:eastAsia="仿宋_GB2312"/>
                <w:sz w:val="30"/>
              </w:rPr>
              <w:t>5</w:t>
            </w:r>
            <w:r>
              <w:rPr>
                <w:rFonts w:ascii="仿宋_GB2312" w:hAnsi="仿宋_GB2312" w:cs="仿宋_GB2312" w:eastAsia="仿宋_GB2312"/>
                <w:sz w:val="30"/>
              </w:rPr>
              <w:t>个工作日内，甲方支付给乙方合同金额的</w:t>
            </w:r>
            <w:r>
              <w:rPr>
                <w:rFonts w:ascii="仿宋_GB2312" w:hAnsi="仿宋_GB2312" w:cs="仿宋_GB2312" w:eastAsia="仿宋_GB2312"/>
                <w:sz w:val="30"/>
              </w:rPr>
              <w:t>25</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第三次付款：</w:t>
            </w:r>
            <w:r>
              <w:rPr>
                <w:rFonts w:ascii="仿宋_GB2312" w:hAnsi="仿宋_GB2312" w:cs="仿宋_GB2312" w:eastAsia="仿宋_GB2312"/>
                <w:sz w:val="30"/>
              </w:rPr>
              <w:t>乙方</w:t>
            </w:r>
            <w:r>
              <w:rPr>
                <w:rFonts w:ascii="仿宋_GB2312" w:hAnsi="仿宋_GB2312" w:cs="仿宋_GB2312" w:eastAsia="仿宋_GB2312"/>
                <w:sz w:val="30"/>
              </w:rPr>
              <w:t>完成所有项目并</w:t>
            </w:r>
            <w:r>
              <w:rPr>
                <w:rFonts w:ascii="仿宋_GB2312" w:hAnsi="仿宋_GB2312" w:cs="仿宋_GB2312" w:eastAsia="仿宋_GB2312"/>
                <w:sz w:val="30"/>
              </w:rPr>
              <w:t>通过</w:t>
            </w:r>
            <w:r>
              <w:rPr>
                <w:rFonts w:ascii="仿宋_GB2312" w:hAnsi="仿宋_GB2312" w:cs="仿宋_GB2312" w:eastAsia="仿宋_GB2312"/>
                <w:sz w:val="30"/>
              </w:rPr>
              <w:t>甲方</w:t>
            </w:r>
            <w:r>
              <w:rPr>
                <w:rFonts w:ascii="仿宋_GB2312" w:hAnsi="仿宋_GB2312" w:cs="仿宋_GB2312" w:eastAsia="仿宋_GB2312"/>
                <w:sz w:val="30"/>
              </w:rPr>
              <w:t>初步验收后，</w:t>
            </w:r>
            <w:r>
              <w:rPr>
                <w:rFonts w:ascii="仿宋_GB2312" w:hAnsi="仿宋_GB2312" w:cs="仿宋_GB2312" w:eastAsia="仿宋_GB2312"/>
                <w:sz w:val="30"/>
              </w:rPr>
              <w:t>且</w:t>
            </w:r>
            <w:r>
              <w:rPr>
                <w:rFonts w:ascii="仿宋_GB2312" w:hAnsi="仿宋_GB2312" w:cs="仿宋_GB2312" w:eastAsia="仿宋_GB2312"/>
                <w:sz w:val="30"/>
              </w:rPr>
              <w:t>甲方收到乙方提供的等额有效完税发票之日起</w:t>
            </w:r>
            <w:r>
              <w:rPr>
                <w:rFonts w:ascii="仿宋_GB2312" w:hAnsi="仿宋_GB2312" w:cs="仿宋_GB2312" w:eastAsia="仿宋_GB2312"/>
                <w:sz w:val="30"/>
              </w:rPr>
              <w:t>5</w:t>
            </w:r>
            <w:r>
              <w:rPr>
                <w:rFonts w:ascii="仿宋_GB2312" w:hAnsi="仿宋_GB2312" w:cs="仿宋_GB2312" w:eastAsia="仿宋_GB2312"/>
                <w:sz w:val="30"/>
              </w:rPr>
              <w:t>个工作日内，甲方支付给乙方合同金额的</w:t>
            </w:r>
            <w:r>
              <w:rPr>
                <w:rFonts w:ascii="仿宋_GB2312" w:hAnsi="仿宋_GB2312" w:cs="仿宋_GB2312" w:eastAsia="仿宋_GB2312"/>
                <w:sz w:val="30"/>
              </w:rPr>
              <w:t>10</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因财政拨款、不可抗力等原因造成甲方逾期付款的，乙方表示理解，不视为甲方违约，甲方不承担逾期付款违约责任。同时，乙方不得以甲方未及时付款为由拖延项目进度。</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技术方案 自觉抵制政府采购领域商业贿赂行为承诺书 封面 商业信誉、财务会计制度、缴纳税收和社保的承诺函 具有独立承担民事责任的能力证明文件 投标人承诺函 类似项目业绩 项目管理机构组成表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技术方案 自觉抵制政府采购领域商业贿赂行为承诺书 封面 商业信誉、财务会计制度、缴纳税收和社保的承诺函 具有独立承担民事责任的能力证明文件 投标人承诺函 类似项目业绩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技术方案 自觉抵制政府采购领域商业贿赂行为承诺书 封面 商业信誉、财务会计制度、缴纳税收和社保的承诺函 具有独立承担民事责任的能力证明文件 投标人承诺函 类似项目业绩 项目管理机构组成表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供应商提供的总体工作方案，包括但不限于以下内容：包括①方案技术路线是否科学合理、是否切实可行，并具有创新性、②方案框架层次是否分明，重点是否明确，内容是否完整、③具体工作方法手段选择是否正确，是否具有针对性、可操作性等内容）；以上内容无缺项或无漏项且符合本项目特点和实际需求的得9分，其中每有一项缺项或漏项扣3分，每有一项缺陷扣1.5分。 注：每有一项缺陷指的是：投标供应商提供的内容与项目实际情况不符、内容与项目表述不全面、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对项目需求的分析</w:t>
            </w:r>
          </w:p>
        </w:tc>
        <w:tc>
          <w:tcPr>
            <w:tcW w:type="dxa" w:w="2492"/>
          </w:tcPr>
          <w:p>
            <w:pPr>
              <w:pStyle w:val="null3"/>
              <w:jc w:val="both"/>
            </w:pPr>
            <w:r>
              <w:rPr>
                <w:rFonts w:ascii="仿宋_GB2312" w:hAnsi="仿宋_GB2312" w:cs="仿宋_GB2312" w:eastAsia="仿宋_GB2312"/>
              </w:rPr>
              <w:t>根据投标供应商对项目需求的分析，包括但不限于以下内容：①总体要求、②评估范围、③评估站位、④评估内容等的理解和熟悉程度等内容；以上内容无缺项或无漏项且符合本项目特点和实际需求的得6分，其中每有一项缺项或漏项扣1.5分，每有一项缺陷扣0.5分。 注：每有一项缺陷指的是：投标供应商提供的内容与项目实际情况不符、内容与项目表述不全面、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对重点难点的阐述和应对对策</w:t>
            </w:r>
          </w:p>
        </w:tc>
        <w:tc>
          <w:tcPr>
            <w:tcW w:type="dxa" w:w="2492"/>
          </w:tcPr>
          <w:p>
            <w:pPr>
              <w:pStyle w:val="null3"/>
              <w:jc w:val="both"/>
            </w:pPr>
            <w:r>
              <w:rPr>
                <w:rFonts w:ascii="仿宋_GB2312" w:hAnsi="仿宋_GB2312" w:cs="仿宋_GB2312" w:eastAsia="仿宋_GB2312"/>
              </w:rPr>
              <w:t>根据投标供应商对本项目重点、难点分析及应对措施，包括但不限于以下内容：①重点、难点分析、②重点、难点应对措施具有合理性、具有可操作性等内容进行综合评分。以上内容无缺项或无漏项且符合本项目特点和实际需求的得6分，其中每有一项缺项或漏项扣3分，每有一项缺陷扣1.5分。 注：每有一项缺陷指的是：投标供应商提供的内容与项目实际情况不符、内容与项目表述不全面、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质量保障措施</w:t>
            </w:r>
          </w:p>
        </w:tc>
        <w:tc>
          <w:tcPr>
            <w:tcW w:type="dxa" w:w="2492"/>
          </w:tcPr>
          <w:p>
            <w:pPr>
              <w:pStyle w:val="null3"/>
              <w:jc w:val="both"/>
            </w:pPr>
            <w:r>
              <w:rPr>
                <w:rFonts w:ascii="仿宋_GB2312" w:hAnsi="仿宋_GB2312" w:cs="仿宋_GB2312" w:eastAsia="仿宋_GB2312"/>
              </w:rPr>
              <w:t>根据投标供应商提供的项目实施方案，包括但不限于以下内容：①质量保证措施、②现场调查安全防护措施、③保密措施等由专家进行综合评价。以上内容无缺项或无漏项且符合本项目特点和实际需求的得9分，其中每有一项缺项或漏项扣3分，每有一项缺陷扣1.5分。 注：每有一项缺陷指的是：投标供应商提供的内容与项目实际情况不符、内容与项目表述不全面、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进度保障措施</w:t>
            </w:r>
          </w:p>
        </w:tc>
        <w:tc>
          <w:tcPr>
            <w:tcW w:type="dxa" w:w="2492"/>
          </w:tcPr>
          <w:p>
            <w:pPr>
              <w:pStyle w:val="null3"/>
              <w:jc w:val="both"/>
            </w:pPr>
            <w:r>
              <w:rPr>
                <w:rFonts w:ascii="仿宋_GB2312" w:hAnsi="仿宋_GB2312" w:cs="仿宋_GB2312" w:eastAsia="仿宋_GB2312"/>
              </w:rPr>
              <w:t>根据投标供应商对本项目制定的进度保障措施，包括但不限于以下内容：①进度计划、②进度编排的合理性、科学性、完整性、③关键节点的控制措施等进行综合评分。以上内容无缺项或无漏项且符合本项目特点和实际需求的得9分，其中每有一项缺项或漏项扣3分，每有一项缺陷扣1.5分。 注：每有一项缺陷指的是：投标供应商提供的内容与项目实际情况不符、内容与项目表述不全面、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供应商对本项目制定的进度保障措施，包括但不限于:售后服务响应时间、②)售后服务流程及机构设置、③售后服务团队、④应急保障措施等进行综合评分。以上内容无缺项或无漏项且符合本项目特点和实际需求的得6分，其中每有一项缺项或漏项扣1.5分，每有一项缺陷扣0.5分。 注：每有一项缺陷指的是：投标供应商提供的内容与项目实际情况不符、内容与项目表述不全面、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投标供应商2022年1月1日以来，承担过调查或监测类项目相关业绩，每项得5分，本项满分得25分。 证明材料：提供中标（成交）通知书或合同复印件或扫描件加盖投标供应商公章。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人员保障</w:t>
            </w:r>
          </w:p>
        </w:tc>
        <w:tc>
          <w:tcPr>
            <w:tcW w:type="dxa" w:w="2492"/>
          </w:tcPr>
          <w:p>
            <w:pPr>
              <w:pStyle w:val="null3"/>
              <w:jc w:val="both"/>
            </w:pPr>
            <w:r>
              <w:rPr>
                <w:rFonts w:ascii="仿宋_GB2312" w:hAnsi="仿宋_GB2312" w:cs="仿宋_GB2312" w:eastAsia="仿宋_GB2312"/>
              </w:rPr>
              <w:t>拟派项目技术人员中具有遥感、测绘、海洋和计算机相关专业人员，每提供一名得3分，此项满分12分。 以上专业人员中具备相关专业中级及以上职称的每提供一名得4分，此项满分得8分。 证明材料：提供相应职称证书、毕业证书等证明文件及2025年1月1日至今任意一个月在本单位缴纳社保证明材料复印件或扫描件加盖公章。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项目管理机构组成表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三亚珊瑚礁保护区西岛周边海域养殖悬浮物调查与监测响应报价低于全部通过符合性审查供应商响应报价平均值50%的，即三亚珊瑚礁保护区西岛周边海域养殖悬浮物调查与监测响应报价&lt;全部通过符合性审查供应商响应报价平均值×50%。 （2）三亚珊瑚礁保护区西岛周边海域养殖悬浮物调查与监测响应报价低于通过符合性审查且报价次低供应商响应报价50%的，即三亚珊瑚礁保护区西岛周边海域养殖悬浮物调查与监测响应报价&lt;通过符合性审查且报价次低供应商响应报价×50%。 （3）三亚珊瑚礁保护区西岛周边海域养殖悬浮物调查与监测响应报价低于最高限价45%的，即三亚珊瑚礁保护区西岛周边海域养殖悬浮物调查与监测响应报价&lt;最高限价×45%。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[HNCS-]20250700001[GK]-1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海南省2025年三亚珊瑚礁国家级自然保护区补助（第二批）(二次)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三亚珊瑚礁保护区西岛周边海域养殖悬浮物调查与监测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三亚珊瑚礁保护区西岛周边海域养殖悬浮物调查与监测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485000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备注：服务范围填写采购包名称即可</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详见附件：项目管理机构组成表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