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B4DC3">
      <w:pPr>
        <w:pStyle w:val="3"/>
        <w:shd w:val="clear" w:color="auto" w:fill="FFFFFF"/>
        <w:snapToGrid w:val="0"/>
        <w:spacing w:before="120" w:after="120" w:line="360" w:lineRule="auto"/>
        <w:jc w:val="center"/>
        <w:rPr>
          <w:rFonts w:hint="eastAsia" w:ascii="宋体" w:hAnsi="宋体"/>
          <w:color w:val="auto"/>
          <w:szCs w:val="44"/>
        </w:rPr>
      </w:pPr>
      <w:r>
        <w:rPr>
          <w:rFonts w:hint="eastAsia" w:ascii="宋体" w:hAnsi="宋体"/>
          <w:color w:val="auto"/>
          <w:szCs w:val="44"/>
        </w:rPr>
        <w:t>合同条款</w:t>
      </w:r>
    </w:p>
    <w:p w14:paraId="2881F971">
      <w:pPr>
        <w:rPr>
          <w:rFonts w:hint="eastAsia" w:ascii="宋体" w:hAnsi="宋体"/>
          <w:color w:val="auto"/>
        </w:rPr>
      </w:pPr>
    </w:p>
    <w:p w14:paraId="4BA1899E">
      <w:pPr>
        <w:spacing w:line="360" w:lineRule="auto"/>
        <w:jc w:val="center"/>
        <w:rPr>
          <w:rFonts w:ascii="宋体" w:hAnsi="宋体" w:cs="宋体"/>
          <w:b/>
          <w:color w:val="auto"/>
          <w:sz w:val="30"/>
          <w:szCs w:val="30"/>
        </w:rPr>
      </w:pPr>
      <w:bookmarkStart w:id="0" w:name="_Toc13687"/>
      <w:r>
        <w:rPr>
          <w:rFonts w:hint="eastAsia" w:ascii="宋体" w:hAnsi="宋体" w:cs="宋体"/>
          <w:b/>
          <w:color w:val="auto"/>
          <w:sz w:val="30"/>
          <w:szCs w:val="30"/>
        </w:rPr>
        <w:t>（具体条款由甲、乙双方依据本项目要求进行协商签订）</w:t>
      </w:r>
    </w:p>
    <w:p w14:paraId="4E16C666">
      <w:pPr>
        <w:spacing w:line="360" w:lineRule="auto"/>
        <w:jc w:val="center"/>
        <w:rPr>
          <w:rFonts w:ascii="宋体" w:hAnsi="宋体" w:cs="宋体"/>
          <w:b/>
          <w:color w:val="auto"/>
          <w:sz w:val="30"/>
          <w:szCs w:val="30"/>
        </w:rPr>
      </w:pPr>
      <w:r>
        <w:rPr>
          <w:rFonts w:hint="eastAsia" w:ascii="宋体" w:hAnsi="宋体" w:cs="宋体"/>
          <w:b/>
          <w:color w:val="auto"/>
          <w:sz w:val="30"/>
          <w:szCs w:val="30"/>
        </w:rPr>
        <w:t>合同条款部分</w:t>
      </w:r>
    </w:p>
    <w:p w14:paraId="45ED8ED9">
      <w:pPr>
        <w:spacing w:line="360" w:lineRule="auto"/>
        <w:rPr>
          <w:rFonts w:ascii="宋体" w:hAnsi="宋体" w:cs="宋体"/>
          <w:b/>
          <w:color w:val="auto"/>
          <w:sz w:val="24"/>
          <w:u w:val="single"/>
        </w:rPr>
      </w:pPr>
      <w:r>
        <w:rPr>
          <w:rFonts w:hint="eastAsia" w:ascii="宋体" w:hAnsi="宋体" w:cs="宋体"/>
          <w:color w:val="auto"/>
          <w:sz w:val="24"/>
        </w:rPr>
        <w:t>甲方:</w:t>
      </w:r>
      <w:r>
        <w:rPr>
          <w:rFonts w:hint="eastAsia" w:ascii="宋体" w:hAnsi="宋体" w:cs="宋体"/>
          <w:b/>
          <w:bCs/>
          <w:color w:val="auto"/>
          <w:sz w:val="24"/>
        </w:rPr>
        <w:t xml:space="preserve"> </w:t>
      </w:r>
      <w:r>
        <w:rPr>
          <w:rFonts w:hint="eastAsia" w:ascii="宋体" w:hAnsi="宋体" w:cs="宋体"/>
          <w:b/>
          <w:color w:val="auto"/>
          <w:sz w:val="24"/>
          <w:u w:val="single"/>
        </w:rPr>
        <w:t xml:space="preserve">                            </w:t>
      </w:r>
    </w:p>
    <w:p w14:paraId="242719A6">
      <w:pPr>
        <w:spacing w:line="360" w:lineRule="auto"/>
        <w:rPr>
          <w:rFonts w:ascii="宋体" w:hAnsi="宋体" w:cs="宋体"/>
          <w:b/>
          <w:color w:val="auto"/>
          <w:sz w:val="24"/>
          <w:u w:val="single"/>
        </w:rPr>
      </w:pPr>
      <w:r>
        <w:rPr>
          <w:rFonts w:hint="eastAsia" w:ascii="宋体" w:hAnsi="宋体" w:cs="宋体"/>
          <w:color w:val="auto"/>
          <w:sz w:val="24"/>
        </w:rPr>
        <w:t>乙方:</w:t>
      </w:r>
      <w:r>
        <w:rPr>
          <w:rFonts w:hint="eastAsia" w:ascii="宋体" w:hAnsi="宋体" w:cs="宋体"/>
          <w:b/>
          <w:color w:val="auto"/>
          <w:sz w:val="24"/>
        </w:rPr>
        <w:t xml:space="preserve">  </w:t>
      </w:r>
      <w:r>
        <w:rPr>
          <w:rFonts w:hint="eastAsia" w:ascii="宋体" w:hAnsi="宋体" w:cs="宋体"/>
          <w:b/>
          <w:color w:val="auto"/>
          <w:sz w:val="24"/>
          <w:u w:val="single"/>
        </w:rPr>
        <w:t xml:space="preserve">                           </w:t>
      </w:r>
    </w:p>
    <w:p w14:paraId="63C7BD9A">
      <w:pPr>
        <w:spacing w:line="360" w:lineRule="auto"/>
        <w:rPr>
          <w:rFonts w:ascii="宋体" w:hAnsi="宋体" w:cs="宋体"/>
          <w:b/>
          <w:color w:val="auto"/>
          <w:sz w:val="24"/>
          <w:u w:val="single"/>
        </w:rPr>
      </w:pPr>
    </w:p>
    <w:p w14:paraId="46BF8863">
      <w:pPr>
        <w:spacing w:line="360" w:lineRule="auto"/>
        <w:ind w:firstLine="480" w:firstLineChars="200"/>
        <w:rPr>
          <w:rFonts w:ascii="宋体" w:hAnsi="宋体" w:cs="宋体"/>
          <w:b/>
          <w:color w:val="auto"/>
          <w:sz w:val="36"/>
          <w:szCs w:val="36"/>
        </w:rPr>
      </w:pPr>
      <w:r>
        <w:rPr>
          <w:rFonts w:hint="eastAsia" w:ascii="宋体" w:hAnsi="宋体" w:cs="宋体"/>
          <w:color w:val="auto"/>
          <w:sz w:val="24"/>
        </w:rPr>
        <w:t>甲乙双方根据</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r>
        <w:rPr>
          <w:rFonts w:hint="eastAsia" w:ascii="宋体" w:hAnsi="宋体" w:cs="宋体"/>
          <w:color w:val="auto"/>
          <w:sz w:val="24"/>
          <w:u w:val="single"/>
        </w:rPr>
        <w:t xml:space="preserve">    </w:t>
      </w:r>
      <w:r>
        <w:rPr>
          <w:rFonts w:hint="eastAsia" w:ascii="宋体" w:hAnsi="宋体" w:cs="宋体"/>
          <w:color w:val="auto"/>
          <w:sz w:val="24"/>
        </w:rPr>
        <w:t>（项目编号:</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 xml:space="preserve"> </w:t>
      </w:r>
      <w:r>
        <w:rPr>
          <w:rFonts w:hint="eastAsia" w:ascii="宋体" w:hAnsi="宋体" w:cs="宋体"/>
          <w:color w:val="auto"/>
          <w:sz w:val="24"/>
        </w:rPr>
        <w:t>）公开招标结果及招标文件的要求,经协商一致,同意以下专用条款作为本项目合同条款的补充。当合同条款与专用条款不一致时，以专用条款为准。</w:t>
      </w:r>
    </w:p>
    <w:p w14:paraId="2655CCFC">
      <w:pPr>
        <w:spacing w:line="360" w:lineRule="auto"/>
        <w:rPr>
          <w:rFonts w:ascii="宋体" w:hAnsi="宋体" w:cs="宋体"/>
          <w:b/>
          <w:color w:val="auto"/>
          <w:sz w:val="28"/>
          <w:szCs w:val="28"/>
        </w:rPr>
      </w:pPr>
      <w:r>
        <w:rPr>
          <w:rFonts w:hint="eastAsia" w:ascii="宋体" w:hAnsi="宋体" w:cs="宋体"/>
          <w:b/>
          <w:color w:val="auto"/>
          <w:sz w:val="28"/>
          <w:szCs w:val="28"/>
        </w:rPr>
        <w:t>一、合同标的及金额等(详见附件清单)</w:t>
      </w:r>
    </w:p>
    <w:tbl>
      <w:tblPr>
        <w:tblStyle w:val="8"/>
        <w:tblW w:w="0" w:type="auto"/>
        <w:tblInd w:w="-150" w:type="dxa"/>
        <w:tblLayout w:type="fixed"/>
        <w:tblCellMar>
          <w:top w:w="0" w:type="dxa"/>
          <w:left w:w="30" w:type="dxa"/>
          <w:bottom w:w="0" w:type="dxa"/>
          <w:right w:w="30" w:type="dxa"/>
        </w:tblCellMar>
      </w:tblPr>
      <w:tblGrid>
        <w:gridCol w:w="720"/>
        <w:gridCol w:w="1448"/>
        <w:gridCol w:w="2332"/>
        <w:gridCol w:w="1080"/>
        <w:gridCol w:w="720"/>
        <w:gridCol w:w="900"/>
        <w:gridCol w:w="1080"/>
        <w:gridCol w:w="902"/>
      </w:tblGrid>
      <w:tr w14:paraId="470AF489">
        <w:tblPrEx>
          <w:tblCellMar>
            <w:top w:w="0" w:type="dxa"/>
            <w:left w:w="30" w:type="dxa"/>
            <w:bottom w:w="0" w:type="dxa"/>
            <w:right w:w="30" w:type="dxa"/>
          </w:tblCellMar>
        </w:tblPrEx>
        <w:trPr>
          <w:trHeight w:val="593" w:hRule="exact"/>
        </w:trPr>
        <w:tc>
          <w:tcPr>
            <w:tcW w:w="720" w:type="dxa"/>
            <w:tcBorders>
              <w:top w:val="single" w:color="auto" w:sz="8" w:space="0"/>
              <w:left w:val="single" w:color="auto" w:sz="8" w:space="0"/>
              <w:bottom w:val="single" w:color="auto" w:sz="8" w:space="0"/>
              <w:right w:val="single" w:color="auto" w:sz="8" w:space="0"/>
            </w:tcBorders>
            <w:noWrap w:val="0"/>
            <w:vAlign w:val="top"/>
          </w:tcPr>
          <w:p w14:paraId="3C07CF32">
            <w:pPr>
              <w:autoSpaceDE w:val="0"/>
              <w:autoSpaceDN w:val="0"/>
              <w:jc w:val="center"/>
              <w:rPr>
                <w:rFonts w:ascii="宋体" w:hAnsi="宋体" w:cs="Arial"/>
                <w:b/>
                <w:color w:val="auto"/>
                <w:sz w:val="24"/>
                <w:szCs w:val="21"/>
              </w:rPr>
            </w:pPr>
            <w:r>
              <w:rPr>
                <w:rFonts w:hint="eastAsia" w:ascii="宋体" w:hAnsi="宋体" w:cs="Arial"/>
                <w:b/>
                <w:color w:val="auto"/>
                <w:sz w:val="24"/>
                <w:szCs w:val="21"/>
              </w:rPr>
              <w:t>序号</w:t>
            </w:r>
          </w:p>
        </w:tc>
        <w:tc>
          <w:tcPr>
            <w:tcW w:w="1448" w:type="dxa"/>
            <w:tcBorders>
              <w:top w:val="single" w:color="auto" w:sz="8" w:space="0"/>
              <w:left w:val="single" w:color="auto" w:sz="8" w:space="0"/>
              <w:bottom w:val="single" w:color="auto" w:sz="8" w:space="0"/>
              <w:right w:val="single" w:color="auto" w:sz="8" w:space="0"/>
            </w:tcBorders>
            <w:noWrap w:val="0"/>
            <w:vAlign w:val="top"/>
          </w:tcPr>
          <w:p w14:paraId="323F6276">
            <w:pPr>
              <w:autoSpaceDE w:val="0"/>
              <w:autoSpaceDN w:val="0"/>
              <w:jc w:val="center"/>
              <w:rPr>
                <w:rFonts w:ascii="宋体" w:hAnsi="宋体" w:cs="Arial"/>
                <w:b/>
                <w:color w:val="auto"/>
                <w:sz w:val="24"/>
                <w:szCs w:val="21"/>
              </w:rPr>
            </w:pPr>
            <w:r>
              <w:rPr>
                <w:rFonts w:hint="eastAsia" w:ascii="宋体" w:hAnsi="宋体" w:cs="Arial"/>
                <w:b/>
                <w:color w:val="auto"/>
                <w:sz w:val="24"/>
                <w:szCs w:val="21"/>
              </w:rPr>
              <w:t>产品名称</w:t>
            </w:r>
          </w:p>
        </w:tc>
        <w:tc>
          <w:tcPr>
            <w:tcW w:w="2332" w:type="dxa"/>
            <w:tcBorders>
              <w:top w:val="single" w:color="auto" w:sz="8" w:space="0"/>
              <w:left w:val="single" w:color="auto" w:sz="8" w:space="0"/>
              <w:bottom w:val="single" w:color="auto" w:sz="8" w:space="0"/>
              <w:right w:val="single" w:color="auto" w:sz="8" w:space="0"/>
            </w:tcBorders>
            <w:noWrap w:val="0"/>
            <w:vAlign w:val="top"/>
          </w:tcPr>
          <w:p w14:paraId="2F5937E2">
            <w:pPr>
              <w:autoSpaceDE w:val="0"/>
              <w:autoSpaceDN w:val="0"/>
              <w:jc w:val="center"/>
              <w:rPr>
                <w:rFonts w:ascii="宋体" w:hAnsi="宋体" w:cs="Arial"/>
                <w:b/>
                <w:color w:val="auto"/>
                <w:sz w:val="24"/>
                <w:szCs w:val="21"/>
              </w:rPr>
            </w:pPr>
            <w:r>
              <w:rPr>
                <w:rFonts w:hint="eastAsia" w:ascii="宋体" w:hAnsi="宋体" w:cs="Arial"/>
                <w:b/>
                <w:color w:val="auto"/>
                <w:sz w:val="24"/>
                <w:szCs w:val="21"/>
              </w:rPr>
              <w:t>品牌、型号</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3A10B5F1">
            <w:pPr>
              <w:autoSpaceDE w:val="0"/>
              <w:autoSpaceDN w:val="0"/>
              <w:jc w:val="center"/>
              <w:rPr>
                <w:rFonts w:ascii="宋体" w:hAnsi="宋体" w:cs="Arial"/>
                <w:b/>
                <w:color w:val="auto"/>
                <w:sz w:val="24"/>
                <w:szCs w:val="21"/>
              </w:rPr>
            </w:pPr>
            <w:r>
              <w:rPr>
                <w:rFonts w:hint="eastAsia" w:ascii="宋体" w:hAnsi="宋体" w:cs="Arial"/>
                <w:b/>
                <w:color w:val="auto"/>
                <w:sz w:val="24"/>
                <w:szCs w:val="21"/>
              </w:rPr>
              <w:t>单价（元）</w:t>
            </w:r>
          </w:p>
        </w:tc>
        <w:tc>
          <w:tcPr>
            <w:tcW w:w="720" w:type="dxa"/>
            <w:tcBorders>
              <w:top w:val="single" w:color="auto" w:sz="8" w:space="0"/>
              <w:left w:val="single" w:color="auto" w:sz="8" w:space="0"/>
              <w:bottom w:val="single" w:color="auto" w:sz="8" w:space="0"/>
              <w:right w:val="single" w:color="auto" w:sz="4" w:space="0"/>
            </w:tcBorders>
            <w:noWrap w:val="0"/>
            <w:vAlign w:val="top"/>
          </w:tcPr>
          <w:p w14:paraId="4A067ED0">
            <w:pPr>
              <w:autoSpaceDE w:val="0"/>
              <w:autoSpaceDN w:val="0"/>
              <w:jc w:val="center"/>
              <w:rPr>
                <w:rFonts w:ascii="宋体" w:hAnsi="宋体" w:cs="Arial"/>
                <w:b/>
                <w:color w:val="auto"/>
                <w:sz w:val="24"/>
                <w:szCs w:val="21"/>
              </w:rPr>
            </w:pPr>
            <w:r>
              <w:rPr>
                <w:rFonts w:hint="eastAsia" w:ascii="宋体" w:hAnsi="宋体" w:cs="Arial"/>
                <w:b/>
                <w:color w:val="auto"/>
                <w:sz w:val="24"/>
                <w:szCs w:val="21"/>
              </w:rPr>
              <w:t>数量</w:t>
            </w:r>
          </w:p>
        </w:tc>
        <w:tc>
          <w:tcPr>
            <w:tcW w:w="900" w:type="dxa"/>
            <w:tcBorders>
              <w:top w:val="single" w:color="auto" w:sz="8" w:space="0"/>
              <w:left w:val="single" w:color="auto" w:sz="4" w:space="0"/>
              <w:bottom w:val="single" w:color="auto" w:sz="8" w:space="0"/>
              <w:right w:val="single" w:color="auto" w:sz="8" w:space="0"/>
            </w:tcBorders>
            <w:noWrap w:val="0"/>
            <w:vAlign w:val="top"/>
          </w:tcPr>
          <w:p w14:paraId="6C576C3B">
            <w:pPr>
              <w:autoSpaceDE w:val="0"/>
              <w:autoSpaceDN w:val="0"/>
              <w:jc w:val="center"/>
              <w:rPr>
                <w:rFonts w:ascii="宋体" w:hAnsi="宋体" w:cs="Arial"/>
                <w:b/>
                <w:color w:val="auto"/>
                <w:sz w:val="24"/>
                <w:szCs w:val="21"/>
              </w:rPr>
            </w:pPr>
            <w:r>
              <w:rPr>
                <w:rFonts w:hint="eastAsia" w:ascii="宋体" w:hAnsi="宋体" w:cs="Arial"/>
                <w:b/>
                <w:color w:val="auto"/>
                <w:sz w:val="24"/>
                <w:szCs w:val="21"/>
              </w:rPr>
              <w:t>单位</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06E4A15D">
            <w:pPr>
              <w:autoSpaceDE w:val="0"/>
              <w:autoSpaceDN w:val="0"/>
              <w:jc w:val="center"/>
              <w:rPr>
                <w:rFonts w:ascii="宋体" w:hAnsi="宋体" w:cs="Arial"/>
                <w:b/>
                <w:color w:val="auto"/>
                <w:sz w:val="24"/>
                <w:szCs w:val="21"/>
              </w:rPr>
            </w:pPr>
            <w:r>
              <w:rPr>
                <w:rFonts w:hint="eastAsia" w:ascii="宋体" w:hAnsi="宋体" w:cs="Arial"/>
                <w:b/>
                <w:color w:val="auto"/>
                <w:sz w:val="24"/>
                <w:szCs w:val="21"/>
              </w:rPr>
              <w:t>合计（元）</w:t>
            </w:r>
          </w:p>
        </w:tc>
        <w:tc>
          <w:tcPr>
            <w:tcW w:w="902" w:type="dxa"/>
            <w:tcBorders>
              <w:top w:val="single" w:color="auto" w:sz="8" w:space="0"/>
              <w:left w:val="single" w:color="auto" w:sz="8" w:space="0"/>
              <w:bottom w:val="single" w:color="auto" w:sz="8" w:space="0"/>
              <w:right w:val="single" w:color="auto" w:sz="8" w:space="0"/>
            </w:tcBorders>
            <w:noWrap w:val="0"/>
            <w:vAlign w:val="top"/>
          </w:tcPr>
          <w:p w14:paraId="5F1CAF6E">
            <w:pPr>
              <w:autoSpaceDE w:val="0"/>
              <w:autoSpaceDN w:val="0"/>
              <w:jc w:val="center"/>
              <w:rPr>
                <w:rFonts w:ascii="宋体" w:hAnsi="宋体" w:cs="Arial"/>
                <w:b/>
                <w:color w:val="auto"/>
                <w:sz w:val="24"/>
                <w:szCs w:val="21"/>
              </w:rPr>
            </w:pPr>
            <w:r>
              <w:rPr>
                <w:rFonts w:hint="eastAsia" w:ascii="宋体" w:hAnsi="宋体" w:cs="Arial"/>
                <w:b/>
                <w:color w:val="auto"/>
                <w:sz w:val="24"/>
                <w:szCs w:val="21"/>
              </w:rPr>
              <w:t>备注</w:t>
            </w:r>
          </w:p>
        </w:tc>
      </w:tr>
      <w:tr w14:paraId="6E059194">
        <w:tblPrEx>
          <w:tblCellMar>
            <w:top w:w="0" w:type="dxa"/>
            <w:left w:w="30" w:type="dxa"/>
            <w:bottom w:w="0" w:type="dxa"/>
            <w:right w:w="30" w:type="dxa"/>
          </w:tblCellMar>
        </w:tblPrEx>
        <w:trPr>
          <w:trHeight w:val="770"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01DF12C4">
            <w:pPr>
              <w:autoSpaceDE w:val="0"/>
              <w:autoSpaceDN w:val="0"/>
              <w:jc w:val="center"/>
              <w:rPr>
                <w:rFonts w:ascii="宋体" w:hAnsi="宋体" w:cs="Arial"/>
                <w:color w:val="auto"/>
                <w:sz w:val="24"/>
                <w:szCs w:val="21"/>
              </w:rPr>
            </w:pPr>
            <w:r>
              <w:rPr>
                <w:rFonts w:hint="eastAsia" w:ascii="宋体" w:hAnsi="宋体" w:cs="Arial"/>
                <w:color w:val="auto"/>
                <w:sz w:val="24"/>
                <w:szCs w:val="21"/>
              </w:rPr>
              <w:t>1</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487602A4">
            <w:pPr>
              <w:rPr>
                <w:rFonts w:ascii="宋体" w:hAnsi="宋体" w:cs="宋体"/>
                <w:color w:val="auto"/>
                <w:sz w:val="24"/>
              </w:rPr>
            </w:pPr>
            <w:r>
              <w:rPr>
                <w:rFonts w:hint="eastAsia" w:ascii="宋体" w:hAnsi="宋体" w:cs="宋体"/>
                <w:color w:val="auto"/>
                <w:sz w:val="24"/>
              </w:rPr>
              <w:t xml:space="preserve"> </w:t>
            </w:r>
          </w:p>
          <w:p w14:paraId="5B2D17D7">
            <w:pPr>
              <w:jc w:val="center"/>
              <w:rPr>
                <w:rFonts w:ascii="宋体" w:hAnsi="宋体" w:cs="Arial"/>
                <w:color w:val="auto"/>
                <w:sz w:val="24"/>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0A30C2CF">
            <w:pPr>
              <w:autoSpaceDE w:val="0"/>
              <w:autoSpaceDN w:val="0"/>
              <w:ind w:right="480" w:firstLine="360" w:firstLineChars="150"/>
              <w:jc w:val="center"/>
              <w:rPr>
                <w:rFonts w:ascii="宋体" w:hAnsi="宋体" w:cs="Arial"/>
                <w:color w:val="auto"/>
                <w:sz w:val="24"/>
                <w:szCs w:val="21"/>
              </w:rPr>
            </w:pPr>
            <w:r>
              <w:rPr>
                <w:rFonts w:hint="eastAsia" w:ascii="宋体" w:hAnsi="宋体" w:cs="Arial"/>
                <w:color w:val="auto"/>
                <w:sz w:val="24"/>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16A81720">
            <w:pPr>
              <w:autoSpaceDE w:val="0"/>
              <w:autoSpaceDN w:val="0"/>
              <w:jc w:val="center"/>
              <w:rPr>
                <w:rFonts w:ascii="宋体" w:hAnsi="宋体" w:cs="Arial"/>
                <w:color w:val="auto"/>
                <w:sz w:val="24"/>
                <w:szCs w:val="21"/>
              </w:rPr>
            </w:pPr>
            <w:r>
              <w:rPr>
                <w:rFonts w:hint="eastAsia" w:ascii="宋体" w:hAnsi="宋体" w:cs="Arial"/>
                <w:color w:val="auto"/>
                <w:sz w:val="24"/>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04428630">
            <w:pPr>
              <w:autoSpaceDE w:val="0"/>
              <w:autoSpaceDN w:val="0"/>
              <w:jc w:val="center"/>
              <w:rPr>
                <w:rFonts w:ascii="宋体" w:hAnsi="宋体" w:cs="Arial"/>
                <w:color w:val="auto"/>
                <w:sz w:val="24"/>
                <w:szCs w:val="21"/>
              </w:rPr>
            </w:pPr>
            <w:r>
              <w:rPr>
                <w:rFonts w:hint="eastAsia" w:ascii="宋体" w:hAnsi="宋体" w:cs="Arial"/>
                <w:color w:val="auto"/>
                <w:sz w:val="24"/>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15C86E7D">
            <w:pPr>
              <w:autoSpaceDE w:val="0"/>
              <w:autoSpaceDN w:val="0"/>
              <w:jc w:val="center"/>
              <w:rPr>
                <w:rFonts w:ascii="宋体" w:hAnsi="宋体" w:cs="Arial"/>
                <w:color w:val="auto"/>
                <w:sz w:val="24"/>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12340F7D">
            <w:pPr>
              <w:jc w:val="center"/>
              <w:rPr>
                <w:rFonts w:ascii="宋体" w:hAnsi="宋体" w:cs="Arial"/>
                <w:color w:val="auto"/>
                <w:sz w:val="24"/>
                <w:szCs w:val="21"/>
              </w:rPr>
            </w:pPr>
            <w:r>
              <w:rPr>
                <w:rFonts w:hint="eastAsia" w:ascii="宋体" w:hAnsi="宋体" w:cs="Arial"/>
                <w:color w:val="auto"/>
                <w:sz w:val="24"/>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6BA29134">
            <w:pPr>
              <w:rPr>
                <w:rFonts w:ascii="宋体" w:hAnsi="宋体" w:cs="Arial"/>
                <w:color w:val="auto"/>
                <w:sz w:val="24"/>
                <w:szCs w:val="21"/>
              </w:rPr>
            </w:pPr>
          </w:p>
        </w:tc>
      </w:tr>
      <w:tr w14:paraId="54B738A5">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251E3EA1">
            <w:pPr>
              <w:autoSpaceDE w:val="0"/>
              <w:autoSpaceDN w:val="0"/>
              <w:jc w:val="center"/>
              <w:rPr>
                <w:rFonts w:ascii="宋体" w:hAnsi="宋体" w:cs="Arial"/>
                <w:color w:val="auto"/>
                <w:sz w:val="24"/>
                <w:szCs w:val="21"/>
              </w:rPr>
            </w:pPr>
            <w:r>
              <w:rPr>
                <w:rFonts w:hint="eastAsia" w:ascii="宋体" w:hAnsi="宋体" w:cs="Arial"/>
                <w:color w:val="auto"/>
                <w:sz w:val="24"/>
                <w:szCs w:val="21"/>
              </w:rPr>
              <w:t>2</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55F3CF82">
            <w:pPr>
              <w:rPr>
                <w:rFonts w:ascii="宋体" w:hAnsi="宋体" w:cs="宋体"/>
                <w:color w:val="auto"/>
                <w:sz w:val="24"/>
              </w:rPr>
            </w:pPr>
            <w:r>
              <w:rPr>
                <w:rFonts w:hint="eastAsia" w:ascii="宋体" w:hAnsi="宋体" w:cs="宋体"/>
                <w:color w:val="auto"/>
                <w:sz w:val="24"/>
              </w:rPr>
              <w:t xml:space="preserve"> </w:t>
            </w:r>
          </w:p>
          <w:p w14:paraId="61DCC12D">
            <w:pPr>
              <w:jc w:val="center"/>
              <w:rPr>
                <w:rFonts w:ascii="宋体" w:hAnsi="宋体" w:cs="Arial"/>
                <w:color w:val="auto"/>
                <w:sz w:val="24"/>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7D9A6747">
            <w:pPr>
              <w:autoSpaceDE w:val="0"/>
              <w:autoSpaceDN w:val="0"/>
              <w:ind w:right="480" w:firstLine="360" w:firstLineChars="150"/>
              <w:jc w:val="center"/>
              <w:rPr>
                <w:rFonts w:ascii="宋体" w:hAnsi="宋体" w:cs="Arial"/>
                <w:color w:val="auto"/>
                <w:sz w:val="24"/>
                <w:szCs w:val="21"/>
              </w:rPr>
            </w:pPr>
            <w:r>
              <w:rPr>
                <w:rFonts w:hint="eastAsia" w:ascii="宋体" w:hAnsi="宋体" w:cs="Arial"/>
                <w:color w:val="auto"/>
                <w:sz w:val="24"/>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7C8EC764">
            <w:pPr>
              <w:autoSpaceDE w:val="0"/>
              <w:autoSpaceDN w:val="0"/>
              <w:jc w:val="center"/>
              <w:rPr>
                <w:rFonts w:ascii="宋体" w:hAnsi="宋体" w:cs="Arial"/>
                <w:color w:val="auto"/>
                <w:sz w:val="24"/>
                <w:szCs w:val="21"/>
              </w:rPr>
            </w:pPr>
            <w:r>
              <w:rPr>
                <w:rFonts w:hint="eastAsia" w:ascii="宋体" w:hAnsi="宋体" w:cs="Arial"/>
                <w:color w:val="auto"/>
                <w:sz w:val="24"/>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22915F1B">
            <w:pPr>
              <w:autoSpaceDE w:val="0"/>
              <w:autoSpaceDN w:val="0"/>
              <w:jc w:val="center"/>
              <w:rPr>
                <w:rFonts w:ascii="宋体" w:hAnsi="宋体" w:cs="Arial"/>
                <w:color w:val="auto"/>
                <w:sz w:val="24"/>
                <w:szCs w:val="21"/>
              </w:rPr>
            </w:pPr>
            <w:r>
              <w:rPr>
                <w:rFonts w:hint="eastAsia" w:ascii="宋体" w:hAnsi="宋体" w:cs="Arial"/>
                <w:color w:val="auto"/>
                <w:sz w:val="24"/>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68A93198">
            <w:pPr>
              <w:autoSpaceDE w:val="0"/>
              <w:autoSpaceDN w:val="0"/>
              <w:jc w:val="center"/>
              <w:rPr>
                <w:rFonts w:ascii="宋体" w:hAnsi="宋体" w:cs="Arial"/>
                <w:color w:val="auto"/>
                <w:sz w:val="24"/>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2663E449">
            <w:pPr>
              <w:jc w:val="center"/>
              <w:rPr>
                <w:rFonts w:ascii="宋体" w:hAnsi="宋体" w:cs="Arial"/>
                <w:color w:val="auto"/>
                <w:sz w:val="24"/>
                <w:szCs w:val="21"/>
              </w:rPr>
            </w:pPr>
            <w:r>
              <w:rPr>
                <w:rFonts w:hint="eastAsia" w:ascii="宋体" w:hAnsi="宋体" w:cs="Arial"/>
                <w:color w:val="auto"/>
                <w:sz w:val="24"/>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6602BDFB">
            <w:pPr>
              <w:rPr>
                <w:rFonts w:ascii="宋体" w:hAnsi="宋体" w:cs="Arial"/>
                <w:color w:val="auto"/>
                <w:sz w:val="24"/>
                <w:szCs w:val="21"/>
              </w:rPr>
            </w:pPr>
          </w:p>
        </w:tc>
      </w:tr>
      <w:tr w14:paraId="0CBF281B">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460273D9">
            <w:pPr>
              <w:autoSpaceDE w:val="0"/>
              <w:autoSpaceDN w:val="0"/>
              <w:jc w:val="center"/>
              <w:rPr>
                <w:rFonts w:ascii="宋体" w:hAnsi="宋体" w:cs="Arial"/>
                <w:color w:val="auto"/>
                <w:sz w:val="24"/>
                <w:szCs w:val="21"/>
              </w:rPr>
            </w:pPr>
          </w:p>
        </w:tc>
        <w:tc>
          <w:tcPr>
            <w:tcW w:w="1448" w:type="dxa"/>
            <w:tcBorders>
              <w:top w:val="single" w:color="auto" w:sz="8" w:space="0"/>
              <w:left w:val="single" w:color="auto" w:sz="8" w:space="0"/>
              <w:bottom w:val="single" w:color="auto" w:sz="8" w:space="0"/>
              <w:right w:val="single" w:color="auto" w:sz="8" w:space="0"/>
            </w:tcBorders>
            <w:noWrap w:val="0"/>
            <w:vAlign w:val="bottom"/>
          </w:tcPr>
          <w:p w14:paraId="2F6495B8">
            <w:pPr>
              <w:rPr>
                <w:rFonts w:ascii="宋体" w:hAnsi="宋体" w:cs="宋体"/>
                <w:color w:val="auto"/>
                <w:sz w:val="24"/>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7E330C1E">
            <w:pPr>
              <w:autoSpaceDE w:val="0"/>
              <w:autoSpaceDN w:val="0"/>
              <w:ind w:right="480" w:firstLine="360" w:firstLineChars="150"/>
              <w:jc w:val="center"/>
              <w:rPr>
                <w:rFonts w:ascii="宋体" w:hAnsi="宋体" w:cs="Arial"/>
                <w:color w:val="auto"/>
                <w:sz w:val="24"/>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2AD74250">
            <w:pPr>
              <w:autoSpaceDE w:val="0"/>
              <w:autoSpaceDN w:val="0"/>
              <w:jc w:val="center"/>
              <w:rPr>
                <w:rFonts w:ascii="宋体" w:hAnsi="宋体" w:cs="Arial"/>
                <w:color w:val="auto"/>
                <w:sz w:val="24"/>
                <w:szCs w:val="21"/>
              </w:rPr>
            </w:pPr>
          </w:p>
        </w:tc>
        <w:tc>
          <w:tcPr>
            <w:tcW w:w="720" w:type="dxa"/>
            <w:tcBorders>
              <w:top w:val="single" w:color="auto" w:sz="8" w:space="0"/>
              <w:left w:val="single" w:color="auto" w:sz="8" w:space="0"/>
              <w:bottom w:val="single" w:color="auto" w:sz="8" w:space="0"/>
              <w:right w:val="single" w:color="auto" w:sz="4" w:space="0"/>
            </w:tcBorders>
            <w:noWrap w:val="0"/>
            <w:vAlign w:val="top"/>
          </w:tcPr>
          <w:p w14:paraId="758F408D">
            <w:pPr>
              <w:autoSpaceDE w:val="0"/>
              <w:autoSpaceDN w:val="0"/>
              <w:jc w:val="center"/>
              <w:rPr>
                <w:rFonts w:ascii="宋体" w:hAnsi="宋体" w:cs="Arial"/>
                <w:color w:val="auto"/>
                <w:sz w:val="24"/>
                <w:szCs w:val="21"/>
              </w:rPr>
            </w:pPr>
          </w:p>
        </w:tc>
        <w:tc>
          <w:tcPr>
            <w:tcW w:w="900" w:type="dxa"/>
            <w:tcBorders>
              <w:top w:val="single" w:color="auto" w:sz="8" w:space="0"/>
              <w:left w:val="single" w:color="auto" w:sz="4" w:space="0"/>
              <w:bottom w:val="single" w:color="auto" w:sz="8" w:space="0"/>
              <w:right w:val="single" w:color="auto" w:sz="8" w:space="0"/>
            </w:tcBorders>
            <w:noWrap w:val="0"/>
            <w:vAlign w:val="top"/>
          </w:tcPr>
          <w:p w14:paraId="1C6DE22D">
            <w:pPr>
              <w:autoSpaceDE w:val="0"/>
              <w:autoSpaceDN w:val="0"/>
              <w:jc w:val="center"/>
              <w:rPr>
                <w:rFonts w:ascii="宋体" w:hAnsi="宋体" w:cs="Arial"/>
                <w:color w:val="auto"/>
                <w:sz w:val="24"/>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1A21A245">
            <w:pPr>
              <w:jc w:val="center"/>
              <w:rPr>
                <w:rFonts w:ascii="宋体" w:hAnsi="宋体" w:cs="Arial"/>
                <w:color w:val="auto"/>
                <w:sz w:val="24"/>
                <w:szCs w:val="21"/>
              </w:rPr>
            </w:pPr>
          </w:p>
        </w:tc>
        <w:tc>
          <w:tcPr>
            <w:tcW w:w="902" w:type="dxa"/>
            <w:tcBorders>
              <w:top w:val="single" w:color="auto" w:sz="8" w:space="0"/>
              <w:left w:val="single" w:color="auto" w:sz="8" w:space="0"/>
              <w:bottom w:val="single" w:color="auto" w:sz="8" w:space="0"/>
              <w:right w:val="single" w:color="auto" w:sz="8" w:space="0"/>
            </w:tcBorders>
            <w:noWrap w:val="0"/>
            <w:vAlign w:val="center"/>
          </w:tcPr>
          <w:p w14:paraId="5A1179C2">
            <w:pPr>
              <w:rPr>
                <w:rFonts w:ascii="宋体" w:hAnsi="宋体" w:cs="Arial"/>
                <w:color w:val="auto"/>
                <w:sz w:val="24"/>
                <w:szCs w:val="21"/>
              </w:rPr>
            </w:pPr>
          </w:p>
        </w:tc>
      </w:tr>
      <w:tr w14:paraId="3339D09A">
        <w:tblPrEx>
          <w:tblCellMar>
            <w:top w:w="0" w:type="dxa"/>
            <w:left w:w="30" w:type="dxa"/>
            <w:bottom w:w="0" w:type="dxa"/>
            <w:right w:w="30" w:type="dxa"/>
          </w:tblCellMar>
        </w:tblPrEx>
        <w:trPr>
          <w:trHeight w:val="579" w:hRule="exact"/>
        </w:trPr>
        <w:tc>
          <w:tcPr>
            <w:tcW w:w="2168" w:type="dxa"/>
            <w:gridSpan w:val="2"/>
            <w:vMerge w:val="restart"/>
            <w:tcBorders>
              <w:top w:val="single" w:color="auto" w:sz="8" w:space="0"/>
              <w:left w:val="single" w:color="auto" w:sz="8" w:space="0"/>
              <w:bottom w:val="single" w:color="auto" w:sz="8" w:space="0"/>
              <w:right w:val="single" w:color="auto" w:sz="8" w:space="0"/>
            </w:tcBorders>
            <w:noWrap w:val="0"/>
            <w:vAlign w:val="center"/>
          </w:tcPr>
          <w:p w14:paraId="144C80BE">
            <w:pPr>
              <w:autoSpaceDE w:val="0"/>
              <w:autoSpaceDN w:val="0"/>
              <w:jc w:val="center"/>
              <w:rPr>
                <w:rFonts w:ascii="宋体" w:hAnsi="宋体" w:cs="Arial"/>
                <w:color w:val="auto"/>
                <w:sz w:val="24"/>
                <w:szCs w:val="21"/>
              </w:rPr>
            </w:pPr>
            <w:r>
              <w:rPr>
                <w:rFonts w:hint="eastAsia" w:ascii="宋体" w:hAnsi="宋体" w:cs="Arial"/>
                <w:b/>
                <w:color w:val="auto"/>
                <w:sz w:val="24"/>
                <w:szCs w:val="21"/>
              </w:rPr>
              <w:t>合同总额</w:t>
            </w: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67D58949">
            <w:pPr>
              <w:rPr>
                <w:rFonts w:ascii="宋体" w:hAnsi="宋体" w:cs="Arial"/>
                <w:color w:val="auto"/>
                <w:sz w:val="24"/>
                <w:szCs w:val="21"/>
              </w:rPr>
            </w:pPr>
            <w:r>
              <w:rPr>
                <w:rFonts w:hint="eastAsia" w:ascii="宋体" w:hAnsi="宋体" w:cs="Arial"/>
                <w:color w:val="auto"/>
                <w:sz w:val="24"/>
                <w:szCs w:val="21"/>
              </w:rPr>
              <w:t>（小写）：¥      元</w:t>
            </w:r>
          </w:p>
        </w:tc>
      </w:tr>
      <w:tr w14:paraId="5B7F706D">
        <w:tblPrEx>
          <w:tblCellMar>
            <w:top w:w="0" w:type="dxa"/>
            <w:left w:w="30" w:type="dxa"/>
            <w:bottom w:w="0" w:type="dxa"/>
            <w:right w:w="30" w:type="dxa"/>
          </w:tblCellMar>
        </w:tblPrEx>
        <w:trPr>
          <w:trHeight w:val="579" w:hRule="atLeast"/>
        </w:trPr>
        <w:tc>
          <w:tcPr>
            <w:tcW w:w="2168" w:type="dxa"/>
            <w:gridSpan w:val="2"/>
            <w:vMerge w:val="continue"/>
            <w:tcBorders>
              <w:top w:val="single" w:color="auto" w:sz="8" w:space="0"/>
              <w:left w:val="single" w:color="auto" w:sz="8" w:space="0"/>
              <w:bottom w:val="single" w:color="auto" w:sz="8" w:space="0"/>
              <w:right w:val="single" w:color="auto" w:sz="8" w:space="0"/>
            </w:tcBorders>
            <w:noWrap w:val="0"/>
            <w:vAlign w:val="center"/>
          </w:tcPr>
          <w:p w14:paraId="2328020D">
            <w:pPr>
              <w:rPr>
                <w:rFonts w:ascii="宋体" w:hAnsi="宋体"/>
                <w:color w:val="auto"/>
                <w:sz w:val="20"/>
              </w:rPr>
            </w:pP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15692937">
            <w:pPr>
              <w:rPr>
                <w:rFonts w:ascii="宋体" w:hAnsi="宋体" w:cs="Arial"/>
                <w:color w:val="auto"/>
                <w:sz w:val="24"/>
                <w:szCs w:val="21"/>
              </w:rPr>
            </w:pPr>
            <w:r>
              <w:rPr>
                <w:rFonts w:hint="eastAsia" w:ascii="宋体" w:hAnsi="宋体" w:cs="Arial"/>
                <w:color w:val="auto"/>
                <w:sz w:val="24"/>
                <w:szCs w:val="21"/>
              </w:rPr>
              <w:t xml:space="preserve">（大写）:               </w:t>
            </w:r>
            <w:r>
              <w:rPr>
                <w:rFonts w:hint="eastAsia" w:ascii="宋体" w:hAnsi="宋体" w:cs="Arial"/>
                <w:color w:val="auto"/>
                <w:sz w:val="28"/>
                <w:szCs w:val="21"/>
              </w:rPr>
              <w:t>元整</w:t>
            </w:r>
          </w:p>
        </w:tc>
      </w:tr>
    </w:tbl>
    <w:p w14:paraId="0151170B">
      <w:pPr>
        <w:spacing w:line="360" w:lineRule="auto"/>
        <w:rPr>
          <w:rFonts w:ascii="宋体" w:hAnsi="宋体" w:cs="宋体"/>
          <w:b/>
          <w:color w:val="auto"/>
          <w:sz w:val="24"/>
        </w:rPr>
      </w:pPr>
      <w:bookmarkStart w:id="1" w:name="_Toc462068968"/>
      <w:bookmarkStart w:id="2" w:name="_Toc417386176"/>
      <w:r>
        <w:rPr>
          <w:rFonts w:hint="eastAsia" w:ascii="宋体" w:hAnsi="宋体" w:cs="宋体"/>
          <w:b/>
          <w:color w:val="auto"/>
          <w:sz w:val="24"/>
        </w:rPr>
        <w:t>交货期/工期/服务期：</w:t>
      </w:r>
      <w:r>
        <w:rPr>
          <w:rFonts w:hint="eastAsia" w:ascii="宋体" w:hAnsi="宋体" w:cs="宋体"/>
          <w:b/>
          <w:color w:val="auto"/>
          <w:sz w:val="24"/>
          <w:u w:val="single"/>
        </w:rPr>
        <w:t xml:space="preserve">            </w:t>
      </w:r>
      <w:r>
        <w:rPr>
          <w:rFonts w:hint="eastAsia" w:ascii="宋体" w:hAnsi="宋体" w:cs="宋体"/>
          <w:b/>
          <w:color w:val="auto"/>
          <w:sz w:val="24"/>
        </w:rPr>
        <w:t xml:space="preserve"> </w:t>
      </w:r>
    </w:p>
    <w:bookmarkEnd w:id="1"/>
    <w:bookmarkEnd w:id="2"/>
    <w:p w14:paraId="647AA1A8">
      <w:pPr>
        <w:spacing w:line="360" w:lineRule="auto"/>
        <w:rPr>
          <w:rFonts w:ascii="宋体" w:hAnsi="宋体" w:cs="宋体"/>
          <w:b/>
          <w:color w:val="auto"/>
          <w:sz w:val="28"/>
          <w:szCs w:val="28"/>
        </w:rPr>
      </w:pPr>
      <w:bookmarkStart w:id="3" w:name="_Toc424563315"/>
      <w:bookmarkStart w:id="4" w:name="_Toc424566854"/>
      <w:bookmarkStart w:id="5" w:name="_Toc424716420"/>
      <w:bookmarkStart w:id="6" w:name="_Toc425425703"/>
      <w:r>
        <w:rPr>
          <w:rFonts w:hint="eastAsia" w:ascii="宋体" w:hAnsi="宋体" w:cs="宋体"/>
          <w:b/>
          <w:color w:val="auto"/>
          <w:sz w:val="28"/>
          <w:szCs w:val="28"/>
        </w:rPr>
        <w:t xml:space="preserve">二、合同通用条款 </w:t>
      </w:r>
    </w:p>
    <w:p w14:paraId="00EA9D98">
      <w:pPr>
        <w:spacing w:line="360" w:lineRule="auto"/>
        <w:rPr>
          <w:rFonts w:ascii="宋体" w:hAnsi="宋体" w:cs="宋体"/>
          <w:color w:val="auto"/>
          <w:sz w:val="24"/>
        </w:rPr>
      </w:pPr>
      <w:r>
        <w:rPr>
          <w:rFonts w:hint="eastAsia" w:ascii="宋体" w:hAnsi="宋体" w:cs="宋体"/>
          <w:color w:val="auto"/>
          <w:sz w:val="24"/>
        </w:rPr>
        <w:t>与采购人协商决定。</w:t>
      </w:r>
    </w:p>
    <w:p w14:paraId="6764B50F">
      <w:pPr>
        <w:spacing w:line="360" w:lineRule="auto"/>
        <w:rPr>
          <w:rFonts w:ascii="宋体" w:hAnsi="宋体" w:cs="宋体"/>
          <w:b/>
          <w:color w:val="auto"/>
          <w:sz w:val="28"/>
          <w:szCs w:val="28"/>
        </w:rPr>
      </w:pPr>
      <w:r>
        <w:rPr>
          <w:rFonts w:hint="eastAsia" w:ascii="宋体" w:hAnsi="宋体" w:cs="宋体"/>
          <w:b/>
          <w:color w:val="auto"/>
          <w:sz w:val="28"/>
          <w:szCs w:val="28"/>
        </w:rPr>
        <w:t>三、付款方式</w:t>
      </w:r>
      <w:bookmarkEnd w:id="3"/>
      <w:bookmarkEnd w:id="4"/>
      <w:bookmarkEnd w:id="5"/>
      <w:bookmarkEnd w:id="6"/>
    </w:p>
    <w:p w14:paraId="794D7A66">
      <w:pPr>
        <w:tabs>
          <w:tab w:val="left" w:pos="1433"/>
        </w:tabs>
        <w:autoSpaceDE w:val="0"/>
        <w:autoSpaceDN w:val="0"/>
        <w:adjustRightInd w:val="0"/>
        <w:snapToGrid w:val="0"/>
        <w:spacing w:line="360" w:lineRule="auto"/>
        <w:ind w:firstLine="480" w:firstLineChars="200"/>
        <w:rPr>
          <w:rFonts w:hint="eastAsia" w:ascii="宋体" w:hAnsi="宋体" w:cs="FangSong_GB2312"/>
          <w:color w:val="auto"/>
          <w:sz w:val="24"/>
        </w:rPr>
      </w:pPr>
      <w:r>
        <w:rPr>
          <w:rFonts w:hint="eastAsia" w:ascii="宋体" w:hAnsi="宋体" w:cs="FangSong_GB2312"/>
          <w:color w:val="auto"/>
          <w:sz w:val="24"/>
        </w:rPr>
        <w:t>第一期：签订合同后，投标人在提供经采购人认可的支付申请及财务票据后，采购人在10日内向投标人支付项目合同金额的</w:t>
      </w:r>
      <w:r>
        <w:rPr>
          <w:rFonts w:hint="eastAsia" w:ascii="宋体" w:hAnsi="宋体" w:cs="FangSong_GB2312"/>
          <w:color w:val="auto"/>
          <w:sz w:val="24"/>
          <w:lang w:eastAsia="zh-CN"/>
        </w:rPr>
        <w:t>7</w:t>
      </w:r>
      <w:r>
        <w:rPr>
          <w:rFonts w:hint="eastAsia" w:ascii="宋体" w:hAnsi="宋体" w:cs="FangSong_GB2312"/>
          <w:color w:val="auto"/>
          <w:sz w:val="24"/>
        </w:rPr>
        <w:t>0%。</w:t>
      </w:r>
    </w:p>
    <w:p w14:paraId="72B4C39B">
      <w:pPr>
        <w:tabs>
          <w:tab w:val="left" w:pos="1433"/>
        </w:tabs>
        <w:autoSpaceDE w:val="0"/>
        <w:autoSpaceDN w:val="0"/>
        <w:adjustRightInd w:val="0"/>
        <w:snapToGrid w:val="0"/>
        <w:spacing w:line="360" w:lineRule="auto"/>
        <w:ind w:firstLine="480" w:firstLineChars="200"/>
        <w:rPr>
          <w:rFonts w:hint="eastAsia" w:ascii="宋体" w:hAnsi="宋体" w:cs="FangSong_GB2312"/>
          <w:color w:val="auto"/>
          <w:sz w:val="24"/>
        </w:rPr>
      </w:pPr>
      <w:r>
        <w:rPr>
          <w:rFonts w:hint="eastAsia" w:ascii="宋体" w:hAnsi="宋体" w:cs="FangSong_GB2312"/>
          <w:color w:val="auto"/>
          <w:sz w:val="24"/>
        </w:rPr>
        <w:t>第二期：投标人完成总体任务指标达</w:t>
      </w:r>
      <w:r>
        <w:rPr>
          <w:rFonts w:hint="eastAsia" w:ascii="宋体" w:hAnsi="宋体" w:cs="FangSong_GB2312"/>
          <w:color w:val="auto"/>
          <w:sz w:val="24"/>
          <w:lang w:val="en-US" w:eastAsia="zh-CN"/>
        </w:rPr>
        <w:t>7</w:t>
      </w:r>
      <w:r>
        <w:rPr>
          <w:rFonts w:hint="eastAsia" w:ascii="宋体" w:hAnsi="宋体" w:cs="FangSong_GB2312"/>
          <w:color w:val="auto"/>
          <w:sz w:val="24"/>
        </w:rPr>
        <w:t>0%，并通过采购人的验收后10日内，采购人向投标人支付第二期款项。第二期款为合同金额的剩余款项。支付该笔款项前，中标人须向采购人提供合同金额5%的履约保证金（履约保证金可支持以支票、汇票、本票或者金融机构、担保机构出具的保函等非现金形式提交）。中标人在一年合同期限内100%完成总体任务指标，并通过相关验收后，采购人将退还其履约保证金，否则将予以没收。</w:t>
      </w:r>
    </w:p>
    <w:p w14:paraId="47C9EAA5">
      <w:pPr>
        <w:tabs>
          <w:tab w:val="left" w:pos="1433"/>
        </w:tabs>
        <w:autoSpaceDE w:val="0"/>
        <w:autoSpaceDN w:val="0"/>
        <w:adjustRightInd w:val="0"/>
        <w:snapToGrid w:val="0"/>
        <w:spacing w:line="360" w:lineRule="auto"/>
        <w:ind w:firstLine="480" w:firstLineChars="200"/>
        <w:rPr>
          <w:rFonts w:hint="eastAsia" w:ascii="宋体" w:hAnsi="宋体" w:cs="FangSong_GB2312"/>
          <w:color w:val="auto"/>
          <w:sz w:val="24"/>
        </w:rPr>
      </w:pPr>
      <w:r>
        <w:rPr>
          <w:rFonts w:hint="eastAsia" w:ascii="宋体" w:hAnsi="宋体" w:cs="FangSong_GB2312"/>
          <w:color w:val="auto"/>
          <w:sz w:val="24"/>
        </w:rPr>
        <w:t>具体进度及金额由双方协商。</w:t>
      </w:r>
    </w:p>
    <w:p w14:paraId="6488C334">
      <w:pPr>
        <w:tabs>
          <w:tab w:val="left" w:pos="1433"/>
        </w:tabs>
        <w:autoSpaceDE w:val="0"/>
        <w:autoSpaceDN w:val="0"/>
        <w:adjustRightInd w:val="0"/>
        <w:snapToGrid w:val="0"/>
        <w:spacing w:line="360" w:lineRule="auto"/>
        <w:ind w:firstLine="480" w:firstLineChars="200"/>
        <w:rPr>
          <w:rFonts w:hint="eastAsia" w:ascii="宋体" w:hAnsi="宋体" w:cs="FangSong_GB2312"/>
          <w:color w:val="auto"/>
          <w:sz w:val="24"/>
        </w:rPr>
      </w:pPr>
      <w:r>
        <w:rPr>
          <w:rFonts w:hint="eastAsia" w:ascii="宋体" w:hAnsi="宋体" w:cs="FangSong_GB2312"/>
          <w:color w:val="auto"/>
          <w:sz w:val="24"/>
        </w:rPr>
        <w:t>投标人在满足上述支付要求时，须书面提出支付申请函及拟支付金额等额的符合采购人财务管理要求的相应票据，采购人确认后启动支付流程。</w:t>
      </w:r>
    </w:p>
    <w:p w14:paraId="5752C4DB">
      <w:pPr>
        <w:tabs>
          <w:tab w:val="left" w:pos="1433"/>
        </w:tabs>
        <w:autoSpaceDE w:val="0"/>
        <w:autoSpaceDN w:val="0"/>
        <w:adjustRightInd w:val="0"/>
        <w:snapToGrid w:val="0"/>
        <w:spacing w:line="360" w:lineRule="auto"/>
        <w:ind w:firstLine="480" w:firstLineChars="200"/>
        <w:rPr>
          <w:rFonts w:ascii="宋体" w:hAnsi="宋体" w:cs="FangSong_GB2312"/>
          <w:color w:val="auto"/>
          <w:sz w:val="24"/>
        </w:rPr>
      </w:pPr>
      <w:r>
        <w:rPr>
          <w:rFonts w:hint="eastAsia" w:ascii="宋体" w:hAnsi="宋体" w:cs="FangSong_GB2312"/>
          <w:color w:val="auto"/>
          <w:sz w:val="24"/>
        </w:rPr>
        <w:t>项目实际支付总金额按采购成交总金额计算，项目支付计划按合同约定执行，对于满足合同约定支付条件的，采购人应当自收到相关票据及材料后10日内将资金支付到合同约定的投标人账户，不得以机构变动、人员更替、政策调整等为由延迟付款，不得将采购文件和合同中未规定的义务作为向投标人付款的条件。如因政府财政部门审查、财政支付管理流程及预算下达导致支付延期，支付期限自动顺延，采购人不承担责任，投标人不得以此为由迟延履行或不履行合同义务。</w:t>
      </w:r>
    </w:p>
    <w:p w14:paraId="53B1E26B">
      <w:pPr>
        <w:adjustRightInd w:val="0"/>
        <w:snapToGrid w:val="0"/>
        <w:spacing w:line="360" w:lineRule="auto"/>
        <w:rPr>
          <w:rFonts w:ascii="宋体" w:hAnsi="宋体" w:cs="宋体"/>
          <w:b/>
          <w:color w:val="auto"/>
          <w:sz w:val="24"/>
        </w:rPr>
      </w:pPr>
      <w:r>
        <w:rPr>
          <w:rFonts w:hint="eastAsia" w:ascii="宋体" w:hAnsi="宋体" w:cs="宋体"/>
          <w:b/>
          <w:color w:val="auto"/>
          <w:sz w:val="24"/>
        </w:rPr>
        <w:t>四、验收</w:t>
      </w:r>
    </w:p>
    <w:p w14:paraId="71ADBD8C">
      <w:pPr>
        <w:widowControl w:val="0"/>
        <w:numPr>
          <w:ilvl w:val="3"/>
          <w:numId w:val="1"/>
        </w:numPr>
        <w:adjustRightInd w:val="0"/>
        <w:snapToGrid w:val="0"/>
        <w:spacing w:line="360" w:lineRule="auto"/>
        <w:jc w:val="both"/>
        <w:rPr>
          <w:rFonts w:ascii="宋体" w:hAnsi="宋体" w:cs="仿宋"/>
          <w:color w:val="auto"/>
          <w:sz w:val="24"/>
        </w:rPr>
      </w:pPr>
      <w:r>
        <w:rPr>
          <w:rFonts w:ascii="宋体" w:hAnsi="宋体" w:cs="仿宋"/>
          <w:color w:val="auto"/>
          <w:spacing w:val="-3"/>
          <w:sz w:val="24"/>
        </w:rPr>
        <w:t>验收要求</w:t>
      </w:r>
    </w:p>
    <w:p w14:paraId="41E7E304">
      <w:pPr>
        <w:adjustRightInd w:val="0"/>
        <w:snapToGrid w:val="0"/>
        <w:spacing w:line="360" w:lineRule="auto"/>
        <w:ind w:firstLine="480" w:firstLineChars="200"/>
        <w:rPr>
          <w:rFonts w:ascii="宋体" w:hAnsi="宋体"/>
          <w:color w:val="auto"/>
          <w:sz w:val="24"/>
        </w:rPr>
      </w:pPr>
      <w:r>
        <w:rPr>
          <w:rFonts w:hint="eastAsia" w:ascii="宋体" w:hAnsi="宋体"/>
          <w:color w:val="auto"/>
          <w:sz w:val="24"/>
        </w:rPr>
        <w:t>乙方在每月、季度、年度末报送项目进展情况，可结合任务目标完成情况，提交验收申请，验收分项目阶段验收及项目结题验收。</w:t>
      </w:r>
    </w:p>
    <w:p w14:paraId="35F49C75">
      <w:pPr>
        <w:widowControl w:val="0"/>
        <w:numPr>
          <w:ilvl w:val="4"/>
          <w:numId w:val="2"/>
        </w:numPr>
        <w:adjustRightInd w:val="0"/>
        <w:snapToGrid w:val="0"/>
        <w:spacing w:line="360" w:lineRule="auto"/>
        <w:ind w:left="556" w:firstLine="403"/>
        <w:jc w:val="both"/>
        <w:rPr>
          <w:rFonts w:ascii="宋体" w:hAnsi="宋体" w:cs="FangSong_GB2312"/>
          <w:color w:val="auto"/>
          <w:sz w:val="24"/>
        </w:rPr>
      </w:pPr>
      <w:r>
        <w:rPr>
          <w:rFonts w:hint="eastAsia" w:ascii="宋体" w:hAnsi="宋体" w:cs="FangSong_GB2312"/>
          <w:color w:val="auto"/>
          <w:spacing w:val="14"/>
          <w:sz w:val="24"/>
        </w:rPr>
        <w:t>项目阶段验收</w:t>
      </w:r>
    </w:p>
    <w:p w14:paraId="1FCDAC30">
      <w:pPr>
        <w:adjustRightInd w:val="0"/>
        <w:snapToGrid w:val="0"/>
        <w:spacing w:line="360" w:lineRule="auto"/>
        <w:ind w:firstLine="480" w:firstLineChars="200"/>
        <w:textAlignment w:val="center"/>
        <w:rPr>
          <w:rFonts w:ascii="宋体" w:hAnsi="宋体" w:cs="FangSong_GB2312"/>
          <w:b/>
          <w:bCs/>
          <w:iCs/>
          <w:color w:val="auto"/>
          <w:sz w:val="24"/>
        </w:rPr>
      </w:pPr>
      <w:r>
        <w:rPr>
          <w:rFonts w:hint="eastAsia" w:ascii="宋体" w:hAnsi="宋体"/>
          <w:color w:val="auto"/>
          <w:sz w:val="24"/>
        </w:rPr>
        <w:t>自签订合同日期起，投标人完成总体任务目标达80%的，可向采购人提交初验收报告，描述各任务指标完成情况，并结合验收指标表要求提供相应的佐证材料。甲方根据以下评分表进行权重评分，总分100分，评分</w:t>
      </w:r>
      <w:r>
        <w:rPr>
          <w:rFonts w:hint="eastAsia" w:ascii="宋体" w:hAnsi="宋体" w:cs="FangSong_GB2312"/>
          <w:b/>
          <w:bCs/>
          <w:iCs/>
          <w:color w:val="auto"/>
          <w:sz w:val="24"/>
        </w:rPr>
        <w:t>大于或等于80分即算达成总体任务目标80%。</w:t>
      </w:r>
    </w:p>
    <w:tbl>
      <w:tblPr>
        <w:tblStyle w:val="8"/>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7"/>
        <w:gridCol w:w="2273"/>
        <w:gridCol w:w="5323"/>
      </w:tblGrid>
      <w:tr w14:paraId="512D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07" w:type="dxa"/>
            <w:noWrap w:val="0"/>
            <w:vAlign w:val="center"/>
          </w:tcPr>
          <w:p w14:paraId="66E20C21">
            <w:pPr>
              <w:autoSpaceDE w:val="0"/>
              <w:autoSpaceDN w:val="0"/>
              <w:adjustRightInd w:val="0"/>
              <w:snapToGrid w:val="0"/>
              <w:spacing w:line="360" w:lineRule="exact"/>
              <w:jc w:val="center"/>
              <w:rPr>
                <w:rFonts w:ascii="宋体" w:hAnsi="宋体" w:cs="FangSong_GB2312"/>
                <w:b/>
                <w:bCs/>
                <w:color w:val="auto"/>
                <w:szCs w:val="21"/>
                <w:lang w:val="zh-CN" w:bidi="zh-CN"/>
              </w:rPr>
            </w:pPr>
            <w:r>
              <w:rPr>
                <w:rFonts w:hint="eastAsia" w:ascii="宋体" w:hAnsi="宋体" w:cs="FangSong_GB2312"/>
                <w:b/>
                <w:bCs/>
                <w:color w:val="auto"/>
                <w:szCs w:val="21"/>
                <w:lang w:val="zh-CN" w:bidi="zh-CN"/>
              </w:rPr>
              <w:t>指标类型</w:t>
            </w:r>
          </w:p>
        </w:tc>
        <w:tc>
          <w:tcPr>
            <w:tcW w:w="2273" w:type="dxa"/>
            <w:noWrap w:val="0"/>
            <w:vAlign w:val="center"/>
          </w:tcPr>
          <w:p w14:paraId="3893B7D7">
            <w:pPr>
              <w:autoSpaceDE w:val="0"/>
              <w:autoSpaceDN w:val="0"/>
              <w:adjustRightInd w:val="0"/>
              <w:snapToGrid w:val="0"/>
              <w:spacing w:line="360" w:lineRule="exact"/>
              <w:jc w:val="center"/>
              <w:rPr>
                <w:rFonts w:ascii="宋体" w:hAnsi="宋体" w:cs="FangSong_GB2312"/>
                <w:b/>
                <w:bCs/>
                <w:color w:val="auto"/>
                <w:szCs w:val="21"/>
                <w:lang w:val="zh-CN" w:bidi="zh-CN"/>
              </w:rPr>
            </w:pPr>
            <w:r>
              <w:rPr>
                <w:rFonts w:hint="eastAsia" w:ascii="宋体" w:hAnsi="宋体" w:cs="FangSong_GB2312"/>
                <w:b/>
                <w:bCs/>
                <w:color w:val="auto"/>
                <w:szCs w:val="21"/>
                <w:lang w:val="zh-CN" w:bidi="zh-CN"/>
              </w:rPr>
              <w:t>指标说明</w:t>
            </w:r>
          </w:p>
        </w:tc>
        <w:tc>
          <w:tcPr>
            <w:tcW w:w="5323" w:type="dxa"/>
            <w:noWrap w:val="0"/>
            <w:vAlign w:val="center"/>
          </w:tcPr>
          <w:p w14:paraId="29A8C977">
            <w:pPr>
              <w:autoSpaceDE w:val="0"/>
              <w:autoSpaceDN w:val="0"/>
              <w:adjustRightInd w:val="0"/>
              <w:snapToGrid w:val="0"/>
              <w:spacing w:line="360" w:lineRule="exact"/>
              <w:jc w:val="center"/>
              <w:rPr>
                <w:rFonts w:ascii="宋体" w:hAnsi="宋体" w:cs="FangSong_GB2312"/>
                <w:b/>
                <w:bCs/>
                <w:color w:val="auto"/>
                <w:szCs w:val="21"/>
                <w:lang w:val="zh-CN" w:bidi="zh-CN"/>
              </w:rPr>
            </w:pPr>
            <w:r>
              <w:rPr>
                <w:rFonts w:hint="eastAsia" w:ascii="宋体" w:hAnsi="宋体" w:cs="FangSong_GB2312"/>
                <w:b/>
                <w:bCs/>
                <w:color w:val="auto"/>
                <w:szCs w:val="21"/>
                <w:lang w:val="zh-CN" w:bidi="zh-CN"/>
              </w:rPr>
              <w:t>任务目标</w:t>
            </w:r>
          </w:p>
        </w:tc>
      </w:tr>
      <w:tr w14:paraId="5087E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vMerge w:val="restart"/>
            <w:noWrap w:val="0"/>
            <w:vAlign w:val="center"/>
          </w:tcPr>
          <w:p w14:paraId="6D1D9EED">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数量指标</w:t>
            </w:r>
          </w:p>
        </w:tc>
        <w:tc>
          <w:tcPr>
            <w:tcW w:w="2273" w:type="dxa"/>
            <w:noWrap w:val="0"/>
            <w:vAlign w:val="center"/>
          </w:tcPr>
          <w:p w14:paraId="12CA8732">
            <w:pPr>
              <w:snapToGrid w:val="0"/>
              <w:spacing w:line="360" w:lineRule="exact"/>
              <w:jc w:val="center"/>
              <w:rPr>
                <w:rFonts w:ascii="宋体" w:hAnsi="宋体" w:cs="FangSong_GB2312"/>
                <w:color w:val="auto"/>
                <w:szCs w:val="21"/>
                <w:lang w:bidi="zh-CN"/>
              </w:rPr>
            </w:pPr>
            <w:r>
              <w:rPr>
                <w:rFonts w:hint="eastAsia" w:ascii="宋体" w:hAnsi="宋体" w:cs="FangSong_GB2312"/>
                <w:color w:val="auto"/>
                <w:szCs w:val="21"/>
                <w:lang w:bidi="zh-CN"/>
              </w:rPr>
              <w:t>服务金融机构</w:t>
            </w:r>
          </w:p>
        </w:tc>
        <w:tc>
          <w:tcPr>
            <w:tcW w:w="5323" w:type="dxa"/>
            <w:noWrap w:val="0"/>
            <w:vAlign w:val="center"/>
          </w:tcPr>
          <w:p w14:paraId="4A542A30">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完善资金供给链条，引入不少于2类金融机构入驻。</w:t>
            </w:r>
          </w:p>
        </w:tc>
      </w:tr>
      <w:tr w14:paraId="01B52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vMerge w:val="continue"/>
            <w:noWrap w:val="0"/>
            <w:vAlign w:val="center"/>
          </w:tcPr>
          <w:p w14:paraId="2BED3046">
            <w:pPr>
              <w:snapToGrid w:val="0"/>
              <w:spacing w:line="360" w:lineRule="exact"/>
              <w:jc w:val="center"/>
              <w:rPr>
                <w:rFonts w:ascii="宋体" w:hAnsi="宋体" w:cs="FangSong_GB2312"/>
                <w:color w:val="auto"/>
                <w:szCs w:val="21"/>
                <w:lang w:val="zh-CN" w:bidi="zh-CN"/>
              </w:rPr>
            </w:pPr>
          </w:p>
        </w:tc>
        <w:tc>
          <w:tcPr>
            <w:tcW w:w="2273" w:type="dxa"/>
            <w:noWrap w:val="0"/>
            <w:vAlign w:val="center"/>
          </w:tcPr>
          <w:p w14:paraId="77BA2237">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汇集金融产品数</w:t>
            </w:r>
          </w:p>
        </w:tc>
        <w:tc>
          <w:tcPr>
            <w:tcW w:w="5323" w:type="dxa"/>
            <w:noWrap w:val="0"/>
            <w:vAlign w:val="center"/>
          </w:tcPr>
          <w:p w14:paraId="09C98721">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引流金融产品，实现金融产品上架累计数量达500款。</w:t>
            </w:r>
          </w:p>
        </w:tc>
      </w:tr>
      <w:tr w14:paraId="3292A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7" w:type="dxa"/>
            <w:vMerge w:val="continue"/>
            <w:noWrap w:val="0"/>
            <w:vAlign w:val="center"/>
          </w:tcPr>
          <w:p w14:paraId="246BFD90">
            <w:pPr>
              <w:snapToGrid w:val="0"/>
              <w:spacing w:line="360" w:lineRule="exact"/>
              <w:jc w:val="center"/>
              <w:rPr>
                <w:rFonts w:ascii="宋体" w:hAnsi="宋体" w:cs="FangSong_GB2312"/>
                <w:color w:val="auto"/>
                <w:szCs w:val="21"/>
                <w:lang w:val="zh-CN" w:bidi="zh-CN"/>
              </w:rPr>
            </w:pPr>
          </w:p>
        </w:tc>
        <w:tc>
          <w:tcPr>
            <w:tcW w:w="2273" w:type="dxa"/>
            <w:noWrap w:val="0"/>
            <w:vAlign w:val="center"/>
          </w:tcPr>
          <w:p w14:paraId="667E23F4">
            <w:pPr>
              <w:snapToGrid w:val="0"/>
              <w:spacing w:line="360" w:lineRule="exact"/>
              <w:jc w:val="center"/>
              <w:rPr>
                <w:rFonts w:ascii="宋体" w:hAnsi="宋体" w:cs="FangSong_GB2312"/>
                <w:color w:val="auto"/>
                <w:szCs w:val="21"/>
                <w:lang w:bidi="zh-CN"/>
              </w:rPr>
            </w:pPr>
            <w:r>
              <w:rPr>
                <w:rFonts w:hint="eastAsia" w:ascii="宋体" w:hAnsi="宋体" w:cs="FangSong_GB2312"/>
                <w:color w:val="auto"/>
                <w:szCs w:val="21"/>
                <w:lang w:bidi="zh-CN"/>
              </w:rPr>
              <w:t>各类推介宣讲</w:t>
            </w:r>
          </w:p>
        </w:tc>
        <w:tc>
          <w:tcPr>
            <w:tcW w:w="5323" w:type="dxa"/>
            <w:noWrap w:val="0"/>
            <w:vAlign w:val="center"/>
          </w:tcPr>
          <w:p w14:paraId="640B5803">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开展各类推介宣讲活动不少于20场（含市县培训活动）。</w:t>
            </w:r>
          </w:p>
        </w:tc>
      </w:tr>
      <w:tr w14:paraId="38084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vMerge w:val="restart"/>
            <w:noWrap w:val="0"/>
            <w:vAlign w:val="center"/>
          </w:tcPr>
          <w:p w14:paraId="4CA23928">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质量指标</w:t>
            </w:r>
          </w:p>
        </w:tc>
        <w:tc>
          <w:tcPr>
            <w:tcW w:w="2273" w:type="dxa"/>
            <w:noWrap w:val="0"/>
            <w:vAlign w:val="center"/>
          </w:tcPr>
          <w:p w14:paraId="4801F752">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团队规模</w:t>
            </w:r>
          </w:p>
        </w:tc>
        <w:tc>
          <w:tcPr>
            <w:tcW w:w="5323" w:type="dxa"/>
            <w:noWrap w:val="0"/>
            <w:vAlign w:val="center"/>
          </w:tcPr>
          <w:p w14:paraId="5FA59201">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项目运营团队不少于10人。</w:t>
            </w:r>
          </w:p>
        </w:tc>
      </w:tr>
      <w:tr w14:paraId="7EB5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vMerge w:val="continue"/>
            <w:noWrap w:val="0"/>
            <w:vAlign w:val="center"/>
          </w:tcPr>
          <w:p w14:paraId="4EA0A002">
            <w:pPr>
              <w:snapToGrid w:val="0"/>
              <w:spacing w:line="360" w:lineRule="exact"/>
              <w:jc w:val="center"/>
              <w:rPr>
                <w:rFonts w:ascii="宋体" w:hAnsi="宋体" w:cs="FangSong_GB2312"/>
                <w:color w:val="auto"/>
                <w:szCs w:val="21"/>
                <w:lang w:val="zh-CN" w:bidi="zh-CN"/>
              </w:rPr>
            </w:pPr>
          </w:p>
        </w:tc>
        <w:tc>
          <w:tcPr>
            <w:tcW w:w="2273" w:type="dxa"/>
            <w:noWrap w:val="0"/>
            <w:vAlign w:val="center"/>
          </w:tcPr>
          <w:p w14:paraId="2BEBB371">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bidi="zh-CN"/>
              </w:rPr>
              <w:t>业务运营推广体系建设</w:t>
            </w:r>
          </w:p>
        </w:tc>
        <w:tc>
          <w:tcPr>
            <w:tcW w:w="5323" w:type="dxa"/>
            <w:noWrap w:val="0"/>
            <w:vAlign w:val="center"/>
          </w:tcPr>
          <w:p w14:paraId="2851CCEB">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建立健全推广体系，有效推进平台运营各项工作，开展对外宣传活动，做好金融机构、政府对接，企业用户引入，金融产品研发，整合融资政策，数据运营，系统技术运维，协助做好用户投诉纠纷处理等工作。</w:t>
            </w:r>
          </w:p>
        </w:tc>
      </w:tr>
      <w:tr w14:paraId="3437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1407" w:type="dxa"/>
            <w:vMerge w:val="continue"/>
            <w:noWrap w:val="0"/>
            <w:vAlign w:val="center"/>
          </w:tcPr>
          <w:p w14:paraId="387B55E7">
            <w:pPr>
              <w:snapToGrid w:val="0"/>
              <w:spacing w:line="360" w:lineRule="exact"/>
              <w:jc w:val="center"/>
              <w:rPr>
                <w:rFonts w:ascii="宋体" w:hAnsi="宋体" w:cs="FangSong_GB2312"/>
                <w:color w:val="auto"/>
                <w:szCs w:val="21"/>
                <w:lang w:val="zh-CN" w:bidi="zh-CN"/>
              </w:rPr>
            </w:pPr>
          </w:p>
        </w:tc>
        <w:tc>
          <w:tcPr>
            <w:tcW w:w="2273" w:type="dxa"/>
            <w:vMerge w:val="restart"/>
            <w:noWrap w:val="0"/>
            <w:vAlign w:val="center"/>
          </w:tcPr>
          <w:p w14:paraId="32A2A584">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管理运营</w:t>
            </w:r>
          </w:p>
        </w:tc>
        <w:tc>
          <w:tcPr>
            <w:tcW w:w="5323" w:type="dxa"/>
            <w:noWrap w:val="0"/>
            <w:vAlign w:val="center"/>
          </w:tcPr>
          <w:p w14:paraId="4DF9CC08">
            <w:pPr>
              <w:snapToGrid w:val="0"/>
              <w:spacing w:line="360" w:lineRule="exact"/>
              <w:rPr>
                <w:rFonts w:ascii="宋体" w:hAnsi="宋体" w:cs="FangSong_GB2312"/>
                <w:color w:val="auto"/>
                <w:szCs w:val="21"/>
                <w:highlight w:val="yellow"/>
                <w:lang w:bidi="zh-CN"/>
              </w:rPr>
            </w:pPr>
            <w:r>
              <w:rPr>
                <w:rFonts w:hint="eastAsia" w:ascii="宋体" w:hAnsi="宋体" w:cs="FangSong_GB2312"/>
                <w:color w:val="auto"/>
                <w:szCs w:val="21"/>
                <w:lang w:val="zh-CN" w:bidi="zh-CN"/>
              </w:rPr>
              <w:t>数据运营。</w:t>
            </w:r>
            <w:r>
              <w:rPr>
                <w:rFonts w:hint="eastAsia" w:ascii="宋体" w:hAnsi="宋体" w:cs="FangSong_GB2312"/>
                <w:color w:val="auto"/>
                <w:szCs w:val="21"/>
                <w:lang w:bidi="zh-CN"/>
              </w:rPr>
              <w:t>1.以用数为导向，</w:t>
            </w:r>
            <w:r>
              <w:rPr>
                <w:rFonts w:hint="eastAsia" w:ascii="宋体" w:hAnsi="宋体" w:cs="FangSong_GB2312"/>
                <w:color w:val="auto"/>
                <w:szCs w:val="21"/>
                <w:lang w:val="zh-CN" w:bidi="zh-CN"/>
              </w:rPr>
              <w:t>协助对政务数据及外部数据接入、核查，提出优化、新增需求和建议，形成专报不少于2次。2.挖掘平台数据应用场景，</w:t>
            </w:r>
            <w:r>
              <w:rPr>
                <w:rFonts w:hint="eastAsia" w:ascii="宋体" w:hAnsi="宋体" w:cs="FangSong_GB2312"/>
                <w:color w:val="auto"/>
                <w:szCs w:val="21"/>
                <w:lang w:bidi="zh-CN"/>
              </w:rPr>
              <w:t>与</w:t>
            </w:r>
            <w:r>
              <w:rPr>
                <w:rFonts w:hint="eastAsia" w:ascii="宋体" w:hAnsi="宋体" w:cs="FangSong_GB2312"/>
                <w:color w:val="auto"/>
                <w:szCs w:val="21"/>
                <w:lang w:val="zh-CN" w:bidi="zh-CN"/>
              </w:rPr>
              <w:t>金融机构探索共建数据模型，加快推进平台数据向银行内部业务系统应用输出，帮助金融机构提升风险把控精准度及创新金融产品，提升政务数据使用价值。</w:t>
            </w:r>
          </w:p>
        </w:tc>
      </w:tr>
      <w:tr w14:paraId="2263D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407" w:type="dxa"/>
            <w:vMerge w:val="continue"/>
            <w:noWrap w:val="0"/>
            <w:vAlign w:val="center"/>
          </w:tcPr>
          <w:p w14:paraId="2EE66854">
            <w:pPr>
              <w:snapToGrid w:val="0"/>
              <w:spacing w:line="360" w:lineRule="exact"/>
              <w:jc w:val="center"/>
              <w:rPr>
                <w:rFonts w:ascii="宋体" w:hAnsi="宋体" w:cs="FangSong_GB2312"/>
                <w:color w:val="auto"/>
                <w:szCs w:val="21"/>
                <w:lang w:val="zh-CN" w:bidi="zh-CN"/>
              </w:rPr>
            </w:pPr>
          </w:p>
        </w:tc>
        <w:tc>
          <w:tcPr>
            <w:tcW w:w="2273" w:type="dxa"/>
            <w:vMerge w:val="continue"/>
            <w:noWrap w:val="0"/>
            <w:vAlign w:val="center"/>
          </w:tcPr>
          <w:p w14:paraId="3CD1AC1C">
            <w:pPr>
              <w:snapToGrid w:val="0"/>
              <w:spacing w:line="360" w:lineRule="exact"/>
              <w:jc w:val="center"/>
              <w:rPr>
                <w:rFonts w:ascii="宋体" w:hAnsi="宋体" w:cs="FangSong_GB2312"/>
                <w:color w:val="auto"/>
                <w:szCs w:val="21"/>
                <w:lang w:val="zh-CN" w:bidi="zh-CN"/>
              </w:rPr>
            </w:pPr>
          </w:p>
        </w:tc>
        <w:tc>
          <w:tcPr>
            <w:tcW w:w="5323" w:type="dxa"/>
            <w:noWrap w:val="0"/>
            <w:vAlign w:val="center"/>
          </w:tcPr>
          <w:p w14:paraId="59DE0198">
            <w:pPr>
              <w:snapToGrid w:val="0"/>
              <w:spacing w:line="360" w:lineRule="exact"/>
              <w:rPr>
                <w:rFonts w:ascii="宋体" w:hAnsi="宋体" w:cs="FangSong_GB2312"/>
                <w:color w:val="auto"/>
                <w:szCs w:val="21"/>
                <w:highlight w:val="yellow"/>
                <w:lang w:val="zh-CN" w:bidi="zh-CN"/>
              </w:rPr>
            </w:pPr>
            <w:r>
              <w:rPr>
                <w:rFonts w:hint="eastAsia" w:ascii="宋体" w:hAnsi="宋体" w:cs="FangSong_GB2312"/>
                <w:color w:val="auto"/>
                <w:szCs w:val="21"/>
                <w:lang w:bidi="zh-CN"/>
              </w:rPr>
              <w:t>协助</w:t>
            </w:r>
            <w:r>
              <w:rPr>
                <w:rFonts w:hint="eastAsia" w:ascii="宋体" w:hAnsi="宋体" w:cs="FangSong_GB2312"/>
                <w:color w:val="auto"/>
                <w:szCs w:val="21"/>
                <w:lang w:val="zh-CN" w:bidi="zh-CN"/>
              </w:rPr>
              <w:t>技术运维。负责搜集整理客户对系统使用过程中</w:t>
            </w:r>
            <w:r>
              <w:rPr>
                <w:rFonts w:hint="eastAsia" w:ascii="宋体" w:hAnsi="宋体" w:cs="FangSong_GB2312"/>
                <w:color w:val="auto"/>
                <w:szCs w:val="21"/>
                <w:lang w:bidi="zh-CN"/>
              </w:rPr>
              <w:t>提出的问题及</w:t>
            </w:r>
            <w:r>
              <w:rPr>
                <w:rFonts w:hint="eastAsia" w:ascii="宋体" w:hAnsi="宋体" w:cs="FangSong_GB2312"/>
                <w:color w:val="auto"/>
                <w:szCs w:val="21"/>
                <w:lang w:val="zh-CN" w:bidi="zh-CN"/>
              </w:rPr>
              <w:t>建议，整理反馈至</w:t>
            </w:r>
            <w:r>
              <w:rPr>
                <w:rFonts w:hint="eastAsia" w:ascii="宋体" w:hAnsi="宋体" w:cs="FangSong_GB2312"/>
                <w:color w:val="auto"/>
                <w:szCs w:val="21"/>
                <w:lang w:bidi="zh-CN"/>
              </w:rPr>
              <w:t>技术运维方</w:t>
            </w:r>
            <w:r>
              <w:rPr>
                <w:rFonts w:hint="eastAsia" w:ascii="宋体" w:hAnsi="宋体" w:cs="FangSong_GB2312"/>
                <w:color w:val="auto"/>
                <w:szCs w:val="21"/>
                <w:lang w:val="zh-CN" w:bidi="zh-CN"/>
              </w:rPr>
              <w:t>技术团队进行</w:t>
            </w:r>
            <w:r>
              <w:rPr>
                <w:rFonts w:hint="eastAsia" w:ascii="宋体" w:hAnsi="宋体" w:cs="FangSong_GB2312"/>
                <w:color w:val="auto"/>
                <w:szCs w:val="21"/>
                <w:lang w:bidi="zh-CN"/>
              </w:rPr>
              <w:t>解决及</w:t>
            </w:r>
            <w:r>
              <w:rPr>
                <w:rFonts w:hint="eastAsia" w:ascii="宋体" w:hAnsi="宋体" w:cs="FangSong_GB2312"/>
                <w:color w:val="auto"/>
                <w:szCs w:val="21"/>
                <w:lang w:val="zh-CN" w:bidi="zh-CN"/>
              </w:rPr>
              <w:t>系统优化。形成技术反馈不少于</w:t>
            </w:r>
            <w:r>
              <w:rPr>
                <w:rFonts w:hint="eastAsia" w:ascii="宋体" w:hAnsi="宋体" w:cs="FangSong_GB2312"/>
                <w:color w:val="auto"/>
                <w:szCs w:val="21"/>
                <w:lang w:bidi="zh-CN"/>
              </w:rPr>
              <w:t>6</w:t>
            </w:r>
            <w:r>
              <w:rPr>
                <w:rFonts w:hint="eastAsia" w:ascii="宋体" w:hAnsi="宋体" w:cs="FangSong_GB2312"/>
                <w:color w:val="auto"/>
                <w:szCs w:val="21"/>
                <w:lang w:val="zh-CN" w:bidi="zh-CN"/>
              </w:rPr>
              <w:t>次。</w:t>
            </w:r>
          </w:p>
        </w:tc>
      </w:tr>
      <w:tr w14:paraId="4689C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7" w:type="dxa"/>
            <w:vMerge w:val="continue"/>
            <w:noWrap w:val="0"/>
            <w:vAlign w:val="center"/>
          </w:tcPr>
          <w:p w14:paraId="4B06263F">
            <w:pPr>
              <w:snapToGrid w:val="0"/>
              <w:spacing w:line="360" w:lineRule="exact"/>
              <w:jc w:val="center"/>
              <w:rPr>
                <w:rFonts w:ascii="宋体" w:hAnsi="宋体" w:cs="FangSong_GB2312"/>
                <w:color w:val="auto"/>
                <w:szCs w:val="21"/>
                <w:lang w:val="zh-CN" w:bidi="zh-CN"/>
              </w:rPr>
            </w:pPr>
          </w:p>
        </w:tc>
        <w:tc>
          <w:tcPr>
            <w:tcW w:w="2273" w:type="dxa"/>
            <w:vMerge w:val="continue"/>
            <w:noWrap w:val="0"/>
            <w:vAlign w:val="center"/>
          </w:tcPr>
          <w:p w14:paraId="2D147C53">
            <w:pPr>
              <w:snapToGrid w:val="0"/>
              <w:spacing w:line="360" w:lineRule="exact"/>
              <w:jc w:val="center"/>
              <w:rPr>
                <w:rFonts w:ascii="宋体" w:hAnsi="宋体" w:cs="FangSong_GB2312"/>
                <w:color w:val="auto"/>
                <w:szCs w:val="21"/>
                <w:lang w:val="zh-CN" w:bidi="zh-CN"/>
              </w:rPr>
            </w:pPr>
          </w:p>
        </w:tc>
        <w:tc>
          <w:tcPr>
            <w:tcW w:w="5323" w:type="dxa"/>
            <w:noWrap w:val="0"/>
            <w:vAlign w:val="center"/>
          </w:tcPr>
          <w:p w14:paraId="72C13EA3">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val="zh-CN" w:bidi="zh-CN"/>
              </w:rPr>
              <w:t>系统直连。加快推进平台系统与银行系统联通，帮助银行提升使用平台系统效率，提升平台企业融资受理效率，且为下一步模型共建做好前期准备。</w:t>
            </w:r>
          </w:p>
        </w:tc>
      </w:tr>
      <w:tr w14:paraId="09216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07" w:type="dxa"/>
            <w:vMerge w:val="continue"/>
            <w:noWrap w:val="0"/>
            <w:vAlign w:val="center"/>
          </w:tcPr>
          <w:p w14:paraId="0B45646A">
            <w:pPr>
              <w:snapToGrid w:val="0"/>
              <w:spacing w:line="360" w:lineRule="exact"/>
              <w:jc w:val="center"/>
              <w:rPr>
                <w:rFonts w:ascii="宋体" w:hAnsi="宋体" w:cs="FangSong_GB2312"/>
                <w:color w:val="auto"/>
                <w:szCs w:val="21"/>
                <w:lang w:val="zh-CN" w:bidi="zh-CN"/>
              </w:rPr>
            </w:pPr>
          </w:p>
        </w:tc>
        <w:tc>
          <w:tcPr>
            <w:tcW w:w="2273" w:type="dxa"/>
            <w:vMerge w:val="continue"/>
            <w:noWrap w:val="0"/>
            <w:vAlign w:val="center"/>
          </w:tcPr>
          <w:p w14:paraId="349BB1CB">
            <w:pPr>
              <w:snapToGrid w:val="0"/>
              <w:spacing w:line="360" w:lineRule="exact"/>
              <w:jc w:val="center"/>
              <w:rPr>
                <w:rFonts w:ascii="宋体" w:hAnsi="宋体" w:cs="FangSong_GB2312"/>
                <w:color w:val="auto"/>
                <w:szCs w:val="21"/>
                <w:lang w:val="zh-CN" w:bidi="zh-CN"/>
              </w:rPr>
            </w:pPr>
          </w:p>
        </w:tc>
        <w:tc>
          <w:tcPr>
            <w:tcW w:w="5323" w:type="dxa"/>
            <w:noWrap w:val="0"/>
            <w:vAlign w:val="center"/>
          </w:tcPr>
          <w:p w14:paraId="2E2F230C">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bidi="zh-CN"/>
              </w:rPr>
              <w:t>运营监控</w:t>
            </w:r>
            <w:r>
              <w:rPr>
                <w:rFonts w:hint="eastAsia" w:ascii="宋体" w:hAnsi="宋体" w:cs="FangSong_GB2312"/>
                <w:color w:val="auto"/>
                <w:szCs w:val="21"/>
                <w:lang w:val="zh-CN" w:bidi="zh-CN"/>
              </w:rPr>
              <w:t>。1.负责平台各项数据统计和汇总、出具各类报表。2.负责用户数据分析、相关运营数据整理和</w:t>
            </w:r>
            <w:r>
              <w:rPr>
                <w:rFonts w:hint="eastAsia" w:ascii="宋体" w:hAnsi="宋体" w:cs="FangSong_GB2312"/>
                <w:color w:val="auto"/>
                <w:szCs w:val="21"/>
                <w:lang w:bidi="zh-CN"/>
              </w:rPr>
              <w:t>总结，</w:t>
            </w:r>
            <w:r>
              <w:rPr>
                <w:rFonts w:hint="eastAsia" w:ascii="宋体" w:hAnsi="宋体" w:cs="FangSong_GB2312"/>
                <w:color w:val="auto"/>
                <w:szCs w:val="21"/>
                <w:lang w:val="zh-CN" w:bidi="zh-CN"/>
              </w:rPr>
              <w:t>形成专报不少于</w:t>
            </w:r>
            <w:r>
              <w:rPr>
                <w:rFonts w:hint="eastAsia" w:ascii="宋体" w:hAnsi="宋体" w:cs="FangSong_GB2312"/>
                <w:color w:val="auto"/>
                <w:szCs w:val="21"/>
                <w:lang w:bidi="zh-CN"/>
              </w:rPr>
              <w:t>12</w:t>
            </w:r>
            <w:r>
              <w:rPr>
                <w:rFonts w:hint="eastAsia" w:ascii="宋体" w:hAnsi="宋体" w:cs="FangSong_GB2312"/>
                <w:color w:val="auto"/>
                <w:szCs w:val="21"/>
                <w:lang w:val="zh-CN" w:bidi="zh-CN"/>
              </w:rPr>
              <w:t>次。</w:t>
            </w:r>
          </w:p>
        </w:tc>
      </w:tr>
      <w:tr w14:paraId="67FDF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07" w:type="dxa"/>
            <w:vMerge w:val="continue"/>
            <w:noWrap w:val="0"/>
            <w:vAlign w:val="center"/>
          </w:tcPr>
          <w:p w14:paraId="7E050751">
            <w:pPr>
              <w:snapToGrid w:val="0"/>
              <w:spacing w:line="360" w:lineRule="exact"/>
              <w:jc w:val="center"/>
              <w:rPr>
                <w:rFonts w:ascii="宋体" w:hAnsi="宋体" w:cs="FangSong_GB2312"/>
                <w:color w:val="auto"/>
                <w:szCs w:val="21"/>
                <w:lang w:val="zh-CN" w:bidi="zh-CN"/>
              </w:rPr>
            </w:pPr>
          </w:p>
        </w:tc>
        <w:tc>
          <w:tcPr>
            <w:tcW w:w="2273" w:type="dxa"/>
            <w:vMerge w:val="continue"/>
            <w:noWrap w:val="0"/>
            <w:vAlign w:val="center"/>
          </w:tcPr>
          <w:p w14:paraId="08FFF646">
            <w:pPr>
              <w:snapToGrid w:val="0"/>
              <w:spacing w:line="360" w:lineRule="exact"/>
              <w:jc w:val="center"/>
              <w:rPr>
                <w:rFonts w:ascii="宋体" w:hAnsi="宋体" w:cs="FangSong_GB2312"/>
                <w:color w:val="auto"/>
                <w:szCs w:val="21"/>
                <w:lang w:val="zh-CN" w:bidi="zh-CN"/>
              </w:rPr>
            </w:pPr>
          </w:p>
        </w:tc>
        <w:tc>
          <w:tcPr>
            <w:tcW w:w="5323" w:type="dxa"/>
            <w:noWrap w:val="0"/>
            <w:vAlign w:val="center"/>
          </w:tcPr>
          <w:p w14:paraId="1F593D5D">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val="zh-CN" w:bidi="zh-CN"/>
              </w:rPr>
              <w:t>活动运营。负责对接各部门、市县、产业园区、行业协会等，通过上述渠道及互联网渠道，推介平台并完成企业用户引入指标。负责平台用户的拉新、留存和促活。</w:t>
            </w:r>
          </w:p>
        </w:tc>
      </w:tr>
      <w:tr w14:paraId="1454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07" w:type="dxa"/>
            <w:vMerge w:val="continue"/>
            <w:noWrap w:val="0"/>
            <w:vAlign w:val="center"/>
          </w:tcPr>
          <w:p w14:paraId="62390588">
            <w:pPr>
              <w:snapToGrid w:val="0"/>
              <w:spacing w:line="360" w:lineRule="exact"/>
              <w:jc w:val="center"/>
              <w:rPr>
                <w:rFonts w:ascii="宋体" w:hAnsi="宋体" w:cs="FangSong_GB2312"/>
                <w:color w:val="auto"/>
                <w:szCs w:val="21"/>
                <w:lang w:val="zh-CN" w:bidi="zh-CN"/>
              </w:rPr>
            </w:pPr>
          </w:p>
        </w:tc>
        <w:tc>
          <w:tcPr>
            <w:tcW w:w="2273" w:type="dxa"/>
            <w:vMerge w:val="continue"/>
            <w:noWrap w:val="0"/>
            <w:vAlign w:val="center"/>
          </w:tcPr>
          <w:p w14:paraId="55DDFC35">
            <w:pPr>
              <w:snapToGrid w:val="0"/>
              <w:spacing w:line="360" w:lineRule="exact"/>
              <w:jc w:val="center"/>
              <w:rPr>
                <w:rFonts w:ascii="宋体" w:hAnsi="宋体" w:cs="FangSong_GB2312"/>
                <w:color w:val="auto"/>
                <w:szCs w:val="21"/>
                <w:lang w:val="zh-CN" w:bidi="zh-CN"/>
              </w:rPr>
            </w:pPr>
          </w:p>
        </w:tc>
        <w:tc>
          <w:tcPr>
            <w:tcW w:w="5323" w:type="dxa"/>
            <w:noWrap w:val="0"/>
            <w:vAlign w:val="center"/>
          </w:tcPr>
          <w:p w14:paraId="2F0E9086">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val="zh-CN" w:bidi="zh-CN"/>
              </w:rPr>
              <w:t>推广宣传。结合线上线下开展平台推广工作，通过包括但不限于微信公众号、短信、新闻媒体等方式，每月不少于3次。</w:t>
            </w:r>
          </w:p>
        </w:tc>
      </w:tr>
      <w:tr w14:paraId="59B9E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07" w:type="dxa"/>
            <w:vMerge w:val="continue"/>
            <w:noWrap w:val="0"/>
            <w:vAlign w:val="center"/>
          </w:tcPr>
          <w:p w14:paraId="7487679C">
            <w:pPr>
              <w:snapToGrid w:val="0"/>
              <w:spacing w:line="360" w:lineRule="exact"/>
              <w:jc w:val="center"/>
              <w:rPr>
                <w:rFonts w:ascii="宋体" w:hAnsi="宋体" w:cs="FangSong_GB2312"/>
                <w:color w:val="auto"/>
                <w:szCs w:val="21"/>
                <w:lang w:val="zh-CN" w:bidi="zh-CN"/>
              </w:rPr>
            </w:pPr>
          </w:p>
        </w:tc>
        <w:tc>
          <w:tcPr>
            <w:tcW w:w="2273" w:type="dxa"/>
            <w:vMerge w:val="continue"/>
            <w:noWrap w:val="0"/>
            <w:vAlign w:val="center"/>
          </w:tcPr>
          <w:p w14:paraId="52554E7B">
            <w:pPr>
              <w:snapToGrid w:val="0"/>
              <w:spacing w:line="360" w:lineRule="exact"/>
              <w:jc w:val="center"/>
              <w:rPr>
                <w:rFonts w:ascii="宋体" w:hAnsi="宋体" w:cs="FangSong_GB2312"/>
                <w:color w:val="auto"/>
                <w:szCs w:val="21"/>
                <w:lang w:val="zh-CN" w:bidi="zh-CN"/>
              </w:rPr>
            </w:pPr>
          </w:p>
        </w:tc>
        <w:tc>
          <w:tcPr>
            <w:tcW w:w="5323" w:type="dxa"/>
            <w:noWrap w:val="0"/>
            <w:vAlign w:val="center"/>
          </w:tcPr>
          <w:p w14:paraId="09AE25E6">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政策审核。协助做好平台专属贴息政策日常审核工作，确保审核工作有序推进。</w:t>
            </w:r>
          </w:p>
        </w:tc>
      </w:tr>
      <w:tr w14:paraId="1E382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vMerge w:val="continue"/>
            <w:noWrap w:val="0"/>
            <w:vAlign w:val="center"/>
          </w:tcPr>
          <w:p w14:paraId="17C6A9EB">
            <w:pPr>
              <w:snapToGrid w:val="0"/>
              <w:spacing w:line="360" w:lineRule="exact"/>
              <w:jc w:val="center"/>
              <w:rPr>
                <w:rFonts w:ascii="宋体" w:hAnsi="宋体" w:cs="FangSong_GB2312"/>
                <w:color w:val="auto"/>
                <w:szCs w:val="21"/>
                <w:lang w:val="zh-CN" w:bidi="zh-CN"/>
              </w:rPr>
            </w:pPr>
          </w:p>
        </w:tc>
        <w:tc>
          <w:tcPr>
            <w:tcW w:w="2273" w:type="dxa"/>
            <w:vMerge w:val="continue"/>
            <w:noWrap w:val="0"/>
            <w:vAlign w:val="center"/>
          </w:tcPr>
          <w:p w14:paraId="6372431E">
            <w:pPr>
              <w:snapToGrid w:val="0"/>
              <w:spacing w:line="360" w:lineRule="exact"/>
              <w:jc w:val="center"/>
              <w:rPr>
                <w:rFonts w:ascii="宋体" w:hAnsi="宋体" w:cs="FangSong_GB2312"/>
                <w:color w:val="auto"/>
                <w:szCs w:val="21"/>
                <w:lang w:val="zh-CN" w:bidi="zh-CN"/>
              </w:rPr>
            </w:pPr>
          </w:p>
        </w:tc>
        <w:tc>
          <w:tcPr>
            <w:tcW w:w="5323" w:type="dxa"/>
            <w:noWrap w:val="0"/>
            <w:vAlign w:val="center"/>
          </w:tcPr>
          <w:p w14:paraId="03AD54BE">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bidi="zh-CN"/>
              </w:rPr>
              <w:t>后台保障</w:t>
            </w:r>
            <w:r>
              <w:rPr>
                <w:rFonts w:hint="eastAsia" w:ascii="宋体" w:hAnsi="宋体" w:cs="FangSong_GB2312"/>
                <w:color w:val="auto"/>
                <w:szCs w:val="21"/>
                <w:lang w:val="zh-CN" w:bidi="zh-CN"/>
              </w:rPr>
              <w:t>。</w:t>
            </w:r>
            <w:r>
              <w:rPr>
                <w:rFonts w:hint="eastAsia" w:ascii="宋体" w:hAnsi="宋体" w:cs="FangSong_GB2312"/>
                <w:color w:val="auto"/>
                <w:szCs w:val="21"/>
                <w:lang w:bidi="zh-CN"/>
              </w:rPr>
              <w:t>1</w:t>
            </w:r>
            <w:r>
              <w:rPr>
                <w:rFonts w:hint="eastAsia" w:ascii="宋体" w:hAnsi="宋体" w:cs="FangSong_GB2312"/>
                <w:color w:val="auto"/>
                <w:szCs w:val="21"/>
                <w:lang w:val="zh-CN" w:bidi="zh-CN"/>
              </w:rPr>
              <w:t>.负责平台团队管理。</w:t>
            </w:r>
            <w:r>
              <w:rPr>
                <w:rFonts w:hint="eastAsia" w:ascii="宋体" w:hAnsi="宋体" w:cs="FangSong_GB2312"/>
                <w:color w:val="auto"/>
                <w:szCs w:val="21"/>
                <w:lang w:bidi="zh-CN"/>
              </w:rPr>
              <w:t>2</w:t>
            </w:r>
            <w:r>
              <w:rPr>
                <w:rFonts w:hint="eastAsia" w:ascii="宋体" w:hAnsi="宋体" w:cs="FangSong_GB2312"/>
                <w:color w:val="auto"/>
                <w:szCs w:val="21"/>
                <w:lang w:val="zh-CN" w:bidi="zh-CN"/>
              </w:rPr>
              <w:t>.</w:t>
            </w:r>
            <w:r>
              <w:rPr>
                <w:rFonts w:hint="eastAsia" w:ascii="宋体" w:hAnsi="宋体" w:cs="FangSong_GB2312"/>
                <w:color w:val="auto"/>
                <w:szCs w:val="21"/>
                <w:lang w:bidi="zh-CN"/>
              </w:rPr>
              <w:t>完善平台业务流程、用户操作手册等。3.协助处理平台用户投诉及纠纷。</w:t>
            </w:r>
          </w:p>
        </w:tc>
      </w:tr>
      <w:tr w14:paraId="58AC7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1407" w:type="dxa"/>
            <w:vMerge w:val="restart"/>
            <w:noWrap w:val="0"/>
            <w:vAlign w:val="center"/>
          </w:tcPr>
          <w:p w14:paraId="2513EA8B">
            <w:pPr>
              <w:snapToGrid w:val="0"/>
              <w:spacing w:line="360" w:lineRule="exact"/>
              <w:jc w:val="center"/>
              <w:rPr>
                <w:rFonts w:ascii="宋体" w:hAnsi="宋体" w:cs="FangSong_GB2312"/>
                <w:color w:val="auto"/>
                <w:szCs w:val="21"/>
                <w:lang w:val="zh-CN" w:bidi="zh-CN"/>
              </w:rPr>
            </w:pPr>
          </w:p>
          <w:p w14:paraId="116BB710">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经济及社会效益</w:t>
            </w:r>
          </w:p>
        </w:tc>
        <w:tc>
          <w:tcPr>
            <w:tcW w:w="2273" w:type="dxa"/>
            <w:noWrap w:val="0"/>
            <w:vAlign w:val="center"/>
          </w:tcPr>
          <w:p w14:paraId="33AF314D">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在各市县开展业务相关活动及融资咨询服务</w:t>
            </w:r>
          </w:p>
        </w:tc>
        <w:tc>
          <w:tcPr>
            <w:tcW w:w="5323" w:type="dxa"/>
            <w:noWrap w:val="0"/>
            <w:vAlign w:val="center"/>
          </w:tcPr>
          <w:p w14:paraId="5A558F96">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不低于5次。</w:t>
            </w:r>
          </w:p>
        </w:tc>
      </w:tr>
      <w:tr w14:paraId="63E64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407" w:type="dxa"/>
            <w:vMerge w:val="continue"/>
            <w:noWrap w:val="0"/>
            <w:vAlign w:val="center"/>
          </w:tcPr>
          <w:p w14:paraId="21CB7539">
            <w:pPr>
              <w:snapToGrid w:val="0"/>
              <w:spacing w:line="360" w:lineRule="exact"/>
              <w:jc w:val="center"/>
              <w:rPr>
                <w:rFonts w:ascii="宋体" w:hAnsi="宋体" w:cs="FangSong_GB2312"/>
                <w:color w:val="auto"/>
                <w:szCs w:val="21"/>
                <w:lang w:val="zh-CN" w:bidi="zh-CN"/>
              </w:rPr>
            </w:pPr>
          </w:p>
        </w:tc>
        <w:tc>
          <w:tcPr>
            <w:tcW w:w="2273" w:type="dxa"/>
            <w:noWrap w:val="0"/>
            <w:vAlign w:val="center"/>
          </w:tcPr>
          <w:p w14:paraId="1400CE40">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bidi="zh-CN"/>
              </w:rPr>
              <w:t>开展贴息政策宣传，助推政策落地</w:t>
            </w:r>
          </w:p>
        </w:tc>
        <w:tc>
          <w:tcPr>
            <w:tcW w:w="5323" w:type="dxa"/>
            <w:noWrap w:val="0"/>
            <w:vAlign w:val="center"/>
          </w:tcPr>
          <w:p w14:paraId="1BFEC377">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建立政策咨询服务机制，开展各类形式政策宣传，做好日常用户政策咨询服务工作，助推平台专属贴息政策落实落细。</w:t>
            </w:r>
          </w:p>
        </w:tc>
      </w:tr>
      <w:tr w14:paraId="4A71C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407" w:type="dxa"/>
            <w:vMerge w:val="continue"/>
            <w:noWrap w:val="0"/>
            <w:vAlign w:val="center"/>
          </w:tcPr>
          <w:p w14:paraId="6184FBAA">
            <w:pPr>
              <w:snapToGrid w:val="0"/>
              <w:spacing w:line="360" w:lineRule="exact"/>
              <w:jc w:val="center"/>
              <w:rPr>
                <w:rFonts w:ascii="宋体" w:hAnsi="宋体" w:cs="FangSong_GB2312"/>
                <w:color w:val="auto"/>
                <w:szCs w:val="21"/>
                <w:lang w:val="zh-CN" w:bidi="zh-CN"/>
              </w:rPr>
            </w:pPr>
          </w:p>
        </w:tc>
        <w:tc>
          <w:tcPr>
            <w:tcW w:w="2273" w:type="dxa"/>
            <w:noWrap w:val="0"/>
            <w:vAlign w:val="center"/>
          </w:tcPr>
          <w:p w14:paraId="0DC2D808">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撮合融资放款金额</w:t>
            </w:r>
          </w:p>
        </w:tc>
        <w:tc>
          <w:tcPr>
            <w:tcW w:w="5323" w:type="dxa"/>
            <w:noWrap w:val="0"/>
            <w:vAlign w:val="center"/>
          </w:tcPr>
          <w:p w14:paraId="3554C983">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bidi="zh-CN"/>
              </w:rPr>
              <w:t>新增撮合放贷金额不少于70亿元。</w:t>
            </w:r>
          </w:p>
        </w:tc>
      </w:tr>
      <w:tr w14:paraId="2994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07" w:type="dxa"/>
            <w:vMerge w:val="continue"/>
            <w:noWrap w:val="0"/>
            <w:vAlign w:val="center"/>
          </w:tcPr>
          <w:p w14:paraId="582696C0">
            <w:pPr>
              <w:snapToGrid w:val="0"/>
              <w:spacing w:line="360" w:lineRule="exact"/>
              <w:jc w:val="center"/>
              <w:rPr>
                <w:rFonts w:ascii="宋体" w:hAnsi="宋体" w:cs="FangSong_GB2312"/>
                <w:color w:val="auto"/>
                <w:szCs w:val="21"/>
                <w:lang w:val="zh-CN" w:bidi="zh-CN"/>
              </w:rPr>
            </w:pPr>
          </w:p>
        </w:tc>
        <w:tc>
          <w:tcPr>
            <w:tcW w:w="2273" w:type="dxa"/>
            <w:noWrap w:val="0"/>
            <w:vAlign w:val="center"/>
          </w:tcPr>
          <w:p w14:paraId="59C51E32">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分站营销，辐射周边，改善投融资环境</w:t>
            </w:r>
          </w:p>
        </w:tc>
        <w:tc>
          <w:tcPr>
            <w:tcW w:w="5323" w:type="dxa"/>
            <w:noWrap w:val="0"/>
            <w:vAlign w:val="center"/>
          </w:tcPr>
          <w:p w14:paraId="300ED39B">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val="zh-CN" w:bidi="zh-CN"/>
              </w:rPr>
              <w:t>专人</w:t>
            </w:r>
            <w:r>
              <w:rPr>
                <w:rFonts w:hint="eastAsia" w:ascii="宋体" w:hAnsi="宋体" w:cs="FangSong_GB2312"/>
                <w:color w:val="auto"/>
                <w:szCs w:val="21"/>
                <w:lang w:bidi="zh-CN"/>
              </w:rPr>
              <w:t>指导</w:t>
            </w:r>
            <w:r>
              <w:rPr>
                <w:rFonts w:hint="eastAsia" w:ascii="宋体" w:hAnsi="宋体" w:cs="FangSong_GB2312"/>
                <w:color w:val="auto"/>
                <w:szCs w:val="21"/>
                <w:lang w:val="zh-CN" w:bidi="zh-CN"/>
              </w:rPr>
              <w:t>分站开展平台应用推广，</w:t>
            </w:r>
            <w:r>
              <w:rPr>
                <w:rFonts w:hint="eastAsia" w:ascii="宋体" w:hAnsi="宋体" w:cs="FangSong_GB2312"/>
                <w:color w:val="auto"/>
                <w:szCs w:val="21"/>
                <w:lang w:bidi="zh-CN"/>
              </w:rPr>
              <w:t>协助推动分站与</w:t>
            </w:r>
            <w:r>
              <w:rPr>
                <w:rFonts w:hint="eastAsia" w:ascii="宋体" w:hAnsi="宋体" w:cs="FangSong_GB2312"/>
                <w:color w:val="auto"/>
                <w:szCs w:val="21"/>
                <w:lang w:val="zh-CN" w:bidi="zh-CN"/>
              </w:rPr>
              <w:t>金融机构及中小微企业</w:t>
            </w:r>
            <w:r>
              <w:rPr>
                <w:rFonts w:hint="eastAsia" w:ascii="宋体" w:hAnsi="宋体" w:cs="FangSong_GB2312"/>
                <w:color w:val="auto"/>
                <w:szCs w:val="21"/>
                <w:lang w:bidi="zh-CN"/>
              </w:rPr>
              <w:t>对接</w:t>
            </w:r>
            <w:r>
              <w:rPr>
                <w:rFonts w:hint="eastAsia" w:ascii="宋体" w:hAnsi="宋体" w:cs="FangSong_GB2312"/>
                <w:color w:val="auto"/>
                <w:szCs w:val="21"/>
                <w:lang w:val="zh-CN" w:bidi="zh-CN"/>
              </w:rPr>
              <w:t>，通过以分站中心城市辐射周边，</w:t>
            </w:r>
            <w:r>
              <w:rPr>
                <w:rFonts w:hint="eastAsia" w:ascii="宋体" w:hAnsi="宋体" w:cs="FangSong_GB2312"/>
                <w:color w:val="auto"/>
                <w:szCs w:val="21"/>
                <w:lang w:bidi="zh-CN"/>
              </w:rPr>
              <w:t>将平台金融服务深入地方、乡镇</w:t>
            </w:r>
            <w:r>
              <w:rPr>
                <w:rFonts w:hint="eastAsia" w:ascii="宋体" w:hAnsi="宋体" w:cs="FangSong_GB2312"/>
                <w:color w:val="auto"/>
                <w:szCs w:val="21"/>
                <w:lang w:val="zh-CN" w:bidi="zh-CN"/>
              </w:rPr>
              <w:t>。</w:t>
            </w:r>
            <w:r>
              <w:rPr>
                <w:rFonts w:hint="eastAsia" w:ascii="宋体" w:hAnsi="宋体" w:cs="FangSong_GB2312"/>
                <w:color w:val="auto"/>
                <w:szCs w:val="21"/>
                <w:lang w:bidi="zh-CN"/>
              </w:rPr>
              <w:t>下市县现场服务不少于10次。</w:t>
            </w:r>
          </w:p>
        </w:tc>
      </w:tr>
    </w:tbl>
    <w:p w14:paraId="2440C184">
      <w:pPr>
        <w:snapToGrid w:val="0"/>
        <w:rPr>
          <w:rFonts w:ascii="宋体" w:hAnsi="宋体"/>
          <w:color w:val="auto"/>
          <w:sz w:val="18"/>
          <w:szCs w:val="18"/>
        </w:rPr>
      </w:pPr>
    </w:p>
    <w:p w14:paraId="342C1694">
      <w:pPr>
        <w:widowControl w:val="0"/>
        <w:numPr>
          <w:ilvl w:val="4"/>
          <w:numId w:val="2"/>
        </w:numPr>
        <w:adjustRightInd w:val="0"/>
        <w:snapToGrid w:val="0"/>
        <w:spacing w:line="360" w:lineRule="auto"/>
        <w:jc w:val="both"/>
        <w:rPr>
          <w:rFonts w:ascii="宋体" w:hAnsi="宋体" w:cs="仿宋"/>
          <w:color w:val="auto"/>
          <w:spacing w:val="14"/>
          <w:sz w:val="24"/>
        </w:rPr>
      </w:pPr>
      <w:r>
        <w:rPr>
          <w:rFonts w:ascii="宋体" w:hAnsi="宋体" w:cs="仿宋"/>
          <w:color w:val="auto"/>
          <w:spacing w:val="14"/>
          <w:sz w:val="24"/>
        </w:rPr>
        <w:t>项目结题验收</w:t>
      </w:r>
    </w:p>
    <w:p w14:paraId="36966F3F">
      <w:pPr>
        <w:adjustRightInd w:val="0"/>
        <w:snapToGrid w:val="0"/>
        <w:spacing w:line="360" w:lineRule="auto"/>
        <w:ind w:left="227" w:right="193" w:firstLine="578"/>
        <w:rPr>
          <w:rFonts w:ascii="宋体" w:hAnsi="宋体" w:cs="仿宋"/>
          <w:color w:val="auto"/>
          <w:spacing w:val="7"/>
          <w:sz w:val="24"/>
        </w:rPr>
      </w:pPr>
      <w:r>
        <w:rPr>
          <w:rFonts w:hint="eastAsia" w:ascii="宋体" w:hAnsi="宋体" w:cs="FangSong_GB2312"/>
          <w:color w:val="auto"/>
          <w:spacing w:val="20"/>
          <w:sz w:val="24"/>
        </w:rPr>
        <w:t>自签订合同日期起1年内(含),乙方完成项目总体任务</w:t>
      </w:r>
      <w:r>
        <w:rPr>
          <w:rFonts w:hint="eastAsia" w:ascii="宋体" w:hAnsi="宋体" w:cs="FangSong_GB2312"/>
          <w:color w:val="auto"/>
          <w:spacing w:val="19"/>
          <w:sz w:val="24"/>
        </w:rPr>
        <w:t>目标，按照项</w:t>
      </w:r>
      <w:r>
        <w:rPr>
          <w:rFonts w:hint="eastAsia" w:ascii="宋体" w:hAnsi="宋体" w:cs="FangSong_GB2312"/>
          <w:color w:val="auto"/>
          <w:spacing w:val="7"/>
          <w:sz w:val="24"/>
        </w:rPr>
        <w:t>目结题验收要求向甲方提交结题验收报告，描述各任务指标完成情况，并</w:t>
      </w:r>
      <w:r>
        <w:rPr>
          <w:rFonts w:hint="eastAsia" w:ascii="宋体" w:hAnsi="宋体" w:cs="仿宋"/>
          <w:b/>
          <w:bCs/>
          <w:color w:val="auto"/>
          <w:spacing w:val="7"/>
          <w:sz w:val="24"/>
        </w:rPr>
        <w:t>结合验收指标表要求提供相应的佐证材料</w:t>
      </w:r>
      <w:r>
        <w:rPr>
          <w:rFonts w:hint="eastAsia" w:ascii="宋体" w:hAnsi="宋体" w:cs="仿宋"/>
          <w:color w:val="auto"/>
          <w:spacing w:val="7"/>
          <w:sz w:val="24"/>
        </w:rPr>
        <w:t>。</w:t>
      </w:r>
    </w:p>
    <w:tbl>
      <w:tblPr>
        <w:tblStyle w:val="8"/>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968"/>
        <w:gridCol w:w="2762"/>
        <w:gridCol w:w="2762"/>
      </w:tblGrid>
      <w:tr w14:paraId="4EAED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687" w:type="dxa"/>
            <w:noWrap w:val="0"/>
            <w:vAlign w:val="center"/>
          </w:tcPr>
          <w:p w14:paraId="2D438349">
            <w:pPr>
              <w:autoSpaceDE w:val="0"/>
              <w:autoSpaceDN w:val="0"/>
              <w:adjustRightInd w:val="0"/>
              <w:snapToGrid w:val="0"/>
              <w:spacing w:line="360" w:lineRule="exact"/>
              <w:jc w:val="center"/>
              <w:rPr>
                <w:rFonts w:ascii="宋体" w:hAnsi="宋体" w:cs="FangSong_GB2312"/>
                <w:b/>
                <w:bCs/>
                <w:color w:val="auto"/>
                <w:szCs w:val="21"/>
                <w:lang w:val="zh-CN" w:bidi="zh-CN"/>
              </w:rPr>
            </w:pPr>
            <w:r>
              <w:rPr>
                <w:rFonts w:hint="eastAsia" w:ascii="宋体" w:hAnsi="宋体" w:cs="FangSong_GB2312"/>
                <w:b/>
                <w:bCs/>
                <w:color w:val="auto"/>
                <w:szCs w:val="21"/>
                <w:lang w:val="zh-CN" w:bidi="zh-CN"/>
              </w:rPr>
              <w:t>指标类型</w:t>
            </w:r>
          </w:p>
        </w:tc>
        <w:tc>
          <w:tcPr>
            <w:tcW w:w="1968" w:type="dxa"/>
            <w:noWrap w:val="0"/>
            <w:vAlign w:val="center"/>
          </w:tcPr>
          <w:p w14:paraId="76F489C0">
            <w:pPr>
              <w:autoSpaceDE w:val="0"/>
              <w:autoSpaceDN w:val="0"/>
              <w:adjustRightInd w:val="0"/>
              <w:snapToGrid w:val="0"/>
              <w:spacing w:line="360" w:lineRule="exact"/>
              <w:jc w:val="center"/>
              <w:rPr>
                <w:rFonts w:ascii="宋体" w:hAnsi="宋体" w:cs="FangSong_GB2312"/>
                <w:b/>
                <w:bCs/>
                <w:color w:val="auto"/>
                <w:szCs w:val="21"/>
                <w:lang w:val="zh-CN" w:bidi="zh-CN"/>
              </w:rPr>
            </w:pPr>
            <w:r>
              <w:rPr>
                <w:rFonts w:hint="eastAsia" w:ascii="宋体" w:hAnsi="宋体" w:cs="FangSong_GB2312"/>
                <w:b/>
                <w:bCs/>
                <w:color w:val="auto"/>
                <w:szCs w:val="21"/>
                <w:lang w:val="zh-CN" w:bidi="zh-CN"/>
              </w:rPr>
              <w:t>指标说明</w:t>
            </w:r>
          </w:p>
        </w:tc>
        <w:tc>
          <w:tcPr>
            <w:tcW w:w="2762" w:type="dxa"/>
            <w:noWrap w:val="0"/>
            <w:vAlign w:val="center"/>
          </w:tcPr>
          <w:p w14:paraId="5FC7492C">
            <w:pPr>
              <w:autoSpaceDE w:val="0"/>
              <w:autoSpaceDN w:val="0"/>
              <w:adjustRightInd w:val="0"/>
              <w:snapToGrid w:val="0"/>
              <w:spacing w:line="360" w:lineRule="exact"/>
              <w:jc w:val="center"/>
              <w:rPr>
                <w:rFonts w:ascii="宋体" w:hAnsi="宋体" w:cs="FangSong_GB2312"/>
                <w:b/>
                <w:bCs/>
                <w:color w:val="auto"/>
                <w:szCs w:val="21"/>
                <w:lang w:val="zh-CN" w:bidi="zh-CN"/>
              </w:rPr>
            </w:pPr>
            <w:r>
              <w:rPr>
                <w:rFonts w:hint="eastAsia" w:ascii="宋体" w:hAnsi="宋体" w:cs="FangSong_GB2312"/>
                <w:b/>
                <w:bCs/>
                <w:color w:val="auto"/>
                <w:szCs w:val="21"/>
                <w:lang w:val="zh-CN" w:bidi="zh-CN"/>
              </w:rPr>
              <w:t>任务目标</w:t>
            </w:r>
          </w:p>
        </w:tc>
        <w:tc>
          <w:tcPr>
            <w:tcW w:w="2762" w:type="dxa"/>
            <w:noWrap w:val="0"/>
            <w:vAlign w:val="center"/>
          </w:tcPr>
          <w:p w14:paraId="35E2DE56">
            <w:pPr>
              <w:autoSpaceDE w:val="0"/>
              <w:autoSpaceDN w:val="0"/>
              <w:adjustRightInd w:val="0"/>
              <w:snapToGrid w:val="0"/>
              <w:spacing w:line="360" w:lineRule="exact"/>
              <w:jc w:val="center"/>
              <w:rPr>
                <w:rFonts w:ascii="宋体" w:hAnsi="宋体" w:cs="FangSong_GB2312"/>
                <w:b/>
                <w:bCs/>
                <w:color w:val="auto"/>
                <w:szCs w:val="21"/>
                <w:lang w:bidi="zh-CN"/>
              </w:rPr>
            </w:pPr>
            <w:r>
              <w:rPr>
                <w:rFonts w:hint="eastAsia" w:ascii="宋体" w:hAnsi="宋体" w:cs="FangSong_GB2312"/>
                <w:b/>
                <w:bCs/>
                <w:color w:val="auto"/>
                <w:szCs w:val="21"/>
                <w:lang w:bidi="zh-CN"/>
              </w:rPr>
              <w:t>验收材料要求</w:t>
            </w:r>
          </w:p>
        </w:tc>
      </w:tr>
      <w:tr w14:paraId="3E6AC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687" w:type="dxa"/>
            <w:vMerge w:val="restart"/>
            <w:noWrap w:val="0"/>
            <w:vAlign w:val="center"/>
          </w:tcPr>
          <w:p w14:paraId="06C7005C">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数量指标</w:t>
            </w:r>
          </w:p>
        </w:tc>
        <w:tc>
          <w:tcPr>
            <w:tcW w:w="1968" w:type="dxa"/>
            <w:noWrap w:val="0"/>
            <w:vAlign w:val="center"/>
          </w:tcPr>
          <w:p w14:paraId="2F478541">
            <w:pPr>
              <w:snapToGrid w:val="0"/>
              <w:spacing w:line="360" w:lineRule="exact"/>
              <w:jc w:val="center"/>
              <w:rPr>
                <w:rFonts w:ascii="宋体" w:hAnsi="宋体" w:cs="FangSong_GB2312"/>
                <w:color w:val="auto"/>
                <w:szCs w:val="21"/>
                <w:lang w:bidi="zh-CN"/>
              </w:rPr>
            </w:pPr>
            <w:r>
              <w:rPr>
                <w:rFonts w:hint="eastAsia" w:ascii="宋体" w:hAnsi="宋体" w:cs="FangSong_GB2312"/>
                <w:color w:val="auto"/>
                <w:szCs w:val="21"/>
                <w:lang w:bidi="zh-CN"/>
              </w:rPr>
              <w:t>服务金融机构</w:t>
            </w:r>
          </w:p>
        </w:tc>
        <w:tc>
          <w:tcPr>
            <w:tcW w:w="2762" w:type="dxa"/>
            <w:noWrap w:val="0"/>
            <w:vAlign w:val="center"/>
          </w:tcPr>
          <w:p w14:paraId="69D17F98">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完善资金供给链条，引入不少于2类金融机构入驻。</w:t>
            </w:r>
          </w:p>
        </w:tc>
        <w:tc>
          <w:tcPr>
            <w:tcW w:w="2762" w:type="dxa"/>
            <w:noWrap w:val="0"/>
            <w:vAlign w:val="center"/>
          </w:tcPr>
          <w:p w14:paraId="6546D0D8">
            <w:pPr>
              <w:spacing w:line="440" w:lineRule="exact"/>
              <w:rPr>
                <w:rFonts w:ascii="宋体" w:hAnsi="宋体" w:cs="FangSong_GB2312"/>
                <w:color w:val="auto"/>
                <w:szCs w:val="21"/>
                <w:lang w:bidi="zh-CN"/>
              </w:rPr>
            </w:pPr>
            <w:r>
              <w:rPr>
                <w:rFonts w:hint="eastAsia" w:ascii="宋体" w:hAnsi="宋体" w:cs="FangSong_GB2312"/>
                <w:bCs/>
                <w:color w:val="auto"/>
                <w:szCs w:val="21"/>
                <w:lang w:val="zh-CN"/>
              </w:rPr>
              <w:t>提供金融机构上线名单、金融机构服务协议或其他服务证明材料。</w:t>
            </w:r>
          </w:p>
        </w:tc>
      </w:tr>
      <w:tr w14:paraId="0465B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687" w:type="dxa"/>
            <w:vMerge w:val="continue"/>
            <w:noWrap w:val="0"/>
            <w:vAlign w:val="center"/>
          </w:tcPr>
          <w:p w14:paraId="121BE6BB">
            <w:pPr>
              <w:snapToGrid w:val="0"/>
              <w:spacing w:line="360" w:lineRule="exact"/>
              <w:jc w:val="center"/>
              <w:rPr>
                <w:rFonts w:ascii="宋体" w:hAnsi="宋体" w:cs="FangSong_GB2312"/>
                <w:color w:val="auto"/>
                <w:szCs w:val="21"/>
                <w:lang w:val="zh-CN" w:bidi="zh-CN"/>
              </w:rPr>
            </w:pPr>
          </w:p>
        </w:tc>
        <w:tc>
          <w:tcPr>
            <w:tcW w:w="1968" w:type="dxa"/>
            <w:noWrap w:val="0"/>
            <w:vAlign w:val="center"/>
          </w:tcPr>
          <w:p w14:paraId="4450B754">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汇集金融产品数</w:t>
            </w:r>
          </w:p>
        </w:tc>
        <w:tc>
          <w:tcPr>
            <w:tcW w:w="2762" w:type="dxa"/>
            <w:noWrap w:val="0"/>
            <w:vAlign w:val="center"/>
          </w:tcPr>
          <w:p w14:paraId="2A5CF225">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引流金融产品，实现金融产品上架累计数量达500款。</w:t>
            </w:r>
          </w:p>
        </w:tc>
        <w:tc>
          <w:tcPr>
            <w:tcW w:w="2762" w:type="dxa"/>
            <w:noWrap w:val="0"/>
            <w:vAlign w:val="center"/>
          </w:tcPr>
          <w:p w14:paraId="32B8456C">
            <w:pPr>
              <w:spacing w:line="440" w:lineRule="exact"/>
              <w:rPr>
                <w:rFonts w:ascii="宋体" w:hAnsi="宋体" w:cs="FangSong_GB2312"/>
                <w:color w:val="auto"/>
                <w:szCs w:val="21"/>
                <w:lang w:bidi="zh-CN"/>
              </w:rPr>
            </w:pPr>
            <w:r>
              <w:rPr>
                <w:rFonts w:hint="eastAsia" w:ascii="宋体" w:hAnsi="宋体" w:cs="FangSong_GB2312"/>
                <w:bCs/>
                <w:color w:val="auto"/>
                <w:szCs w:val="21"/>
                <w:lang w:val="zh-CN"/>
              </w:rPr>
              <w:t>提供金融产品上线列表。</w:t>
            </w:r>
          </w:p>
        </w:tc>
      </w:tr>
      <w:tr w14:paraId="3DE0D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687" w:type="dxa"/>
            <w:vMerge w:val="continue"/>
            <w:noWrap w:val="0"/>
            <w:vAlign w:val="center"/>
          </w:tcPr>
          <w:p w14:paraId="5C3BDA1A">
            <w:pPr>
              <w:snapToGrid w:val="0"/>
              <w:spacing w:line="360" w:lineRule="exact"/>
              <w:jc w:val="center"/>
              <w:rPr>
                <w:rFonts w:ascii="宋体" w:hAnsi="宋体" w:cs="FangSong_GB2312"/>
                <w:color w:val="auto"/>
                <w:szCs w:val="21"/>
                <w:lang w:val="zh-CN" w:bidi="zh-CN"/>
              </w:rPr>
            </w:pPr>
          </w:p>
        </w:tc>
        <w:tc>
          <w:tcPr>
            <w:tcW w:w="1968" w:type="dxa"/>
            <w:noWrap w:val="0"/>
            <w:vAlign w:val="center"/>
          </w:tcPr>
          <w:p w14:paraId="275BF65F">
            <w:pPr>
              <w:snapToGrid w:val="0"/>
              <w:spacing w:line="360" w:lineRule="exact"/>
              <w:jc w:val="center"/>
              <w:rPr>
                <w:rFonts w:ascii="宋体" w:hAnsi="宋体" w:cs="FangSong_GB2312"/>
                <w:color w:val="auto"/>
                <w:szCs w:val="21"/>
                <w:lang w:bidi="zh-CN"/>
              </w:rPr>
            </w:pPr>
            <w:r>
              <w:rPr>
                <w:rFonts w:hint="eastAsia" w:ascii="宋体" w:hAnsi="宋体" w:cs="FangSong_GB2312"/>
                <w:color w:val="auto"/>
                <w:szCs w:val="21"/>
                <w:lang w:bidi="zh-CN"/>
              </w:rPr>
              <w:t>各类推介宣讲</w:t>
            </w:r>
          </w:p>
        </w:tc>
        <w:tc>
          <w:tcPr>
            <w:tcW w:w="2762" w:type="dxa"/>
            <w:noWrap w:val="0"/>
            <w:vAlign w:val="center"/>
          </w:tcPr>
          <w:p w14:paraId="1BB2E15F">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开展各类推介宣讲活动不少于20场（含市县培训活动）。</w:t>
            </w:r>
          </w:p>
        </w:tc>
        <w:tc>
          <w:tcPr>
            <w:tcW w:w="2762" w:type="dxa"/>
            <w:noWrap w:val="0"/>
            <w:vAlign w:val="center"/>
          </w:tcPr>
          <w:p w14:paraId="050D0ED1">
            <w:pPr>
              <w:snapToGrid w:val="0"/>
              <w:spacing w:line="360" w:lineRule="exact"/>
              <w:rPr>
                <w:rFonts w:ascii="宋体" w:hAnsi="宋体" w:cs="FangSong_GB2312"/>
                <w:color w:val="auto"/>
                <w:szCs w:val="21"/>
                <w:lang w:bidi="zh-CN"/>
              </w:rPr>
            </w:pPr>
            <w:r>
              <w:rPr>
                <w:rFonts w:hint="eastAsia" w:ascii="宋体" w:hAnsi="宋体" w:cs="FangSong_GB2312"/>
                <w:bCs/>
                <w:color w:val="auto"/>
                <w:szCs w:val="21"/>
                <w:lang w:val="zh-CN"/>
              </w:rPr>
              <w:t>提供宣讲会相关材料。</w:t>
            </w:r>
          </w:p>
        </w:tc>
      </w:tr>
      <w:tr w14:paraId="154EF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687" w:type="dxa"/>
            <w:vMerge w:val="restart"/>
            <w:noWrap w:val="0"/>
            <w:vAlign w:val="center"/>
          </w:tcPr>
          <w:p w14:paraId="157840EB">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质量指标</w:t>
            </w:r>
          </w:p>
        </w:tc>
        <w:tc>
          <w:tcPr>
            <w:tcW w:w="1968" w:type="dxa"/>
            <w:noWrap w:val="0"/>
            <w:vAlign w:val="center"/>
          </w:tcPr>
          <w:p w14:paraId="3E756ABC">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团队规模</w:t>
            </w:r>
          </w:p>
        </w:tc>
        <w:tc>
          <w:tcPr>
            <w:tcW w:w="2762" w:type="dxa"/>
            <w:noWrap w:val="0"/>
            <w:vAlign w:val="center"/>
          </w:tcPr>
          <w:p w14:paraId="5690A718">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项目运营团队不少于10人。</w:t>
            </w:r>
          </w:p>
        </w:tc>
        <w:tc>
          <w:tcPr>
            <w:tcW w:w="2762" w:type="dxa"/>
            <w:noWrap w:val="0"/>
            <w:vAlign w:val="center"/>
          </w:tcPr>
          <w:p w14:paraId="5BA80C74">
            <w:pPr>
              <w:snapToGrid w:val="0"/>
              <w:spacing w:line="360" w:lineRule="exact"/>
              <w:rPr>
                <w:rFonts w:ascii="宋体" w:hAnsi="宋体" w:cs="FangSong_GB2312"/>
                <w:color w:val="auto"/>
                <w:szCs w:val="21"/>
                <w:lang w:bidi="zh-CN"/>
              </w:rPr>
            </w:pPr>
            <w:r>
              <w:rPr>
                <w:rFonts w:hint="eastAsia" w:ascii="宋体" w:hAnsi="宋体" w:cs="FangSong_GB2312"/>
                <w:bCs/>
                <w:color w:val="auto"/>
                <w:szCs w:val="21"/>
              </w:rPr>
              <w:t>提供团队人员名单及劳动合同复印件。</w:t>
            </w:r>
          </w:p>
        </w:tc>
      </w:tr>
      <w:tr w14:paraId="11C98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687" w:type="dxa"/>
            <w:vMerge w:val="continue"/>
            <w:noWrap w:val="0"/>
            <w:vAlign w:val="center"/>
          </w:tcPr>
          <w:p w14:paraId="5C4C886A">
            <w:pPr>
              <w:snapToGrid w:val="0"/>
              <w:spacing w:line="360" w:lineRule="exact"/>
              <w:jc w:val="center"/>
              <w:rPr>
                <w:rFonts w:ascii="宋体" w:hAnsi="宋体" w:cs="FangSong_GB2312"/>
                <w:color w:val="auto"/>
                <w:szCs w:val="21"/>
                <w:lang w:val="zh-CN" w:bidi="zh-CN"/>
              </w:rPr>
            </w:pPr>
          </w:p>
        </w:tc>
        <w:tc>
          <w:tcPr>
            <w:tcW w:w="1968" w:type="dxa"/>
            <w:noWrap w:val="0"/>
            <w:vAlign w:val="center"/>
          </w:tcPr>
          <w:p w14:paraId="70208C96">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bidi="zh-CN"/>
              </w:rPr>
              <w:t>业务运营推广体系建设</w:t>
            </w:r>
          </w:p>
        </w:tc>
        <w:tc>
          <w:tcPr>
            <w:tcW w:w="2762" w:type="dxa"/>
            <w:noWrap w:val="0"/>
            <w:vAlign w:val="center"/>
          </w:tcPr>
          <w:p w14:paraId="341E2C3B">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建立健全推广体系，有效推进平台运营各项工作，开展对外宣传活动，做好金融机构、政府对接，企业用户引入，金融产品研发，整合融资政策，数据运营，系统技术运维，协助做好用户投诉纠纷处理等工作。</w:t>
            </w:r>
          </w:p>
        </w:tc>
        <w:tc>
          <w:tcPr>
            <w:tcW w:w="2762" w:type="dxa"/>
            <w:noWrap w:val="0"/>
            <w:vAlign w:val="center"/>
          </w:tcPr>
          <w:p w14:paraId="663DFC77">
            <w:pPr>
              <w:snapToGrid w:val="0"/>
              <w:spacing w:line="360" w:lineRule="exact"/>
              <w:rPr>
                <w:rFonts w:ascii="宋体" w:hAnsi="宋体" w:cs="FangSong_GB2312"/>
                <w:color w:val="auto"/>
                <w:szCs w:val="21"/>
                <w:lang w:bidi="zh-CN"/>
              </w:rPr>
            </w:pPr>
            <w:r>
              <w:rPr>
                <w:rFonts w:hint="eastAsia" w:ascii="宋体" w:hAnsi="宋体" w:cs="FangSong_GB2312"/>
                <w:bCs/>
                <w:color w:val="auto"/>
                <w:szCs w:val="21"/>
              </w:rPr>
              <w:t>提供职能部门建设方案及岗位人员名单。</w:t>
            </w:r>
          </w:p>
        </w:tc>
      </w:tr>
      <w:tr w14:paraId="067F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jc w:val="center"/>
        </w:trPr>
        <w:tc>
          <w:tcPr>
            <w:tcW w:w="1687" w:type="dxa"/>
            <w:vMerge w:val="continue"/>
            <w:noWrap w:val="0"/>
            <w:vAlign w:val="center"/>
          </w:tcPr>
          <w:p w14:paraId="4FF946BF">
            <w:pPr>
              <w:snapToGrid w:val="0"/>
              <w:spacing w:line="360" w:lineRule="exact"/>
              <w:jc w:val="center"/>
              <w:rPr>
                <w:rFonts w:ascii="宋体" w:hAnsi="宋体" w:cs="FangSong_GB2312"/>
                <w:color w:val="auto"/>
                <w:szCs w:val="21"/>
                <w:lang w:val="zh-CN" w:bidi="zh-CN"/>
              </w:rPr>
            </w:pPr>
          </w:p>
        </w:tc>
        <w:tc>
          <w:tcPr>
            <w:tcW w:w="1968" w:type="dxa"/>
            <w:vMerge w:val="restart"/>
            <w:noWrap w:val="0"/>
            <w:vAlign w:val="center"/>
          </w:tcPr>
          <w:p w14:paraId="6385DED4">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管理运营</w:t>
            </w:r>
          </w:p>
        </w:tc>
        <w:tc>
          <w:tcPr>
            <w:tcW w:w="2762" w:type="dxa"/>
            <w:noWrap w:val="0"/>
            <w:vAlign w:val="center"/>
          </w:tcPr>
          <w:p w14:paraId="5554A8AC">
            <w:pPr>
              <w:snapToGrid w:val="0"/>
              <w:spacing w:line="360" w:lineRule="exact"/>
              <w:rPr>
                <w:rFonts w:ascii="宋体" w:hAnsi="宋体" w:cs="FangSong_GB2312"/>
                <w:color w:val="auto"/>
                <w:szCs w:val="21"/>
                <w:highlight w:val="yellow"/>
                <w:lang w:bidi="zh-CN"/>
              </w:rPr>
            </w:pPr>
            <w:r>
              <w:rPr>
                <w:rFonts w:hint="eastAsia" w:ascii="宋体" w:hAnsi="宋体" w:cs="FangSong_GB2312"/>
                <w:color w:val="auto"/>
                <w:szCs w:val="21"/>
                <w:lang w:val="zh-CN" w:bidi="zh-CN"/>
              </w:rPr>
              <w:t>数据运营。</w:t>
            </w:r>
            <w:r>
              <w:rPr>
                <w:rFonts w:hint="eastAsia" w:ascii="宋体" w:hAnsi="宋体" w:cs="FangSong_GB2312"/>
                <w:color w:val="auto"/>
                <w:szCs w:val="21"/>
                <w:lang w:bidi="zh-CN"/>
              </w:rPr>
              <w:t>1.以用数为导向，</w:t>
            </w:r>
            <w:r>
              <w:rPr>
                <w:rFonts w:hint="eastAsia" w:ascii="宋体" w:hAnsi="宋体" w:cs="FangSong_GB2312"/>
                <w:color w:val="auto"/>
                <w:szCs w:val="21"/>
                <w:lang w:val="zh-CN" w:bidi="zh-CN"/>
              </w:rPr>
              <w:t>协助对政务数据及外部数据接入、核查，提出优化、新增需求和建议，形成专报不少于</w:t>
            </w:r>
            <w:r>
              <w:rPr>
                <w:rFonts w:hint="eastAsia" w:ascii="宋体" w:hAnsi="宋体" w:cs="FangSong_GB2312"/>
                <w:color w:val="auto"/>
                <w:szCs w:val="21"/>
                <w:lang w:bidi="zh-CN"/>
              </w:rPr>
              <w:t>2</w:t>
            </w:r>
            <w:r>
              <w:rPr>
                <w:rFonts w:hint="eastAsia" w:ascii="宋体" w:hAnsi="宋体" w:cs="FangSong_GB2312"/>
                <w:color w:val="auto"/>
                <w:szCs w:val="21"/>
                <w:lang w:val="zh-CN" w:bidi="zh-CN"/>
              </w:rPr>
              <w:t>次。2.挖掘平台数据应用场景，</w:t>
            </w:r>
            <w:r>
              <w:rPr>
                <w:rFonts w:hint="eastAsia" w:ascii="宋体" w:hAnsi="宋体" w:cs="FangSong_GB2312"/>
                <w:color w:val="auto"/>
                <w:szCs w:val="21"/>
                <w:lang w:bidi="zh-CN"/>
              </w:rPr>
              <w:t>与</w:t>
            </w:r>
            <w:r>
              <w:rPr>
                <w:rFonts w:hint="eastAsia" w:ascii="宋体" w:hAnsi="宋体" w:cs="FangSong_GB2312"/>
                <w:color w:val="auto"/>
                <w:szCs w:val="21"/>
                <w:lang w:val="zh-CN" w:bidi="zh-CN"/>
              </w:rPr>
              <w:t>金融机构探索共建数据模型，加快推进平台数据向银行内部业务系统应用输出，帮助金融机构提升风险把控精准度及创新金融产品，提升政务数据使用价值。</w:t>
            </w:r>
          </w:p>
        </w:tc>
        <w:tc>
          <w:tcPr>
            <w:tcW w:w="2762" w:type="dxa"/>
            <w:noWrap w:val="0"/>
            <w:vAlign w:val="center"/>
          </w:tcPr>
          <w:p w14:paraId="297C904A">
            <w:pPr>
              <w:snapToGrid w:val="0"/>
              <w:spacing w:line="360" w:lineRule="exact"/>
              <w:rPr>
                <w:rFonts w:ascii="宋体" w:hAnsi="宋体" w:cs="FangSong_GB2312"/>
                <w:color w:val="auto"/>
                <w:szCs w:val="21"/>
                <w:lang w:bidi="zh-CN"/>
              </w:rPr>
            </w:pPr>
            <w:r>
              <w:rPr>
                <w:rFonts w:hint="eastAsia" w:ascii="宋体" w:hAnsi="宋体" w:cs="FangSong_GB2312"/>
                <w:bCs/>
                <w:color w:val="auto"/>
                <w:szCs w:val="21"/>
              </w:rPr>
              <w:t>提供数据相关资料。提供推进数据应用服务相关方案材料。</w:t>
            </w:r>
          </w:p>
        </w:tc>
      </w:tr>
      <w:tr w14:paraId="5B23A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jc w:val="center"/>
        </w:trPr>
        <w:tc>
          <w:tcPr>
            <w:tcW w:w="1687" w:type="dxa"/>
            <w:vMerge w:val="continue"/>
            <w:noWrap w:val="0"/>
            <w:vAlign w:val="center"/>
          </w:tcPr>
          <w:p w14:paraId="76B67C49">
            <w:pPr>
              <w:snapToGrid w:val="0"/>
              <w:spacing w:line="360" w:lineRule="exact"/>
              <w:jc w:val="center"/>
              <w:rPr>
                <w:rFonts w:ascii="宋体" w:hAnsi="宋体" w:cs="FangSong_GB2312"/>
                <w:color w:val="auto"/>
                <w:szCs w:val="21"/>
                <w:lang w:val="zh-CN" w:bidi="zh-CN"/>
              </w:rPr>
            </w:pPr>
          </w:p>
        </w:tc>
        <w:tc>
          <w:tcPr>
            <w:tcW w:w="1968" w:type="dxa"/>
            <w:vMerge w:val="continue"/>
            <w:noWrap w:val="0"/>
            <w:vAlign w:val="center"/>
          </w:tcPr>
          <w:p w14:paraId="786A9320">
            <w:pPr>
              <w:snapToGrid w:val="0"/>
              <w:spacing w:line="360" w:lineRule="exact"/>
              <w:jc w:val="center"/>
              <w:rPr>
                <w:rFonts w:ascii="宋体" w:hAnsi="宋体" w:cs="FangSong_GB2312"/>
                <w:color w:val="auto"/>
                <w:szCs w:val="21"/>
                <w:lang w:val="zh-CN" w:bidi="zh-CN"/>
              </w:rPr>
            </w:pPr>
          </w:p>
        </w:tc>
        <w:tc>
          <w:tcPr>
            <w:tcW w:w="2762" w:type="dxa"/>
            <w:noWrap w:val="0"/>
            <w:vAlign w:val="center"/>
          </w:tcPr>
          <w:p w14:paraId="4D1746E6">
            <w:pPr>
              <w:snapToGrid w:val="0"/>
              <w:spacing w:line="360" w:lineRule="exact"/>
              <w:rPr>
                <w:rFonts w:ascii="宋体" w:hAnsi="宋体" w:cs="FangSong_GB2312"/>
                <w:color w:val="auto"/>
                <w:szCs w:val="21"/>
                <w:highlight w:val="yellow"/>
                <w:lang w:val="zh-CN" w:bidi="zh-CN"/>
              </w:rPr>
            </w:pPr>
            <w:r>
              <w:rPr>
                <w:rFonts w:hint="eastAsia" w:ascii="宋体" w:hAnsi="宋体" w:cs="FangSong_GB2312"/>
                <w:color w:val="auto"/>
                <w:szCs w:val="21"/>
                <w:lang w:bidi="zh-CN"/>
              </w:rPr>
              <w:t>协助</w:t>
            </w:r>
            <w:r>
              <w:rPr>
                <w:rFonts w:hint="eastAsia" w:ascii="宋体" w:hAnsi="宋体" w:cs="FangSong_GB2312"/>
                <w:color w:val="auto"/>
                <w:szCs w:val="21"/>
                <w:lang w:val="zh-CN" w:bidi="zh-CN"/>
              </w:rPr>
              <w:t>技术运维。负责搜集整理客户对系统使用过程中</w:t>
            </w:r>
            <w:r>
              <w:rPr>
                <w:rFonts w:hint="eastAsia" w:ascii="宋体" w:hAnsi="宋体" w:cs="FangSong_GB2312"/>
                <w:color w:val="auto"/>
                <w:szCs w:val="21"/>
                <w:lang w:bidi="zh-CN"/>
              </w:rPr>
              <w:t>提出的问题及</w:t>
            </w:r>
            <w:r>
              <w:rPr>
                <w:rFonts w:hint="eastAsia" w:ascii="宋体" w:hAnsi="宋体" w:cs="FangSong_GB2312"/>
                <w:color w:val="auto"/>
                <w:szCs w:val="21"/>
                <w:lang w:val="zh-CN" w:bidi="zh-CN"/>
              </w:rPr>
              <w:t>建议，整理反馈至</w:t>
            </w:r>
            <w:r>
              <w:rPr>
                <w:rFonts w:hint="eastAsia" w:ascii="宋体" w:hAnsi="宋体" w:cs="FangSong_GB2312"/>
                <w:color w:val="auto"/>
                <w:szCs w:val="21"/>
                <w:lang w:bidi="zh-CN"/>
              </w:rPr>
              <w:t>技术运维方</w:t>
            </w:r>
            <w:r>
              <w:rPr>
                <w:rFonts w:hint="eastAsia" w:ascii="宋体" w:hAnsi="宋体" w:cs="FangSong_GB2312"/>
                <w:color w:val="auto"/>
                <w:szCs w:val="21"/>
                <w:lang w:val="zh-CN" w:bidi="zh-CN"/>
              </w:rPr>
              <w:t>技术团队进行</w:t>
            </w:r>
            <w:r>
              <w:rPr>
                <w:rFonts w:hint="eastAsia" w:ascii="宋体" w:hAnsi="宋体" w:cs="FangSong_GB2312"/>
                <w:color w:val="auto"/>
                <w:szCs w:val="21"/>
                <w:lang w:bidi="zh-CN"/>
              </w:rPr>
              <w:t>解决及</w:t>
            </w:r>
            <w:r>
              <w:rPr>
                <w:rFonts w:hint="eastAsia" w:ascii="宋体" w:hAnsi="宋体" w:cs="FangSong_GB2312"/>
                <w:color w:val="auto"/>
                <w:szCs w:val="21"/>
                <w:lang w:val="zh-CN" w:bidi="zh-CN"/>
              </w:rPr>
              <w:t>系统优化。形成技术反馈不少于</w:t>
            </w:r>
            <w:r>
              <w:rPr>
                <w:rFonts w:hint="eastAsia" w:ascii="宋体" w:hAnsi="宋体" w:cs="FangSong_GB2312"/>
                <w:color w:val="auto"/>
                <w:szCs w:val="21"/>
                <w:lang w:bidi="zh-CN"/>
              </w:rPr>
              <w:t>6</w:t>
            </w:r>
            <w:r>
              <w:rPr>
                <w:rFonts w:hint="eastAsia" w:ascii="宋体" w:hAnsi="宋体" w:cs="FangSong_GB2312"/>
                <w:color w:val="auto"/>
                <w:szCs w:val="21"/>
                <w:lang w:val="zh-CN" w:bidi="zh-CN"/>
              </w:rPr>
              <w:t>次。</w:t>
            </w:r>
          </w:p>
        </w:tc>
        <w:tc>
          <w:tcPr>
            <w:tcW w:w="2762" w:type="dxa"/>
            <w:noWrap w:val="0"/>
            <w:vAlign w:val="center"/>
          </w:tcPr>
          <w:p w14:paraId="11E99AB4">
            <w:pPr>
              <w:snapToGrid w:val="0"/>
              <w:spacing w:line="360" w:lineRule="exact"/>
              <w:rPr>
                <w:rFonts w:ascii="宋体" w:hAnsi="宋体" w:cs="FangSong_GB2312"/>
                <w:color w:val="auto"/>
                <w:szCs w:val="21"/>
                <w:lang w:bidi="zh-CN"/>
              </w:rPr>
            </w:pPr>
            <w:r>
              <w:rPr>
                <w:rFonts w:hint="eastAsia" w:ascii="宋体" w:hAnsi="宋体" w:cs="FangSong_GB2312"/>
                <w:bCs/>
                <w:color w:val="auto"/>
                <w:szCs w:val="21"/>
              </w:rPr>
              <w:t>提供技术反馈意见材料。</w:t>
            </w:r>
          </w:p>
        </w:tc>
      </w:tr>
      <w:tr w14:paraId="2466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jc w:val="center"/>
        </w:trPr>
        <w:tc>
          <w:tcPr>
            <w:tcW w:w="1687" w:type="dxa"/>
            <w:vMerge w:val="continue"/>
            <w:noWrap w:val="0"/>
            <w:vAlign w:val="center"/>
          </w:tcPr>
          <w:p w14:paraId="62C6B441">
            <w:pPr>
              <w:snapToGrid w:val="0"/>
              <w:spacing w:line="360" w:lineRule="exact"/>
              <w:jc w:val="center"/>
              <w:rPr>
                <w:rFonts w:ascii="宋体" w:hAnsi="宋体" w:cs="FangSong_GB2312"/>
                <w:color w:val="auto"/>
                <w:szCs w:val="21"/>
                <w:lang w:val="zh-CN" w:bidi="zh-CN"/>
              </w:rPr>
            </w:pPr>
          </w:p>
        </w:tc>
        <w:tc>
          <w:tcPr>
            <w:tcW w:w="1968" w:type="dxa"/>
            <w:vMerge w:val="continue"/>
            <w:noWrap w:val="0"/>
            <w:vAlign w:val="center"/>
          </w:tcPr>
          <w:p w14:paraId="2212BF88">
            <w:pPr>
              <w:snapToGrid w:val="0"/>
              <w:spacing w:line="360" w:lineRule="exact"/>
              <w:jc w:val="center"/>
              <w:rPr>
                <w:rFonts w:ascii="宋体" w:hAnsi="宋体" w:cs="FangSong_GB2312"/>
                <w:color w:val="auto"/>
                <w:szCs w:val="21"/>
                <w:lang w:val="zh-CN" w:bidi="zh-CN"/>
              </w:rPr>
            </w:pPr>
          </w:p>
        </w:tc>
        <w:tc>
          <w:tcPr>
            <w:tcW w:w="2762" w:type="dxa"/>
            <w:noWrap w:val="0"/>
            <w:vAlign w:val="center"/>
          </w:tcPr>
          <w:p w14:paraId="57DC942E">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val="zh-CN" w:bidi="zh-CN"/>
              </w:rPr>
              <w:t>系统直连。加快推进平台系统与银行系统联通，帮助银行提升使用平台系统效率，提升平台企业融资受理效率，且为下一步模型共建做好前期准备。</w:t>
            </w:r>
          </w:p>
        </w:tc>
        <w:tc>
          <w:tcPr>
            <w:tcW w:w="2762" w:type="dxa"/>
            <w:noWrap w:val="0"/>
            <w:vAlign w:val="center"/>
          </w:tcPr>
          <w:p w14:paraId="1B67E7FD">
            <w:pPr>
              <w:snapToGrid w:val="0"/>
              <w:spacing w:line="360" w:lineRule="exact"/>
              <w:rPr>
                <w:rFonts w:ascii="宋体" w:hAnsi="宋体" w:cs="FangSong_GB2312"/>
                <w:bCs/>
                <w:color w:val="auto"/>
                <w:szCs w:val="21"/>
              </w:rPr>
            </w:pPr>
            <w:r>
              <w:rPr>
                <w:rFonts w:hint="eastAsia" w:ascii="宋体" w:hAnsi="宋体" w:cs="FangSong_GB2312"/>
                <w:bCs/>
                <w:color w:val="auto"/>
                <w:szCs w:val="21"/>
              </w:rPr>
              <w:t>提供系统直连相关佐证材料。</w:t>
            </w:r>
          </w:p>
        </w:tc>
      </w:tr>
      <w:tr w14:paraId="37633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jc w:val="center"/>
        </w:trPr>
        <w:tc>
          <w:tcPr>
            <w:tcW w:w="1687" w:type="dxa"/>
            <w:vMerge w:val="continue"/>
            <w:noWrap w:val="0"/>
            <w:vAlign w:val="center"/>
          </w:tcPr>
          <w:p w14:paraId="0D7A4266">
            <w:pPr>
              <w:snapToGrid w:val="0"/>
              <w:spacing w:line="360" w:lineRule="exact"/>
              <w:jc w:val="center"/>
              <w:rPr>
                <w:rFonts w:ascii="宋体" w:hAnsi="宋体" w:cs="FangSong_GB2312"/>
                <w:color w:val="auto"/>
                <w:szCs w:val="21"/>
                <w:lang w:val="zh-CN" w:bidi="zh-CN"/>
              </w:rPr>
            </w:pPr>
          </w:p>
        </w:tc>
        <w:tc>
          <w:tcPr>
            <w:tcW w:w="1968" w:type="dxa"/>
            <w:vMerge w:val="continue"/>
            <w:noWrap w:val="0"/>
            <w:vAlign w:val="center"/>
          </w:tcPr>
          <w:p w14:paraId="009E748C">
            <w:pPr>
              <w:snapToGrid w:val="0"/>
              <w:spacing w:line="360" w:lineRule="exact"/>
              <w:jc w:val="center"/>
              <w:rPr>
                <w:rFonts w:ascii="宋体" w:hAnsi="宋体" w:cs="FangSong_GB2312"/>
                <w:color w:val="auto"/>
                <w:szCs w:val="21"/>
                <w:lang w:val="zh-CN" w:bidi="zh-CN"/>
              </w:rPr>
            </w:pPr>
          </w:p>
        </w:tc>
        <w:tc>
          <w:tcPr>
            <w:tcW w:w="2762" w:type="dxa"/>
            <w:noWrap w:val="0"/>
            <w:vAlign w:val="center"/>
          </w:tcPr>
          <w:p w14:paraId="1DC21B67">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bidi="zh-CN"/>
              </w:rPr>
              <w:t>运营监控</w:t>
            </w:r>
            <w:r>
              <w:rPr>
                <w:rFonts w:hint="eastAsia" w:ascii="宋体" w:hAnsi="宋体" w:cs="FangSong_GB2312"/>
                <w:color w:val="auto"/>
                <w:szCs w:val="21"/>
                <w:lang w:val="zh-CN" w:bidi="zh-CN"/>
              </w:rPr>
              <w:t>。1.负责平台各项数据统计和汇总、出具各类报表。2.负责用户数据分析、相关运营数据整理和</w:t>
            </w:r>
            <w:r>
              <w:rPr>
                <w:rFonts w:hint="eastAsia" w:ascii="宋体" w:hAnsi="宋体" w:cs="FangSong_GB2312"/>
                <w:color w:val="auto"/>
                <w:szCs w:val="21"/>
                <w:lang w:bidi="zh-CN"/>
              </w:rPr>
              <w:t>总结，</w:t>
            </w:r>
            <w:r>
              <w:rPr>
                <w:rFonts w:hint="eastAsia" w:ascii="宋体" w:hAnsi="宋体" w:cs="FangSong_GB2312"/>
                <w:color w:val="auto"/>
                <w:szCs w:val="21"/>
                <w:lang w:val="zh-CN" w:bidi="zh-CN"/>
              </w:rPr>
              <w:t>形成专报不少于</w:t>
            </w:r>
            <w:r>
              <w:rPr>
                <w:rFonts w:hint="eastAsia" w:ascii="宋体" w:hAnsi="宋体" w:cs="FangSong_GB2312"/>
                <w:color w:val="auto"/>
                <w:szCs w:val="21"/>
                <w:lang w:bidi="zh-CN"/>
              </w:rPr>
              <w:t>12</w:t>
            </w:r>
            <w:r>
              <w:rPr>
                <w:rFonts w:hint="eastAsia" w:ascii="宋体" w:hAnsi="宋体" w:cs="FangSong_GB2312"/>
                <w:color w:val="auto"/>
                <w:szCs w:val="21"/>
                <w:lang w:val="zh-CN" w:bidi="zh-CN"/>
              </w:rPr>
              <w:t>次。</w:t>
            </w:r>
          </w:p>
        </w:tc>
        <w:tc>
          <w:tcPr>
            <w:tcW w:w="2762" w:type="dxa"/>
            <w:noWrap w:val="0"/>
            <w:vAlign w:val="center"/>
          </w:tcPr>
          <w:p w14:paraId="1720B8A8">
            <w:pPr>
              <w:snapToGrid w:val="0"/>
              <w:spacing w:line="360" w:lineRule="exact"/>
              <w:rPr>
                <w:rFonts w:ascii="宋体" w:hAnsi="宋体" w:cs="FangSong_GB2312"/>
                <w:color w:val="auto"/>
                <w:szCs w:val="21"/>
                <w:lang w:val="zh-CN" w:bidi="zh-CN"/>
              </w:rPr>
            </w:pPr>
            <w:r>
              <w:rPr>
                <w:rFonts w:hint="eastAsia" w:ascii="宋体" w:hAnsi="宋体" w:cs="FangSong_GB2312"/>
                <w:bCs/>
                <w:color w:val="auto"/>
                <w:szCs w:val="21"/>
              </w:rPr>
              <w:t>提供数据相关材料。</w:t>
            </w:r>
          </w:p>
        </w:tc>
      </w:tr>
      <w:tr w14:paraId="5613F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jc w:val="center"/>
        </w:trPr>
        <w:tc>
          <w:tcPr>
            <w:tcW w:w="1687" w:type="dxa"/>
            <w:vMerge w:val="continue"/>
            <w:noWrap w:val="0"/>
            <w:vAlign w:val="center"/>
          </w:tcPr>
          <w:p w14:paraId="0C72D708">
            <w:pPr>
              <w:snapToGrid w:val="0"/>
              <w:spacing w:line="360" w:lineRule="exact"/>
              <w:jc w:val="center"/>
              <w:rPr>
                <w:rFonts w:ascii="宋体" w:hAnsi="宋体" w:cs="FangSong_GB2312"/>
                <w:color w:val="auto"/>
                <w:szCs w:val="21"/>
                <w:lang w:val="zh-CN" w:bidi="zh-CN"/>
              </w:rPr>
            </w:pPr>
          </w:p>
        </w:tc>
        <w:tc>
          <w:tcPr>
            <w:tcW w:w="1968" w:type="dxa"/>
            <w:vMerge w:val="continue"/>
            <w:noWrap w:val="0"/>
            <w:vAlign w:val="center"/>
          </w:tcPr>
          <w:p w14:paraId="0100A560">
            <w:pPr>
              <w:snapToGrid w:val="0"/>
              <w:spacing w:line="360" w:lineRule="exact"/>
              <w:jc w:val="center"/>
              <w:rPr>
                <w:rFonts w:ascii="宋体" w:hAnsi="宋体" w:cs="FangSong_GB2312"/>
                <w:color w:val="auto"/>
                <w:szCs w:val="21"/>
                <w:lang w:val="zh-CN" w:bidi="zh-CN"/>
              </w:rPr>
            </w:pPr>
          </w:p>
        </w:tc>
        <w:tc>
          <w:tcPr>
            <w:tcW w:w="2762" w:type="dxa"/>
            <w:noWrap w:val="0"/>
            <w:vAlign w:val="center"/>
          </w:tcPr>
          <w:p w14:paraId="61A91B65">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val="zh-CN" w:bidi="zh-CN"/>
              </w:rPr>
              <w:t>活动运营。负责对接各部门、市县、产业园区、行业协会等，通过上述渠道及互联网渠道，推介平台并完成企业用户引入指标。负责平台用户的拉新、留存和促活。</w:t>
            </w:r>
          </w:p>
        </w:tc>
        <w:tc>
          <w:tcPr>
            <w:tcW w:w="2762" w:type="dxa"/>
            <w:noWrap w:val="0"/>
            <w:vAlign w:val="center"/>
          </w:tcPr>
          <w:p w14:paraId="661EEF2D">
            <w:pPr>
              <w:snapToGrid w:val="0"/>
              <w:spacing w:line="360" w:lineRule="exact"/>
              <w:rPr>
                <w:rFonts w:ascii="宋体" w:hAnsi="宋体" w:cs="FangSong_GB2312"/>
                <w:color w:val="auto"/>
                <w:szCs w:val="21"/>
                <w:lang w:val="zh-CN" w:bidi="zh-CN"/>
              </w:rPr>
            </w:pPr>
            <w:r>
              <w:rPr>
                <w:rFonts w:hint="eastAsia" w:ascii="宋体" w:hAnsi="宋体" w:cs="FangSong_GB2312"/>
                <w:bCs/>
                <w:color w:val="auto"/>
                <w:szCs w:val="21"/>
              </w:rPr>
              <w:t>提供企业注册名单，并对企业来源进行分类，及平台用户活跃度指标。</w:t>
            </w:r>
          </w:p>
        </w:tc>
      </w:tr>
      <w:tr w14:paraId="6D3DA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1687" w:type="dxa"/>
            <w:vMerge w:val="continue"/>
            <w:noWrap w:val="0"/>
            <w:vAlign w:val="center"/>
          </w:tcPr>
          <w:p w14:paraId="0D59270D">
            <w:pPr>
              <w:snapToGrid w:val="0"/>
              <w:spacing w:line="360" w:lineRule="exact"/>
              <w:jc w:val="center"/>
              <w:rPr>
                <w:rFonts w:ascii="宋体" w:hAnsi="宋体" w:cs="FangSong_GB2312"/>
                <w:color w:val="auto"/>
                <w:szCs w:val="21"/>
                <w:lang w:val="zh-CN" w:bidi="zh-CN"/>
              </w:rPr>
            </w:pPr>
          </w:p>
        </w:tc>
        <w:tc>
          <w:tcPr>
            <w:tcW w:w="1968" w:type="dxa"/>
            <w:vMerge w:val="continue"/>
            <w:noWrap w:val="0"/>
            <w:vAlign w:val="center"/>
          </w:tcPr>
          <w:p w14:paraId="007C958F">
            <w:pPr>
              <w:snapToGrid w:val="0"/>
              <w:spacing w:line="360" w:lineRule="exact"/>
              <w:jc w:val="center"/>
              <w:rPr>
                <w:rFonts w:ascii="宋体" w:hAnsi="宋体" w:cs="FangSong_GB2312"/>
                <w:color w:val="auto"/>
                <w:szCs w:val="21"/>
                <w:lang w:val="zh-CN" w:bidi="zh-CN"/>
              </w:rPr>
            </w:pPr>
          </w:p>
        </w:tc>
        <w:tc>
          <w:tcPr>
            <w:tcW w:w="2762" w:type="dxa"/>
            <w:noWrap w:val="0"/>
            <w:vAlign w:val="center"/>
          </w:tcPr>
          <w:p w14:paraId="24F19EB3">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val="zh-CN" w:bidi="zh-CN"/>
              </w:rPr>
              <w:t>推广宣传。结合线上线下开展平台推广工作，通过包括但不限于微信公众号、短信、新闻媒体等方式，每月不少于3次。</w:t>
            </w:r>
          </w:p>
        </w:tc>
        <w:tc>
          <w:tcPr>
            <w:tcW w:w="2762" w:type="dxa"/>
            <w:noWrap w:val="0"/>
            <w:vAlign w:val="center"/>
          </w:tcPr>
          <w:p w14:paraId="20A691CC">
            <w:pPr>
              <w:snapToGrid w:val="0"/>
              <w:spacing w:line="360" w:lineRule="exact"/>
              <w:rPr>
                <w:rFonts w:ascii="宋体" w:hAnsi="宋体" w:cs="FangSong_GB2312"/>
                <w:color w:val="auto"/>
                <w:szCs w:val="21"/>
                <w:lang w:val="zh-CN" w:bidi="zh-CN"/>
              </w:rPr>
            </w:pPr>
            <w:r>
              <w:rPr>
                <w:rFonts w:hint="eastAsia" w:ascii="宋体" w:hAnsi="宋体" w:cs="FangSong_GB2312"/>
                <w:bCs/>
                <w:color w:val="auto"/>
                <w:szCs w:val="21"/>
                <w:lang w:val="zh-CN"/>
              </w:rPr>
              <w:t>提供宣传推广截图</w:t>
            </w:r>
            <w:r>
              <w:rPr>
                <w:rFonts w:hint="eastAsia" w:ascii="宋体" w:hAnsi="宋体" w:cs="FangSong_GB2312"/>
                <w:bCs/>
                <w:color w:val="auto"/>
                <w:szCs w:val="21"/>
              </w:rPr>
              <w:t>或宣传链接等</w:t>
            </w:r>
            <w:r>
              <w:rPr>
                <w:rFonts w:hint="eastAsia" w:ascii="宋体" w:hAnsi="宋体" w:cs="FangSong_GB2312"/>
                <w:bCs/>
                <w:color w:val="auto"/>
                <w:szCs w:val="21"/>
                <w:lang w:val="zh-CN"/>
              </w:rPr>
              <w:t>。</w:t>
            </w:r>
          </w:p>
        </w:tc>
      </w:tr>
      <w:tr w14:paraId="035A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1687" w:type="dxa"/>
            <w:vMerge w:val="continue"/>
            <w:noWrap w:val="0"/>
            <w:vAlign w:val="center"/>
          </w:tcPr>
          <w:p w14:paraId="5560150A">
            <w:pPr>
              <w:snapToGrid w:val="0"/>
              <w:spacing w:line="360" w:lineRule="exact"/>
              <w:jc w:val="center"/>
              <w:rPr>
                <w:rFonts w:ascii="宋体" w:hAnsi="宋体" w:cs="FangSong_GB2312"/>
                <w:color w:val="auto"/>
                <w:szCs w:val="21"/>
                <w:lang w:val="zh-CN" w:bidi="zh-CN"/>
              </w:rPr>
            </w:pPr>
          </w:p>
        </w:tc>
        <w:tc>
          <w:tcPr>
            <w:tcW w:w="1968" w:type="dxa"/>
            <w:vMerge w:val="continue"/>
            <w:noWrap w:val="0"/>
            <w:vAlign w:val="center"/>
          </w:tcPr>
          <w:p w14:paraId="4D8BA8B9">
            <w:pPr>
              <w:snapToGrid w:val="0"/>
              <w:spacing w:line="360" w:lineRule="exact"/>
              <w:jc w:val="center"/>
              <w:rPr>
                <w:rFonts w:ascii="宋体" w:hAnsi="宋体" w:cs="FangSong_GB2312"/>
                <w:color w:val="auto"/>
                <w:szCs w:val="21"/>
                <w:lang w:val="zh-CN" w:bidi="zh-CN"/>
              </w:rPr>
            </w:pPr>
          </w:p>
        </w:tc>
        <w:tc>
          <w:tcPr>
            <w:tcW w:w="2762" w:type="dxa"/>
            <w:noWrap w:val="0"/>
            <w:vAlign w:val="center"/>
          </w:tcPr>
          <w:p w14:paraId="2148409C">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政策审核。协助做好平台专属贴息政策日常审核工作，确保审核工作有序推进。</w:t>
            </w:r>
          </w:p>
        </w:tc>
        <w:tc>
          <w:tcPr>
            <w:tcW w:w="2762" w:type="dxa"/>
            <w:noWrap w:val="0"/>
            <w:vAlign w:val="center"/>
          </w:tcPr>
          <w:p w14:paraId="735F2CF1">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提供审核进件明细或其他相关材料。</w:t>
            </w:r>
          </w:p>
        </w:tc>
      </w:tr>
      <w:tr w14:paraId="47272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1687" w:type="dxa"/>
            <w:vMerge w:val="continue"/>
            <w:noWrap w:val="0"/>
            <w:vAlign w:val="center"/>
          </w:tcPr>
          <w:p w14:paraId="7CC63500">
            <w:pPr>
              <w:snapToGrid w:val="0"/>
              <w:spacing w:line="360" w:lineRule="exact"/>
              <w:jc w:val="center"/>
              <w:rPr>
                <w:rFonts w:ascii="宋体" w:hAnsi="宋体" w:cs="FangSong_GB2312"/>
                <w:color w:val="auto"/>
                <w:szCs w:val="21"/>
                <w:lang w:val="zh-CN" w:bidi="zh-CN"/>
              </w:rPr>
            </w:pPr>
          </w:p>
        </w:tc>
        <w:tc>
          <w:tcPr>
            <w:tcW w:w="1968" w:type="dxa"/>
            <w:vMerge w:val="continue"/>
            <w:noWrap w:val="0"/>
            <w:vAlign w:val="center"/>
          </w:tcPr>
          <w:p w14:paraId="7CD6C8A9">
            <w:pPr>
              <w:snapToGrid w:val="0"/>
              <w:spacing w:line="360" w:lineRule="exact"/>
              <w:jc w:val="center"/>
              <w:rPr>
                <w:rFonts w:ascii="宋体" w:hAnsi="宋体" w:cs="FangSong_GB2312"/>
                <w:color w:val="auto"/>
                <w:szCs w:val="21"/>
                <w:lang w:val="zh-CN" w:bidi="zh-CN"/>
              </w:rPr>
            </w:pPr>
          </w:p>
        </w:tc>
        <w:tc>
          <w:tcPr>
            <w:tcW w:w="2762" w:type="dxa"/>
            <w:noWrap w:val="0"/>
            <w:vAlign w:val="center"/>
          </w:tcPr>
          <w:p w14:paraId="22F0AC8D">
            <w:pPr>
              <w:spacing w:line="360" w:lineRule="exact"/>
              <w:rPr>
                <w:rFonts w:ascii="宋体" w:hAnsi="宋体" w:cs="FangSong_GB2312"/>
                <w:color w:val="auto"/>
                <w:szCs w:val="21"/>
                <w:lang w:bidi="zh-CN"/>
              </w:rPr>
            </w:pPr>
            <w:r>
              <w:rPr>
                <w:rFonts w:hint="eastAsia" w:ascii="宋体" w:hAnsi="宋体" w:cs="FangSong_GB2312"/>
                <w:color w:val="auto"/>
                <w:szCs w:val="21"/>
                <w:lang w:bidi="zh-CN"/>
              </w:rPr>
              <w:t>后台保障</w:t>
            </w:r>
            <w:r>
              <w:rPr>
                <w:rFonts w:hint="eastAsia" w:ascii="宋体" w:hAnsi="宋体" w:cs="FangSong_GB2312"/>
                <w:color w:val="auto"/>
                <w:szCs w:val="21"/>
                <w:lang w:val="zh-CN" w:bidi="zh-CN"/>
              </w:rPr>
              <w:t>。</w:t>
            </w:r>
            <w:r>
              <w:rPr>
                <w:rFonts w:hint="eastAsia" w:ascii="宋体" w:hAnsi="宋体" w:cs="FangSong_GB2312"/>
                <w:color w:val="auto"/>
                <w:szCs w:val="21"/>
                <w:lang w:bidi="zh-CN"/>
              </w:rPr>
              <w:t>1</w:t>
            </w:r>
            <w:r>
              <w:rPr>
                <w:rFonts w:hint="eastAsia" w:ascii="宋体" w:hAnsi="宋体" w:cs="FangSong_GB2312"/>
                <w:color w:val="auto"/>
                <w:szCs w:val="21"/>
                <w:lang w:val="zh-CN" w:bidi="zh-CN"/>
              </w:rPr>
              <w:t>.负责平台团队管理。</w:t>
            </w:r>
            <w:r>
              <w:rPr>
                <w:rFonts w:hint="eastAsia" w:ascii="宋体" w:hAnsi="宋体" w:cs="FangSong_GB2312"/>
                <w:color w:val="auto"/>
                <w:szCs w:val="21"/>
                <w:lang w:bidi="zh-CN"/>
              </w:rPr>
              <w:t>2</w:t>
            </w:r>
            <w:r>
              <w:rPr>
                <w:rFonts w:hint="eastAsia" w:ascii="宋体" w:hAnsi="宋体" w:cs="FangSong_GB2312"/>
                <w:color w:val="auto"/>
                <w:szCs w:val="21"/>
                <w:lang w:val="zh-CN" w:bidi="zh-CN"/>
              </w:rPr>
              <w:t>.</w:t>
            </w:r>
            <w:r>
              <w:rPr>
                <w:rFonts w:hint="eastAsia" w:ascii="宋体" w:hAnsi="宋体" w:cs="FangSong_GB2312"/>
                <w:color w:val="auto"/>
                <w:szCs w:val="21"/>
                <w:lang w:bidi="zh-CN"/>
              </w:rPr>
              <w:t>完善平台业务流程、用户操作手册等。3.协助处理平台用户投诉及纠纷。</w:t>
            </w:r>
          </w:p>
        </w:tc>
        <w:tc>
          <w:tcPr>
            <w:tcW w:w="2762" w:type="dxa"/>
            <w:noWrap w:val="0"/>
            <w:vAlign w:val="center"/>
          </w:tcPr>
          <w:p w14:paraId="4CE822B9">
            <w:pPr>
              <w:spacing w:line="360" w:lineRule="exact"/>
              <w:rPr>
                <w:rFonts w:ascii="宋体" w:hAnsi="宋体" w:cs="FangSong_GB2312"/>
                <w:color w:val="auto"/>
                <w:szCs w:val="21"/>
                <w:lang w:bidi="zh-CN"/>
              </w:rPr>
            </w:pPr>
            <w:r>
              <w:rPr>
                <w:rFonts w:hint="eastAsia" w:ascii="宋体" w:hAnsi="宋体" w:cs="FangSong_GB2312"/>
                <w:color w:val="auto"/>
                <w:szCs w:val="21"/>
                <w:lang w:bidi="zh-CN"/>
              </w:rPr>
              <w:t>提供规范管理、投诉纠纷处理相关佐证材料。</w:t>
            </w:r>
          </w:p>
        </w:tc>
      </w:tr>
      <w:tr w14:paraId="2D59B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1687" w:type="dxa"/>
            <w:vMerge w:val="restart"/>
            <w:noWrap w:val="0"/>
            <w:vAlign w:val="center"/>
          </w:tcPr>
          <w:p w14:paraId="7F00EBEC">
            <w:pPr>
              <w:snapToGrid w:val="0"/>
              <w:spacing w:line="360" w:lineRule="exact"/>
              <w:jc w:val="center"/>
              <w:rPr>
                <w:rFonts w:ascii="宋体" w:hAnsi="宋体" w:cs="FangSong_GB2312"/>
                <w:color w:val="auto"/>
                <w:szCs w:val="21"/>
                <w:lang w:val="zh-CN" w:bidi="zh-CN"/>
              </w:rPr>
            </w:pPr>
          </w:p>
          <w:p w14:paraId="5BFFAB8B">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经济及社会效益</w:t>
            </w:r>
          </w:p>
        </w:tc>
        <w:tc>
          <w:tcPr>
            <w:tcW w:w="1968" w:type="dxa"/>
            <w:noWrap w:val="0"/>
            <w:vAlign w:val="center"/>
          </w:tcPr>
          <w:p w14:paraId="140D26D4">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val="zh-CN" w:bidi="zh-CN"/>
              </w:rPr>
              <w:t>在各市县开展业务相关活动及融资咨询服务</w:t>
            </w:r>
          </w:p>
        </w:tc>
        <w:tc>
          <w:tcPr>
            <w:tcW w:w="2762" w:type="dxa"/>
            <w:noWrap w:val="0"/>
            <w:vAlign w:val="center"/>
          </w:tcPr>
          <w:p w14:paraId="35FDBC88">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val="zh-CN" w:bidi="zh-CN"/>
              </w:rPr>
              <w:t>不低于</w:t>
            </w:r>
            <w:r>
              <w:rPr>
                <w:rFonts w:hint="eastAsia" w:ascii="宋体" w:hAnsi="宋体" w:cs="FangSong_GB2312"/>
                <w:color w:val="auto"/>
                <w:szCs w:val="21"/>
                <w:lang w:bidi="zh-CN"/>
              </w:rPr>
              <w:t>5</w:t>
            </w:r>
            <w:r>
              <w:rPr>
                <w:rFonts w:hint="eastAsia" w:ascii="宋体" w:hAnsi="宋体" w:cs="FangSong_GB2312"/>
                <w:color w:val="auto"/>
                <w:szCs w:val="21"/>
                <w:lang w:val="zh-CN" w:bidi="zh-CN"/>
              </w:rPr>
              <w:t>次。</w:t>
            </w:r>
          </w:p>
        </w:tc>
        <w:tc>
          <w:tcPr>
            <w:tcW w:w="2762" w:type="dxa"/>
            <w:noWrap w:val="0"/>
            <w:vAlign w:val="center"/>
          </w:tcPr>
          <w:p w14:paraId="68816504">
            <w:pPr>
              <w:snapToGrid w:val="0"/>
              <w:spacing w:line="360" w:lineRule="exact"/>
              <w:rPr>
                <w:rFonts w:ascii="宋体" w:hAnsi="宋体" w:cs="FangSong_GB2312"/>
                <w:color w:val="auto"/>
                <w:szCs w:val="21"/>
                <w:shd w:val="clear" w:color="auto" w:fill="FFFF00"/>
                <w:lang w:val="zh-CN" w:bidi="zh-CN"/>
              </w:rPr>
            </w:pPr>
            <w:r>
              <w:rPr>
                <w:rFonts w:hint="eastAsia" w:ascii="宋体" w:hAnsi="宋体" w:cs="FangSong_GB2312"/>
                <w:bCs/>
                <w:color w:val="auto"/>
                <w:szCs w:val="21"/>
                <w:lang w:val="zh-CN"/>
              </w:rPr>
              <w:t>提供宣讲会相关材料。</w:t>
            </w:r>
          </w:p>
        </w:tc>
      </w:tr>
      <w:tr w14:paraId="5AAE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atLeast"/>
          <w:jc w:val="center"/>
        </w:trPr>
        <w:tc>
          <w:tcPr>
            <w:tcW w:w="1687" w:type="dxa"/>
            <w:vMerge w:val="continue"/>
            <w:noWrap w:val="0"/>
            <w:vAlign w:val="center"/>
          </w:tcPr>
          <w:p w14:paraId="6968D180">
            <w:pPr>
              <w:snapToGrid w:val="0"/>
              <w:spacing w:line="360" w:lineRule="exact"/>
              <w:jc w:val="center"/>
              <w:rPr>
                <w:rFonts w:ascii="宋体" w:hAnsi="宋体" w:cs="FangSong_GB2312"/>
                <w:color w:val="auto"/>
                <w:szCs w:val="21"/>
                <w:lang w:val="zh-CN" w:bidi="zh-CN"/>
              </w:rPr>
            </w:pPr>
          </w:p>
        </w:tc>
        <w:tc>
          <w:tcPr>
            <w:tcW w:w="1968" w:type="dxa"/>
            <w:noWrap w:val="0"/>
            <w:vAlign w:val="center"/>
          </w:tcPr>
          <w:p w14:paraId="1A505FF0">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bidi="zh-CN"/>
              </w:rPr>
              <w:t>开展贴息政策宣传，助推政策落地</w:t>
            </w:r>
          </w:p>
        </w:tc>
        <w:tc>
          <w:tcPr>
            <w:tcW w:w="2762" w:type="dxa"/>
            <w:noWrap w:val="0"/>
            <w:vAlign w:val="center"/>
          </w:tcPr>
          <w:p w14:paraId="26251294">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建立政策咨询服务机制，开展各类形式政策宣传，做好日常用户政策咨询服务工作，助推平台专属贴息政策落实落细。</w:t>
            </w:r>
          </w:p>
        </w:tc>
        <w:tc>
          <w:tcPr>
            <w:tcW w:w="2762" w:type="dxa"/>
            <w:noWrap w:val="0"/>
            <w:vAlign w:val="center"/>
          </w:tcPr>
          <w:p w14:paraId="2013B2B4">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bidi="zh-CN"/>
              </w:rPr>
              <w:t>提供政策咨询服务相关佐证材料。</w:t>
            </w:r>
          </w:p>
        </w:tc>
      </w:tr>
      <w:tr w14:paraId="336D8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687" w:type="dxa"/>
            <w:vMerge w:val="continue"/>
            <w:noWrap w:val="0"/>
            <w:vAlign w:val="center"/>
          </w:tcPr>
          <w:p w14:paraId="2CA9C3D0">
            <w:pPr>
              <w:snapToGrid w:val="0"/>
              <w:spacing w:line="360" w:lineRule="exact"/>
              <w:jc w:val="center"/>
              <w:rPr>
                <w:rFonts w:ascii="宋体" w:hAnsi="宋体" w:cs="FangSong_GB2312"/>
                <w:color w:val="auto"/>
                <w:szCs w:val="21"/>
                <w:lang w:val="zh-CN" w:bidi="zh-CN"/>
              </w:rPr>
            </w:pPr>
          </w:p>
        </w:tc>
        <w:tc>
          <w:tcPr>
            <w:tcW w:w="1968" w:type="dxa"/>
            <w:noWrap w:val="0"/>
            <w:vAlign w:val="center"/>
          </w:tcPr>
          <w:p w14:paraId="043CDEF5">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撮合融资放款金额</w:t>
            </w:r>
          </w:p>
        </w:tc>
        <w:tc>
          <w:tcPr>
            <w:tcW w:w="2762" w:type="dxa"/>
            <w:noWrap w:val="0"/>
            <w:vAlign w:val="center"/>
          </w:tcPr>
          <w:p w14:paraId="57920C7C">
            <w:pPr>
              <w:snapToGrid w:val="0"/>
              <w:spacing w:line="360" w:lineRule="exact"/>
              <w:rPr>
                <w:rFonts w:ascii="宋体" w:hAnsi="宋体" w:cs="FangSong_GB2312"/>
                <w:color w:val="auto"/>
                <w:szCs w:val="21"/>
                <w:lang w:val="zh-CN" w:bidi="zh-CN"/>
              </w:rPr>
            </w:pPr>
            <w:r>
              <w:rPr>
                <w:rFonts w:hint="eastAsia" w:ascii="宋体" w:hAnsi="宋体" w:cs="FangSong_GB2312"/>
                <w:color w:val="auto"/>
                <w:szCs w:val="21"/>
                <w:lang w:bidi="zh-CN"/>
              </w:rPr>
              <w:t>新增撮合放贷金额</w:t>
            </w:r>
            <w:r>
              <w:rPr>
                <w:rFonts w:hint="eastAsia" w:ascii="宋体" w:hAnsi="宋体" w:cs="FangSong_GB2312"/>
                <w:color w:val="auto"/>
                <w:szCs w:val="21"/>
                <w:lang w:val="zh-CN" w:bidi="zh-CN"/>
              </w:rPr>
              <w:t>不少于</w:t>
            </w:r>
            <w:r>
              <w:rPr>
                <w:rFonts w:hint="eastAsia" w:ascii="宋体" w:hAnsi="宋体" w:cs="FangSong_GB2312"/>
                <w:color w:val="auto"/>
                <w:szCs w:val="21"/>
                <w:lang w:bidi="zh-CN"/>
              </w:rPr>
              <w:t>7</w:t>
            </w:r>
            <w:r>
              <w:rPr>
                <w:rFonts w:hint="eastAsia" w:ascii="宋体" w:hAnsi="宋体" w:cs="FangSong_GB2312"/>
                <w:color w:val="auto"/>
                <w:szCs w:val="21"/>
                <w:lang w:val="zh-CN" w:bidi="zh-CN"/>
              </w:rPr>
              <w:t>0亿元。</w:t>
            </w:r>
          </w:p>
        </w:tc>
        <w:tc>
          <w:tcPr>
            <w:tcW w:w="2762" w:type="dxa"/>
            <w:noWrap w:val="0"/>
            <w:vAlign w:val="center"/>
          </w:tcPr>
          <w:p w14:paraId="03C36EE1">
            <w:pPr>
              <w:snapToGrid w:val="0"/>
              <w:spacing w:line="360" w:lineRule="exact"/>
              <w:rPr>
                <w:rFonts w:ascii="宋体" w:hAnsi="宋体" w:cs="FangSong_GB2312"/>
                <w:color w:val="auto"/>
                <w:szCs w:val="21"/>
                <w:highlight w:val="yellow"/>
                <w:lang w:bidi="zh-CN"/>
              </w:rPr>
            </w:pPr>
            <w:r>
              <w:rPr>
                <w:rFonts w:hint="eastAsia" w:ascii="宋体" w:hAnsi="宋体" w:cs="FangSong_GB2312"/>
                <w:bCs/>
                <w:color w:val="auto"/>
                <w:szCs w:val="21"/>
              </w:rPr>
              <w:t>提供融资放款清单。</w:t>
            </w:r>
          </w:p>
        </w:tc>
      </w:tr>
      <w:tr w14:paraId="31B0B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3" w:hRule="atLeast"/>
          <w:jc w:val="center"/>
        </w:trPr>
        <w:tc>
          <w:tcPr>
            <w:tcW w:w="1687" w:type="dxa"/>
            <w:vMerge w:val="continue"/>
            <w:noWrap w:val="0"/>
            <w:vAlign w:val="center"/>
          </w:tcPr>
          <w:p w14:paraId="310B76E1">
            <w:pPr>
              <w:snapToGrid w:val="0"/>
              <w:spacing w:line="360" w:lineRule="exact"/>
              <w:jc w:val="center"/>
              <w:rPr>
                <w:rFonts w:ascii="宋体" w:hAnsi="宋体" w:cs="FangSong_GB2312"/>
                <w:color w:val="auto"/>
                <w:szCs w:val="21"/>
                <w:lang w:val="zh-CN" w:bidi="zh-CN"/>
              </w:rPr>
            </w:pPr>
          </w:p>
        </w:tc>
        <w:tc>
          <w:tcPr>
            <w:tcW w:w="1968" w:type="dxa"/>
            <w:noWrap w:val="0"/>
            <w:vAlign w:val="center"/>
          </w:tcPr>
          <w:p w14:paraId="2CE61FCE">
            <w:pPr>
              <w:snapToGrid w:val="0"/>
              <w:spacing w:line="360" w:lineRule="exact"/>
              <w:jc w:val="center"/>
              <w:rPr>
                <w:rFonts w:ascii="宋体" w:hAnsi="宋体" w:cs="FangSong_GB2312"/>
                <w:color w:val="auto"/>
                <w:szCs w:val="21"/>
                <w:lang w:val="zh-CN" w:bidi="zh-CN"/>
              </w:rPr>
            </w:pPr>
            <w:r>
              <w:rPr>
                <w:rFonts w:hint="eastAsia" w:ascii="宋体" w:hAnsi="宋体" w:cs="FangSong_GB2312"/>
                <w:color w:val="auto"/>
                <w:szCs w:val="21"/>
                <w:lang w:val="zh-CN" w:bidi="zh-CN"/>
              </w:rPr>
              <w:t>分站营销，辐射周边，改善投融资环境</w:t>
            </w:r>
          </w:p>
        </w:tc>
        <w:tc>
          <w:tcPr>
            <w:tcW w:w="2762" w:type="dxa"/>
            <w:noWrap w:val="0"/>
            <w:vAlign w:val="center"/>
          </w:tcPr>
          <w:p w14:paraId="33CF3762">
            <w:pPr>
              <w:snapToGrid w:val="0"/>
              <w:spacing w:line="360" w:lineRule="exact"/>
              <w:rPr>
                <w:rFonts w:ascii="宋体" w:hAnsi="宋体" w:cs="FangSong_GB2312"/>
                <w:color w:val="auto"/>
                <w:szCs w:val="21"/>
                <w:lang w:bidi="zh-CN"/>
              </w:rPr>
            </w:pPr>
            <w:r>
              <w:rPr>
                <w:rFonts w:hint="eastAsia" w:ascii="宋体" w:hAnsi="宋体" w:cs="FangSong_GB2312"/>
                <w:color w:val="auto"/>
                <w:szCs w:val="21"/>
                <w:lang w:val="zh-CN" w:bidi="zh-CN"/>
              </w:rPr>
              <w:t>专人</w:t>
            </w:r>
            <w:r>
              <w:rPr>
                <w:rFonts w:hint="eastAsia" w:ascii="宋体" w:hAnsi="宋体" w:cs="FangSong_GB2312"/>
                <w:color w:val="auto"/>
                <w:szCs w:val="21"/>
                <w:lang w:bidi="zh-CN"/>
              </w:rPr>
              <w:t>指导</w:t>
            </w:r>
            <w:r>
              <w:rPr>
                <w:rFonts w:hint="eastAsia" w:ascii="宋体" w:hAnsi="宋体" w:cs="FangSong_GB2312"/>
                <w:color w:val="auto"/>
                <w:szCs w:val="21"/>
                <w:lang w:val="zh-CN" w:bidi="zh-CN"/>
              </w:rPr>
              <w:t>分站开展平台应用推广，</w:t>
            </w:r>
            <w:r>
              <w:rPr>
                <w:rFonts w:hint="eastAsia" w:ascii="宋体" w:hAnsi="宋体" w:cs="FangSong_GB2312"/>
                <w:color w:val="auto"/>
                <w:szCs w:val="21"/>
                <w:lang w:bidi="zh-CN"/>
              </w:rPr>
              <w:t>协助推动分站与</w:t>
            </w:r>
            <w:r>
              <w:rPr>
                <w:rFonts w:hint="eastAsia" w:ascii="宋体" w:hAnsi="宋体" w:cs="FangSong_GB2312"/>
                <w:color w:val="auto"/>
                <w:szCs w:val="21"/>
                <w:lang w:val="zh-CN" w:bidi="zh-CN"/>
              </w:rPr>
              <w:t>金融机构及中小微企业</w:t>
            </w:r>
            <w:r>
              <w:rPr>
                <w:rFonts w:hint="eastAsia" w:ascii="宋体" w:hAnsi="宋体" w:cs="FangSong_GB2312"/>
                <w:color w:val="auto"/>
                <w:szCs w:val="21"/>
                <w:lang w:bidi="zh-CN"/>
              </w:rPr>
              <w:t>对接</w:t>
            </w:r>
            <w:r>
              <w:rPr>
                <w:rFonts w:hint="eastAsia" w:ascii="宋体" w:hAnsi="宋体" w:cs="FangSong_GB2312"/>
                <w:color w:val="auto"/>
                <w:szCs w:val="21"/>
                <w:lang w:val="zh-CN" w:bidi="zh-CN"/>
              </w:rPr>
              <w:t>，通过以分站中心城市辐射周边，</w:t>
            </w:r>
            <w:r>
              <w:rPr>
                <w:rFonts w:hint="eastAsia" w:ascii="宋体" w:hAnsi="宋体" w:cs="FangSong_GB2312"/>
                <w:color w:val="auto"/>
                <w:szCs w:val="21"/>
                <w:lang w:bidi="zh-CN"/>
              </w:rPr>
              <w:t>将平台金融服务深入地方、乡镇</w:t>
            </w:r>
            <w:r>
              <w:rPr>
                <w:rFonts w:hint="eastAsia" w:ascii="宋体" w:hAnsi="宋体" w:cs="FangSong_GB2312"/>
                <w:color w:val="auto"/>
                <w:szCs w:val="21"/>
                <w:lang w:val="zh-CN" w:bidi="zh-CN"/>
              </w:rPr>
              <w:t>。</w:t>
            </w:r>
            <w:r>
              <w:rPr>
                <w:rFonts w:hint="eastAsia" w:ascii="宋体" w:hAnsi="宋体" w:cs="FangSong_GB2312"/>
                <w:color w:val="auto"/>
                <w:szCs w:val="21"/>
                <w:lang w:bidi="zh-CN"/>
              </w:rPr>
              <w:t>下市县现场服务，每年不少于10次。</w:t>
            </w:r>
          </w:p>
        </w:tc>
        <w:tc>
          <w:tcPr>
            <w:tcW w:w="2762" w:type="dxa"/>
            <w:noWrap w:val="0"/>
            <w:vAlign w:val="center"/>
          </w:tcPr>
          <w:p w14:paraId="22D70023">
            <w:pPr>
              <w:snapToGrid w:val="0"/>
              <w:spacing w:line="360" w:lineRule="exact"/>
              <w:rPr>
                <w:rFonts w:ascii="宋体" w:hAnsi="宋体" w:cs="FangSong_GB2312"/>
                <w:color w:val="auto"/>
                <w:szCs w:val="21"/>
                <w:lang w:val="zh-CN" w:bidi="zh-CN"/>
              </w:rPr>
            </w:pPr>
            <w:r>
              <w:rPr>
                <w:rFonts w:hint="eastAsia" w:ascii="宋体" w:hAnsi="宋体" w:cs="FangSong_GB2312"/>
                <w:bCs/>
                <w:color w:val="auto"/>
                <w:szCs w:val="21"/>
              </w:rPr>
              <w:t>提供分站宣传推广照片、服务记录或截图等资料。</w:t>
            </w:r>
          </w:p>
        </w:tc>
      </w:tr>
    </w:tbl>
    <w:p w14:paraId="38BB5409">
      <w:pPr>
        <w:snapToGrid w:val="0"/>
        <w:rPr>
          <w:rFonts w:ascii="宋体" w:hAnsi="宋体"/>
          <w:color w:val="auto"/>
          <w:sz w:val="18"/>
          <w:szCs w:val="18"/>
        </w:rPr>
      </w:pPr>
    </w:p>
    <w:p w14:paraId="42DA903F">
      <w:pPr>
        <w:widowControl w:val="0"/>
        <w:numPr>
          <w:ilvl w:val="3"/>
          <w:numId w:val="1"/>
        </w:numPr>
        <w:adjustRightInd w:val="0"/>
        <w:snapToGrid w:val="0"/>
        <w:spacing w:line="360" w:lineRule="auto"/>
        <w:jc w:val="both"/>
        <w:rPr>
          <w:rFonts w:ascii="宋体" w:hAnsi="宋体" w:cs="仿宋"/>
          <w:color w:val="auto"/>
          <w:spacing w:val="-3"/>
          <w:sz w:val="24"/>
        </w:rPr>
      </w:pPr>
      <w:r>
        <w:rPr>
          <w:rFonts w:ascii="宋体" w:hAnsi="宋体" w:cs="仿宋"/>
          <w:color w:val="auto"/>
          <w:spacing w:val="-3"/>
          <w:sz w:val="24"/>
        </w:rPr>
        <w:t>结题验收审核标准</w:t>
      </w:r>
    </w:p>
    <w:p w14:paraId="7FB7018C">
      <w:pPr>
        <w:adjustRightInd w:val="0"/>
        <w:snapToGrid w:val="0"/>
        <w:spacing w:line="360" w:lineRule="auto"/>
        <w:ind w:firstLine="480" w:firstLineChars="200"/>
        <w:rPr>
          <w:rFonts w:ascii="宋体" w:hAnsi="宋体"/>
          <w:color w:val="auto"/>
          <w:sz w:val="24"/>
        </w:rPr>
      </w:pPr>
      <w:r>
        <w:rPr>
          <w:rFonts w:hint="eastAsia" w:ascii="宋体" w:hAnsi="宋体"/>
          <w:color w:val="auto"/>
          <w:sz w:val="24"/>
        </w:rPr>
        <w:t>甲方按以下标准对乙方项目总体运行情况进行验收结题，总体项目目标完成情况达到“良”(含)以上时，视为总体目标验收通过。根据总体目标实现情况，进行综合评价（根据本项目总体项目目标完成情况进行评价，总体目标任务完成60分以下（不含）的，总体评价为“差”；完成60-80分（不含）的,总体评价为“合格”；完成达80-90分的，总体评价为“良”；完成达90分（含）以上的，总体评价为“优”）。</w:t>
      </w:r>
    </w:p>
    <w:p w14:paraId="01B8EF62">
      <w:pPr>
        <w:spacing w:after="120" w:afterLines="50" w:line="560" w:lineRule="exact"/>
        <w:ind w:firstLine="700" w:firstLineChars="200"/>
        <w:rPr>
          <w:rFonts w:ascii="宋体" w:hAnsi="宋体" w:cs="仿宋"/>
          <w:color w:val="auto"/>
          <w:spacing w:val="15"/>
          <w:sz w:val="32"/>
          <w:szCs w:val="32"/>
        </w:rPr>
      </w:pPr>
    </w:p>
    <w:tbl>
      <w:tblPr>
        <w:tblStyle w:val="8"/>
        <w:tblW w:w="91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3"/>
        <w:gridCol w:w="5178"/>
        <w:gridCol w:w="2269"/>
      </w:tblGrid>
      <w:tr w14:paraId="3FAB3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jc w:val="center"/>
        </w:trPr>
        <w:tc>
          <w:tcPr>
            <w:tcW w:w="6831" w:type="dxa"/>
            <w:gridSpan w:val="2"/>
            <w:noWrap w:val="0"/>
            <w:vAlign w:val="top"/>
          </w:tcPr>
          <w:p w14:paraId="636FC258">
            <w:pPr>
              <w:spacing w:line="440" w:lineRule="exact"/>
              <w:jc w:val="center"/>
              <w:rPr>
                <w:rFonts w:ascii="宋体" w:hAnsi="宋体" w:cs="仿宋"/>
                <w:b/>
                <w:bCs/>
                <w:color w:val="auto"/>
                <w:szCs w:val="21"/>
              </w:rPr>
            </w:pPr>
            <w:r>
              <w:rPr>
                <w:rFonts w:hint="eastAsia" w:ascii="宋体" w:hAnsi="宋体" w:cs="仿宋"/>
                <w:b/>
                <w:bCs/>
                <w:color w:val="auto"/>
                <w:szCs w:val="21"/>
              </w:rPr>
              <w:t>项目目标</w:t>
            </w:r>
          </w:p>
        </w:tc>
        <w:tc>
          <w:tcPr>
            <w:tcW w:w="2269" w:type="dxa"/>
            <w:noWrap w:val="0"/>
            <w:vAlign w:val="top"/>
          </w:tcPr>
          <w:p w14:paraId="6D9C5ABA">
            <w:pPr>
              <w:spacing w:line="440" w:lineRule="exact"/>
              <w:jc w:val="center"/>
              <w:rPr>
                <w:rFonts w:ascii="宋体" w:hAnsi="宋体" w:cs="仿宋"/>
                <w:b/>
                <w:bCs/>
                <w:color w:val="auto"/>
                <w:szCs w:val="21"/>
              </w:rPr>
            </w:pPr>
            <w:r>
              <w:rPr>
                <w:rFonts w:hint="eastAsia" w:ascii="宋体" w:hAnsi="宋体" w:cs="仿宋"/>
                <w:b/>
                <w:bCs/>
                <w:color w:val="auto"/>
                <w:szCs w:val="21"/>
              </w:rPr>
              <w:t>总体评价</w:t>
            </w:r>
          </w:p>
        </w:tc>
      </w:tr>
      <w:tr w14:paraId="1CE10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1" w:hRule="atLeast"/>
          <w:jc w:val="center"/>
        </w:trPr>
        <w:tc>
          <w:tcPr>
            <w:tcW w:w="1653" w:type="dxa"/>
            <w:noWrap w:val="0"/>
            <w:vAlign w:val="center"/>
          </w:tcPr>
          <w:p w14:paraId="48919A0C">
            <w:pPr>
              <w:spacing w:line="440" w:lineRule="exact"/>
              <w:jc w:val="center"/>
              <w:rPr>
                <w:rFonts w:ascii="宋体" w:hAnsi="宋体" w:cs="FangSong_GB2312"/>
                <w:color w:val="auto"/>
                <w:szCs w:val="21"/>
              </w:rPr>
            </w:pPr>
            <w:r>
              <w:rPr>
                <w:rFonts w:hint="eastAsia" w:ascii="宋体" w:hAnsi="宋体" w:cs="FangSong_GB2312"/>
                <w:color w:val="auto"/>
                <w:szCs w:val="21"/>
              </w:rPr>
              <w:t>缓释中小企</w:t>
            </w:r>
          </w:p>
          <w:p w14:paraId="0B6F54EC">
            <w:pPr>
              <w:spacing w:line="440" w:lineRule="exact"/>
              <w:jc w:val="center"/>
              <w:rPr>
                <w:rFonts w:ascii="宋体" w:hAnsi="宋体" w:cs="FangSong_GB2312"/>
                <w:color w:val="auto"/>
                <w:szCs w:val="21"/>
              </w:rPr>
            </w:pPr>
            <w:r>
              <w:rPr>
                <w:rFonts w:hint="eastAsia" w:ascii="宋体" w:hAnsi="宋体" w:cs="FangSong_GB2312"/>
                <w:color w:val="auto"/>
                <w:szCs w:val="21"/>
              </w:rPr>
              <w:t>业融资难题</w:t>
            </w:r>
          </w:p>
        </w:tc>
        <w:tc>
          <w:tcPr>
            <w:tcW w:w="5178" w:type="dxa"/>
            <w:noWrap w:val="0"/>
            <w:vAlign w:val="top"/>
          </w:tcPr>
          <w:p w14:paraId="085B2040">
            <w:pPr>
              <w:spacing w:line="440" w:lineRule="exact"/>
              <w:rPr>
                <w:rFonts w:ascii="宋体" w:hAnsi="宋体" w:cs="FangSong_GB2312"/>
                <w:color w:val="auto"/>
                <w:szCs w:val="21"/>
              </w:rPr>
            </w:pPr>
            <w:r>
              <w:rPr>
                <w:rFonts w:hint="eastAsia" w:ascii="宋体" w:hAnsi="宋体" w:cs="FangSong_GB2312"/>
                <w:color w:val="auto"/>
                <w:szCs w:val="21"/>
              </w:rPr>
              <w:t>围绕中小微企业的实际经营，以平台构建服务生态，推动政府、产业、金融服务机构及企业等多方信息互通，帮助金融机构准确识别中小企业信用风险，缓释信息不对称问题，降低企业融资成本，推动中小民营经济发展。</w:t>
            </w:r>
          </w:p>
        </w:tc>
        <w:tc>
          <w:tcPr>
            <w:tcW w:w="2269" w:type="dxa"/>
            <w:vMerge w:val="restart"/>
            <w:noWrap w:val="0"/>
            <w:vAlign w:val="center"/>
          </w:tcPr>
          <w:p w14:paraId="357D9A1C">
            <w:pPr>
              <w:spacing w:line="440" w:lineRule="exact"/>
              <w:jc w:val="center"/>
              <w:rPr>
                <w:rFonts w:ascii="宋体" w:hAnsi="宋体" w:cs="FangSong_GB2312"/>
                <w:color w:val="auto"/>
                <w:szCs w:val="21"/>
              </w:rPr>
            </w:pPr>
            <w:r>
              <w:rPr>
                <w:rFonts w:hint="eastAsia" w:ascii="宋体" w:hAnsi="宋体" w:cs="FangSong_GB2312"/>
                <w:color w:val="auto"/>
                <w:szCs w:val="21"/>
              </w:rPr>
              <w:t>□优  □良  □差</w:t>
            </w:r>
          </w:p>
          <w:p w14:paraId="4B5C0132">
            <w:pPr>
              <w:spacing w:line="440" w:lineRule="exact"/>
              <w:jc w:val="center"/>
              <w:rPr>
                <w:rFonts w:ascii="宋体" w:hAnsi="宋体" w:cs="FangSong_GB2312"/>
                <w:color w:val="auto"/>
                <w:szCs w:val="21"/>
              </w:rPr>
            </w:pPr>
          </w:p>
        </w:tc>
      </w:tr>
      <w:tr w14:paraId="341A5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9" w:hRule="atLeast"/>
          <w:jc w:val="center"/>
        </w:trPr>
        <w:tc>
          <w:tcPr>
            <w:tcW w:w="1653" w:type="dxa"/>
            <w:noWrap w:val="0"/>
            <w:vAlign w:val="center"/>
          </w:tcPr>
          <w:p w14:paraId="0B5F7F76">
            <w:pPr>
              <w:spacing w:line="440" w:lineRule="exact"/>
              <w:jc w:val="center"/>
              <w:rPr>
                <w:rFonts w:ascii="宋体" w:hAnsi="宋体" w:cs="FangSong_GB2312"/>
                <w:color w:val="auto"/>
                <w:szCs w:val="21"/>
              </w:rPr>
            </w:pPr>
            <w:r>
              <w:rPr>
                <w:rFonts w:hint="eastAsia" w:ascii="宋体" w:hAnsi="宋体" w:cs="FangSong_GB2312"/>
                <w:color w:val="auto"/>
                <w:szCs w:val="21"/>
              </w:rPr>
              <w:t>推动金融机</w:t>
            </w:r>
          </w:p>
          <w:p w14:paraId="0F5755D8">
            <w:pPr>
              <w:spacing w:line="440" w:lineRule="exact"/>
              <w:jc w:val="center"/>
              <w:rPr>
                <w:rFonts w:ascii="宋体" w:hAnsi="宋体" w:cs="FangSong_GB2312"/>
                <w:color w:val="auto"/>
                <w:szCs w:val="21"/>
              </w:rPr>
            </w:pPr>
            <w:r>
              <w:rPr>
                <w:rFonts w:hint="eastAsia" w:ascii="宋体" w:hAnsi="宋体" w:cs="FangSong_GB2312"/>
                <w:color w:val="auto"/>
                <w:szCs w:val="21"/>
              </w:rPr>
              <w:t>构创新发展</w:t>
            </w:r>
          </w:p>
        </w:tc>
        <w:tc>
          <w:tcPr>
            <w:tcW w:w="5178" w:type="dxa"/>
            <w:noWrap w:val="0"/>
            <w:vAlign w:val="top"/>
          </w:tcPr>
          <w:p w14:paraId="718C93FA">
            <w:pPr>
              <w:spacing w:line="440" w:lineRule="exact"/>
              <w:rPr>
                <w:rFonts w:ascii="宋体" w:hAnsi="宋体" w:cs="FangSong_GB2312"/>
                <w:color w:val="auto"/>
                <w:szCs w:val="21"/>
              </w:rPr>
            </w:pPr>
            <w:r>
              <w:rPr>
                <w:rFonts w:hint="eastAsia" w:ascii="宋体" w:hAnsi="宋体" w:cs="FangSong_GB2312"/>
                <w:color w:val="auto"/>
                <w:szCs w:val="21"/>
              </w:rPr>
              <w:t>构建数字化信息作业平台，输出区块链、云计算、人工智能等金融科技，帮助金融机构强化风险管理能力、降低业务运营成本和提高客户服务效率。</w:t>
            </w:r>
          </w:p>
        </w:tc>
        <w:tc>
          <w:tcPr>
            <w:tcW w:w="2269" w:type="dxa"/>
            <w:vMerge w:val="continue"/>
            <w:noWrap w:val="0"/>
            <w:vAlign w:val="center"/>
          </w:tcPr>
          <w:p w14:paraId="2D3C1687">
            <w:pPr>
              <w:spacing w:line="440" w:lineRule="exact"/>
              <w:jc w:val="center"/>
              <w:rPr>
                <w:rFonts w:ascii="宋体" w:hAnsi="宋体" w:cs="FangSong_GB2312"/>
                <w:color w:val="auto"/>
                <w:szCs w:val="21"/>
              </w:rPr>
            </w:pPr>
          </w:p>
        </w:tc>
      </w:tr>
      <w:tr w14:paraId="5CB73B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8" w:hRule="atLeast"/>
          <w:jc w:val="center"/>
        </w:trPr>
        <w:tc>
          <w:tcPr>
            <w:tcW w:w="1653" w:type="dxa"/>
            <w:noWrap w:val="0"/>
            <w:vAlign w:val="center"/>
          </w:tcPr>
          <w:p w14:paraId="697034EE">
            <w:pPr>
              <w:spacing w:line="440" w:lineRule="exact"/>
              <w:jc w:val="center"/>
              <w:rPr>
                <w:rFonts w:ascii="宋体" w:hAnsi="宋体" w:cs="FangSong_GB2312"/>
                <w:color w:val="auto"/>
                <w:szCs w:val="21"/>
              </w:rPr>
            </w:pPr>
            <w:r>
              <w:rPr>
                <w:rFonts w:hint="eastAsia" w:ascii="宋体" w:hAnsi="宋体" w:cs="FangSong_GB2312"/>
                <w:bCs/>
                <w:color w:val="auto"/>
                <w:szCs w:val="21"/>
              </w:rPr>
              <w:t>助推释放数据价值</w:t>
            </w:r>
          </w:p>
        </w:tc>
        <w:tc>
          <w:tcPr>
            <w:tcW w:w="5178" w:type="dxa"/>
            <w:noWrap w:val="0"/>
            <w:vAlign w:val="center"/>
          </w:tcPr>
          <w:p w14:paraId="07D8A3A1">
            <w:pPr>
              <w:spacing w:line="440" w:lineRule="exact"/>
              <w:rPr>
                <w:rFonts w:ascii="宋体" w:hAnsi="宋体" w:cs="FangSong_GB2312"/>
                <w:color w:val="auto"/>
                <w:szCs w:val="21"/>
              </w:rPr>
            </w:pPr>
            <w:r>
              <w:rPr>
                <w:rFonts w:hint="eastAsia" w:ascii="宋体" w:hAnsi="宋体" w:cs="FangSong_GB2312"/>
                <w:bCs/>
                <w:color w:val="auto"/>
                <w:szCs w:val="21"/>
              </w:rPr>
              <w:t>推进平台数据向银行内部业务系统应</w:t>
            </w:r>
            <w:bookmarkStart w:id="15" w:name="_GoBack"/>
            <w:bookmarkEnd w:id="15"/>
            <w:r>
              <w:rPr>
                <w:rFonts w:hint="eastAsia" w:ascii="宋体" w:hAnsi="宋体" w:cs="FangSong_GB2312"/>
                <w:bCs/>
                <w:color w:val="auto"/>
                <w:szCs w:val="21"/>
              </w:rPr>
              <w:t>用输出，金融机构调用平台数据，帮助金融机构提升风险把控精准度及创新金融产品，提升政务数据应用，助推释放数据应有的价值。</w:t>
            </w:r>
          </w:p>
        </w:tc>
        <w:tc>
          <w:tcPr>
            <w:tcW w:w="2269" w:type="dxa"/>
            <w:vMerge w:val="continue"/>
            <w:noWrap w:val="0"/>
            <w:vAlign w:val="center"/>
          </w:tcPr>
          <w:p w14:paraId="13BFAA85">
            <w:pPr>
              <w:spacing w:line="440" w:lineRule="exact"/>
              <w:jc w:val="center"/>
              <w:rPr>
                <w:rFonts w:ascii="宋体" w:hAnsi="宋体" w:cs="FangSong_GB2312"/>
                <w:color w:val="auto"/>
                <w:szCs w:val="21"/>
              </w:rPr>
            </w:pPr>
          </w:p>
        </w:tc>
      </w:tr>
    </w:tbl>
    <w:p w14:paraId="21FCE9FD">
      <w:pPr>
        <w:widowControl w:val="0"/>
        <w:numPr>
          <w:ilvl w:val="3"/>
          <w:numId w:val="1"/>
        </w:numPr>
        <w:adjustRightInd w:val="0"/>
        <w:snapToGrid w:val="0"/>
        <w:spacing w:line="360" w:lineRule="auto"/>
        <w:ind w:left="238" w:firstLine="403"/>
        <w:jc w:val="both"/>
        <w:rPr>
          <w:rFonts w:ascii="宋体" w:hAnsi="宋体" w:cs="仿宋"/>
          <w:color w:val="auto"/>
          <w:spacing w:val="-3"/>
          <w:sz w:val="24"/>
        </w:rPr>
      </w:pPr>
      <w:r>
        <w:rPr>
          <w:rFonts w:ascii="宋体" w:hAnsi="宋体" w:cs="仿宋"/>
          <w:color w:val="auto"/>
          <w:spacing w:val="-3"/>
          <w:sz w:val="24"/>
        </w:rPr>
        <w:t>验收审核包括：提供项目阶段性报告、总结报告，描述各任务指标完成情况，并结合验收指标表要求提供相应的佐证材料。</w:t>
      </w:r>
    </w:p>
    <w:p w14:paraId="40FC789C">
      <w:pPr>
        <w:pStyle w:val="7"/>
        <w:widowControl/>
        <w:adjustRightInd w:val="0"/>
        <w:snapToGrid w:val="0"/>
        <w:spacing w:after="0" w:line="360" w:lineRule="auto"/>
        <w:ind w:firstLine="480"/>
        <w:rPr>
          <w:rFonts w:ascii="宋体" w:hAnsi="宋体"/>
          <w:color w:val="auto"/>
          <w:sz w:val="24"/>
        </w:rPr>
      </w:pPr>
    </w:p>
    <w:p w14:paraId="46D05FAC">
      <w:pPr>
        <w:adjustRightInd w:val="0"/>
        <w:snapToGrid w:val="0"/>
        <w:spacing w:line="360" w:lineRule="auto"/>
        <w:rPr>
          <w:rFonts w:ascii="宋体" w:hAnsi="宋体" w:cs="宋体"/>
          <w:b/>
          <w:color w:val="auto"/>
          <w:sz w:val="24"/>
        </w:rPr>
      </w:pPr>
      <w:r>
        <w:rPr>
          <w:rFonts w:hint="eastAsia" w:ascii="宋体" w:hAnsi="宋体" w:cs="宋体"/>
          <w:b/>
          <w:color w:val="auto"/>
          <w:sz w:val="24"/>
        </w:rPr>
        <w:t>五、违约责任与解决争议的方法</w:t>
      </w:r>
    </w:p>
    <w:p w14:paraId="726BC99B">
      <w:pPr>
        <w:numPr>
          <w:ilvl w:val="3"/>
          <w:numId w:val="3"/>
        </w:numPr>
        <w:spacing w:before="199" w:line="560" w:lineRule="exact"/>
        <w:ind w:firstLine="403"/>
        <w:outlineLvl w:val="6"/>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pacing w:val="-65"/>
          <w:sz w:val="24"/>
          <w:szCs w:val="24"/>
        </w:rPr>
        <w:t xml:space="preserve"> </w:t>
      </w:r>
      <w:r>
        <w:rPr>
          <w:rFonts w:hint="eastAsia" w:asciiTheme="majorEastAsia" w:hAnsiTheme="majorEastAsia" w:eastAsiaTheme="majorEastAsia" w:cstheme="majorEastAsia"/>
          <w:color w:val="auto"/>
          <w:sz w:val="24"/>
          <w:szCs w:val="24"/>
        </w:rPr>
        <w:t>违约赔偿</w:t>
      </w:r>
    </w:p>
    <w:p w14:paraId="2347E4DC">
      <w:pPr>
        <w:numPr>
          <w:ilvl w:val="4"/>
          <w:numId w:val="3"/>
        </w:numPr>
        <w:spacing w:line="560" w:lineRule="exact"/>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pacing w:val="2"/>
          <w:sz w:val="24"/>
          <w:szCs w:val="24"/>
        </w:rPr>
        <w:t>除因不可抗力致使合同不能依约履行外，若乙方没有按照合同</w:t>
      </w:r>
      <w:r>
        <w:rPr>
          <w:rFonts w:hint="eastAsia" w:asciiTheme="majorEastAsia" w:hAnsiTheme="majorEastAsia" w:eastAsiaTheme="majorEastAsia" w:cstheme="majorEastAsia"/>
          <w:color w:val="auto"/>
          <w:spacing w:val="-5"/>
          <w:sz w:val="24"/>
          <w:szCs w:val="24"/>
        </w:rPr>
        <w:t>规定的时间完成全部服务内容，甲方可从合同款中直接扣除违约赔偿费，</w:t>
      </w:r>
      <w:r>
        <w:rPr>
          <w:rFonts w:hint="eastAsia" w:asciiTheme="majorEastAsia" w:hAnsiTheme="majorEastAsia" w:eastAsiaTheme="majorEastAsia" w:cstheme="majorEastAsia"/>
          <w:color w:val="auto"/>
          <w:spacing w:val="-4"/>
          <w:sz w:val="24"/>
          <w:szCs w:val="24"/>
        </w:rPr>
        <w:t>每延迟一个工作日或未提供服务或提供产品及服务不满足</w:t>
      </w:r>
      <w:r>
        <w:rPr>
          <w:rFonts w:hint="eastAsia" w:asciiTheme="majorEastAsia" w:hAnsiTheme="majorEastAsia" w:eastAsiaTheme="majorEastAsia" w:cstheme="majorEastAsia"/>
          <w:color w:val="auto"/>
          <w:spacing w:val="-5"/>
          <w:sz w:val="24"/>
          <w:szCs w:val="24"/>
        </w:rPr>
        <w:t>项目需求，按合</w:t>
      </w:r>
      <w:r>
        <w:rPr>
          <w:rFonts w:hint="eastAsia" w:asciiTheme="majorEastAsia" w:hAnsiTheme="majorEastAsia" w:eastAsiaTheme="majorEastAsia" w:cstheme="majorEastAsia"/>
          <w:color w:val="auto"/>
          <w:sz w:val="24"/>
          <w:szCs w:val="24"/>
        </w:rPr>
        <w:t>同金额的每日0.02%计扣违约赔偿费。如果乙方超过一个月未完成全部服</w:t>
      </w:r>
      <w:r>
        <w:rPr>
          <w:rFonts w:hint="eastAsia" w:asciiTheme="majorEastAsia" w:hAnsiTheme="majorEastAsia" w:eastAsiaTheme="majorEastAsia" w:cstheme="majorEastAsia"/>
          <w:color w:val="auto"/>
          <w:spacing w:val="-4"/>
          <w:sz w:val="24"/>
          <w:szCs w:val="24"/>
        </w:rPr>
        <w:t>务内容，甲方有权终止合同，合同解除后乙方需向甲方支付合同总额3%的</w:t>
      </w:r>
      <w:r>
        <w:rPr>
          <w:rFonts w:hint="eastAsia" w:asciiTheme="majorEastAsia" w:hAnsiTheme="majorEastAsia" w:eastAsiaTheme="majorEastAsia" w:cstheme="majorEastAsia"/>
          <w:color w:val="auto"/>
          <w:spacing w:val="-3"/>
          <w:sz w:val="24"/>
          <w:szCs w:val="24"/>
        </w:rPr>
        <w:t>违约金，违约金不足以弥补因此给甲方造成的损失的，</w:t>
      </w:r>
      <w:r>
        <w:rPr>
          <w:rFonts w:hint="eastAsia" w:asciiTheme="majorEastAsia" w:hAnsiTheme="majorEastAsia" w:eastAsiaTheme="majorEastAsia" w:cstheme="majorEastAsia"/>
          <w:color w:val="auto"/>
          <w:spacing w:val="-4"/>
          <w:sz w:val="24"/>
          <w:szCs w:val="24"/>
        </w:rPr>
        <w:t>乙方须继续赔偿甲</w:t>
      </w:r>
      <w:r>
        <w:rPr>
          <w:rFonts w:hint="eastAsia" w:asciiTheme="majorEastAsia" w:hAnsiTheme="majorEastAsia" w:eastAsiaTheme="majorEastAsia" w:cstheme="majorEastAsia"/>
          <w:color w:val="auto"/>
          <w:spacing w:val="-8"/>
          <w:sz w:val="24"/>
          <w:szCs w:val="24"/>
        </w:rPr>
        <w:t>方的全部损失。</w:t>
      </w:r>
    </w:p>
    <w:p w14:paraId="2613681B">
      <w:pPr>
        <w:numPr>
          <w:ilvl w:val="4"/>
          <w:numId w:val="3"/>
        </w:numPr>
        <w:spacing w:line="560" w:lineRule="exact"/>
        <w:rPr>
          <w:rFonts w:hint="eastAsia" w:asciiTheme="majorEastAsia" w:hAnsiTheme="majorEastAsia" w:eastAsiaTheme="majorEastAsia" w:cstheme="majorEastAsia"/>
          <w:color w:val="auto"/>
          <w:spacing w:val="2"/>
          <w:sz w:val="24"/>
          <w:szCs w:val="24"/>
        </w:rPr>
      </w:pPr>
      <w:r>
        <w:rPr>
          <w:rFonts w:hint="eastAsia" w:asciiTheme="majorEastAsia" w:hAnsiTheme="majorEastAsia" w:eastAsiaTheme="majorEastAsia" w:cstheme="majorEastAsia"/>
          <w:color w:val="auto"/>
          <w:spacing w:val="2"/>
          <w:sz w:val="24"/>
          <w:szCs w:val="24"/>
        </w:rPr>
        <w:t>因乙方的原因导致第三方损失或致使第三方向甲方主张责任的，一切责任及赔偿费用均由乙方承担，如给甲方造成损失的，甲方有权向乙方追偿。</w:t>
      </w:r>
    </w:p>
    <w:p w14:paraId="51F91DBD">
      <w:pPr>
        <w:numPr>
          <w:ilvl w:val="4"/>
          <w:numId w:val="3"/>
        </w:numPr>
        <w:spacing w:line="560" w:lineRule="exact"/>
        <w:rPr>
          <w:rFonts w:hint="eastAsia" w:asciiTheme="majorEastAsia" w:hAnsiTheme="majorEastAsia" w:eastAsiaTheme="majorEastAsia" w:cstheme="majorEastAsia"/>
          <w:color w:val="auto"/>
          <w:spacing w:val="2"/>
          <w:sz w:val="24"/>
          <w:szCs w:val="24"/>
        </w:rPr>
      </w:pPr>
      <w:r>
        <w:rPr>
          <w:rFonts w:hint="eastAsia" w:asciiTheme="majorEastAsia" w:hAnsiTheme="majorEastAsia" w:eastAsiaTheme="majorEastAsia" w:cstheme="majorEastAsia"/>
          <w:color w:val="auto"/>
          <w:spacing w:val="2"/>
          <w:sz w:val="24"/>
          <w:szCs w:val="24"/>
        </w:rPr>
        <w:t>未经甲方书面同意，乙方不得将本合同运营权利义务全部或部分转让给任何第三方，否则甲方有权解除合同，合同解除后乙方需向甲方支付合同总额30%的违约金，违约金不足以弥补因此给甲方造成的损失的，乙方须继续赔偿甲方的全部损失。</w:t>
      </w:r>
    </w:p>
    <w:p w14:paraId="7ACAC424">
      <w:pPr>
        <w:numPr>
          <w:ilvl w:val="3"/>
          <w:numId w:val="3"/>
        </w:numPr>
        <w:spacing w:before="199" w:line="560" w:lineRule="exact"/>
        <w:ind w:left="238" w:firstLine="403"/>
        <w:outlineLvl w:val="6"/>
        <w:rPr>
          <w:rFonts w:hint="eastAsia" w:asciiTheme="majorEastAsia" w:hAnsiTheme="majorEastAsia" w:eastAsiaTheme="majorEastAsia" w:cstheme="majorEastAsia"/>
          <w:color w:val="auto"/>
          <w:spacing w:val="-5"/>
          <w:sz w:val="24"/>
          <w:szCs w:val="24"/>
        </w:rPr>
      </w:pPr>
      <w:r>
        <w:rPr>
          <w:rFonts w:hint="eastAsia" w:asciiTheme="majorEastAsia" w:hAnsiTheme="majorEastAsia" w:eastAsiaTheme="majorEastAsia" w:cstheme="majorEastAsia"/>
          <w:color w:val="auto"/>
          <w:sz w:val="24"/>
          <w:szCs w:val="24"/>
        </w:rPr>
        <w:t>不可抗力</w:t>
      </w:r>
    </w:p>
    <w:p w14:paraId="38BAEEE2">
      <w:pPr>
        <w:spacing w:line="560" w:lineRule="exact"/>
        <w:ind w:firstLine="460" w:firstLineChars="200"/>
        <w:outlineLvl w:val="6"/>
        <w:rPr>
          <w:rFonts w:hint="eastAsia" w:asciiTheme="majorEastAsia" w:hAnsiTheme="majorEastAsia" w:eastAsiaTheme="majorEastAsia" w:cstheme="majorEastAsia"/>
          <w:color w:val="auto"/>
          <w:spacing w:val="-5"/>
          <w:sz w:val="24"/>
          <w:szCs w:val="24"/>
        </w:rPr>
      </w:pPr>
      <w:r>
        <w:rPr>
          <w:rFonts w:hint="eastAsia" w:asciiTheme="majorEastAsia" w:hAnsiTheme="majorEastAsia" w:eastAsiaTheme="majorEastAsia" w:cstheme="majorEastAsia"/>
          <w:color w:val="auto"/>
          <w:spacing w:val="-5"/>
          <w:sz w:val="24"/>
          <w:szCs w:val="24"/>
        </w:rPr>
        <w:t>如果双方中任何一方由于战争、严重火灾、水灾、台风和地震以及其它经双方同意属于不可抗力的事故，致使合同履行受阻时，履行合同的期限应予以延长，延长的期限应相当于事故所影响的时间。经确认确属不可抗力事件的，因该事件导致本合同全部或部分不能履行、不能按时履行的，双方互不承担违约责任。但遭遇不可抗力一方在不可抗力事件发生后，未按本合同约定期限及时通知对方，而造成损失扩大的，对所扩大的损失应承担赔偿责任。</w:t>
      </w:r>
    </w:p>
    <w:p w14:paraId="14B00891">
      <w:pPr>
        <w:numPr>
          <w:ilvl w:val="3"/>
          <w:numId w:val="3"/>
        </w:numPr>
        <w:spacing w:before="199" w:line="560" w:lineRule="exact"/>
        <w:ind w:left="238" w:firstLine="403"/>
        <w:outlineLvl w:val="6"/>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合同纠纷处理</w:t>
      </w:r>
    </w:p>
    <w:p w14:paraId="52A3596B">
      <w:pPr>
        <w:spacing w:line="560" w:lineRule="exact"/>
        <w:ind w:firstLine="460" w:firstLineChars="200"/>
        <w:outlineLvl w:val="6"/>
        <w:rPr>
          <w:rFonts w:hint="eastAsia" w:asciiTheme="majorEastAsia" w:hAnsiTheme="majorEastAsia" w:eastAsiaTheme="majorEastAsia" w:cstheme="majorEastAsia"/>
          <w:color w:val="auto"/>
          <w:spacing w:val="-5"/>
          <w:sz w:val="24"/>
          <w:szCs w:val="24"/>
        </w:rPr>
      </w:pPr>
      <w:r>
        <w:rPr>
          <w:rFonts w:hint="eastAsia" w:asciiTheme="majorEastAsia" w:hAnsiTheme="majorEastAsia" w:eastAsiaTheme="majorEastAsia" w:cstheme="majorEastAsia"/>
          <w:color w:val="auto"/>
          <w:spacing w:val="-5"/>
          <w:sz w:val="24"/>
          <w:szCs w:val="24"/>
        </w:rPr>
        <w:t>本合同履行过程中发生纠纷，应协商解决，协商不成，可向甲方所在地的人民法院提起诉讼。因此产生的诉讼费、律师费、保全费、担保费、鉴定费、公告费、维权差旅费等一切费用均由责任方承担。</w:t>
      </w:r>
    </w:p>
    <w:p w14:paraId="511BBF1F">
      <w:pPr>
        <w:adjustRightInd w:val="0"/>
        <w:snapToGrid w:val="0"/>
        <w:spacing w:line="360" w:lineRule="auto"/>
        <w:rPr>
          <w:rFonts w:ascii="宋体" w:hAnsi="宋体" w:cs="宋体"/>
          <w:b/>
          <w:color w:val="auto"/>
          <w:sz w:val="24"/>
        </w:rPr>
      </w:pPr>
    </w:p>
    <w:p w14:paraId="7394F38E">
      <w:pPr>
        <w:spacing w:line="360" w:lineRule="auto"/>
        <w:rPr>
          <w:rFonts w:ascii="宋体" w:hAnsi="宋体" w:cs="宋体"/>
          <w:b/>
          <w:color w:val="auto"/>
          <w:sz w:val="28"/>
          <w:szCs w:val="28"/>
        </w:rPr>
      </w:pPr>
      <w:bookmarkStart w:id="7" w:name="_Toc417386178"/>
      <w:bookmarkStart w:id="8" w:name="_Toc462068970"/>
      <w:r>
        <w:rPr>
          <w:rFonts w:hint="eastAsia" w:ascii="宋体" w:hAnsi="宋体" w:cs="宋体"/>
          <w:b/>
          <w:color w:val="auto"/>
          <w:sz w:val="28"/>
          <w:szCs w:val="28"/>
        </w:rPr>
        <w:t>六、合同生效</w:t>
      </w:r>
      <w:bookmarkEnd w:id="7"/>
      <w:bookmarkEnd w:id="8"/>
    </w:p>
    <w:p w14:paraId="651EA787">
      <w:pPr>
        <w:spacing w:line="360" w:lineRule="auto"/>
        <w:ind w:left="555"/>
        <w:rPr>
          <w:rFonts w:ascii="宋体" w:hAnsi="宋体" w:cs="宋体"/>
          <w:color w:val="auto"/>
          <w:sz w:val="24"/>
        </w:rPr>
      </w:pPr>
      <w:r>
        <w:rPr>
          <w:rFonts w:hint="eastAsia" w:ascii="宋体" w:hAnsi="宋体" w:cs="宋体"/>
          <w:color w:val="auto"/>
          <w:sz w:val="24"/>
        </w:rPr>
        <w:t>本合同由甲乙双方签字盖章后生效。</w:t>
      </w:r>
    </w:p>
    <w:p w14:paraId="04F1AB2A">
      <w:pPr>
        <w:spacing w:line="360" w:lineRule="auto"/>
        <w:rPr>
          <w:rFonts w:ascii="宋体" w:hAnsi="宋体" w:cs="宋体"/>
          <w:b/>
          <w:color w:val="auto"/>
          <w:sz w:val="28"/>
          <w:szCs w:val="28"/>
        </w:rPr>
      </w:pPr>
      <w:bookmarkStart w:id="9" w:name="_Toc462068971"/>
      <w:bookmarkStart w:id="10" w:name="_Toc417386179"/>
      <w:r>
        <w:rPr>
          <w:rFonts w:hint="eastAsia" w:ascii="宋体" w:hAnsi="宋体" w:cs="宋体"/>
          <w:b/>
          <w:color w:val="auto"/>
          <w:sz w:val="28"/>
          <w:szCs w:val="28"/>
        </w:rPr>
        <w:t>七、合同鉴证</w:t>
      </w:r>
      <w:bookmarkEnd w:id="9"/>
      <w:bookmarkEnd w:id="10"/>
    </w:p>
    <w:p w14:paraId="14ADEEFE">
      <w:pPr>
        <w:spacing w:line="360" w:lineRule="auto"/>
        <w:ind w:firstLine="480" w:firstLineChars="200"/>
        <w:rPr>
          <w:rFonts w:ascii="宋体" w:hAnsi="宋体" w:cs="宋体"/>
          <w:b/>
          <w:color w:val="auto"/>
          <w:sz w:val="24"/>
        </w:rPr>
      </w:pPr>
      <w:r>
        <w:rPr>
          <w:rFonts w:hint="eastAsia" w:ascii="宋体" w:hAnsi="宋体" w:cs="宋体"/>
          <w:color w:val="auto"/>
          <w:sz w:val="24"/>
        </w:rPr>
        <w:t>采购代理机构应当在本合同上签章，以证明本合同条款与招标文件、投标文件的相关要求相符并且未对采购内容和技术参数进行实质性修改。</w:t>
      </w:r>
    </w:p>
    <w:p w14:paraId="5D370A45">
      <w:pPr>
        <w:spacing w:line="360" w:lineRule="auto"/>
        <w:rPr>
          <w:rFonts w:ascii="宋体" w:hAnsi="宋体" w:cs="宋体"/>
          <w:b/>
          <w:color w:val="auto"/>
          <w:sz w:val="28"/>
          <w:szCs w:val="28"/>
        </w:rPr>
      </w:pPr>
      <w:bookmarkStart w:id="11" w:name="_Toc417386180"/>
      <w:bookmarkStart w:id="12" w:name="_Toc462068972"/>
      <w:r>
        <w:rPr>
          <w:rFonts w:hint="eastAsia" w:ascii="宋体" w:hAnsi="宋体" w:cs="宋体"/>
          <w:b/>
          <w:color w:val="auto"/>
          <w:sz w:val="28"/>
          <w:szCs w:val="28"/>
        </w:rPr>
        <w:t>八、本合同的组成文件</w:t>
      </w:r>
      <w:bookmarkEnd w:id="11"/>
      <w:bookmarkEnd w:id="12"/>
    </w:p>
    <w:p w14:paraId="3F670A23">
      <w:pPr>
        <w:spacing w:line="360" w:lineRule="auto"/>
        <w:ind w:left="555"/>
        <w:rPr>
          <w:rFonts w:ascii="宋体" w:hAnsi="宋体" w:cs="宋体"/>
          <w:color w:val="auto"/>
          <w:sz w:val="24"/>
        </w:rPr>
      </w:pPr>
      <w:r>
        <w:rPr>
          <w:rFonts w:hint="eastAsia" w:ascii="宋体" w:hAnsi="宋体" w:cs="宋体"/>
          <w:color w:val="auto"/>
          <w:sz w:val="24"/>
        </w:rPr>
        <w:t>1.合同通用条款和专用条款；</w:t>
      </w:r>
    </w:p>
    <w:p w14:paraId="61806058">
      <w:pPr>
        <w:spacing w:line="360" w:lineRule="auto"/>
        <w:ind w:left="555"/>
        <w:rPr>
          <w:rFonts w:ascii="宋体" w:hAnsi="宋体" w:cs="宋体"/>
          <w:color w:val="auto"/>
          <w:sz w:val="24"/>
        </w:rPr>
      </w:pPr>
      <w:r>
        <w:rPr>
          <w:rFonts w:hint="eastAsia" w:ascii="宋体" w:hAnsi="宋体" w:cs="宋体"/>
          <w:color w:val="auto"/>
          <w:sz w:val="24"/>
        </w:rPr>
        <w:t>2.招标文件、乙方的投标文件和评标时的澄清函（如有）；</w:t>
      </w:r>
    </w:p>
    <w:p w14:paraId="3644E02A">
      <w:pPr>
        <w:spacing w:line="360" w:lineRule="auto"/>
        <w:ind w:left="555"/>
        <w:rPr>
          <w:rFonts w:ascii="宋体" w:hAnsi="宋体" w:cs="宋体"/>
          <w:color w:val="auto"/>
          <w:sz w:val="24"/>
        </w:rPr>
      </w:pPr>
      <w:r>
        <w:rPr>
          <w:rFonts w:hint="eastAsia" w:ascii="宋体" w:hAnsi="宋体" w:cs="宋体"/>
          <w:color w:val="auto"/>
          <w:sz w:val="24"/>
        </w:rPr>
        <w:t>3.中标通知书；</w:t>
      </w:r>
    </w:p>
    <w:p w14:paraId="4E4AD966">
      <w:pPr>
        <w:spacing w:line="360" w:lineRule="auto"/>
        <w:ind w:left="555"/>
        <w:rPr>
          <w:rFonts w:ascii="宋体" w:hAnsi="宋体" w:cs="宋体"/>
          <w:color w:val="auto"/>
          <w:sz w:val="24"/>
        </w:rPr>
      </w:pPr>
      <w:r>
        <w:rPr>
          <w:rFonts w:hint="eastAsia" w:ascii="宋体" w:hAnsi="宋体" w:cs="宋体"/>
          <w:color w:val="auto"/>
          <w:sz w:val="24"/>
        </w:rPr>
        <w:t>4.甲乙双方商定的其他必要文件。</w:t>
      </w:r>
    </w:p>
    <w:p w14:paraId="0FEB0B3E">
      <w:pPr>
        <w:spacing w:line="360" w:lineRule="auto"/>
        <w:ind w:firstLine="480" w:firstLineChars="200"/>
        <w:rPr>
          <w:rFonts w:ascii="宋体" w:hAnsi="宋体" w:cs="宋体"/>
          <w:bCs/>
          <w:color w:val="auto"/>
          <w:sz w:val="24"/>
        </w:rPr>
      </w:pPr>
      <w:r>
        <w:rPr>
          <w:rFonts w:hint="eastAsia" w:ascii="宋体" w:hAnsi="宋体" w:cs="宋体"/>
          <w:bCs/>
          <w:color w:val="auto"/>
          <w:sz w:val="24"/>
        </w:rPr>
        <w:t>上述合同文件内容互为补充，如有不明确，由甲方负责解释。</w:t>
      </w:r>
    </w:p>
    <w:p w14:paraId="57081BA3">
      <w:pPr>
        <w:spacing w:line="360" w:lineRule="auto"/>
        <w:rPr>
          <w:rFonts w:ascii="宋体" w:hAnsi="宋体" w:cs="宋体"/>
          <w:b/>
          <w:color w:val="auto"/>
          <w:sz w:val="28"/>
          <w:szCs w:val="28"/>
        </w:rPr>
      </w:pPr>
      <w:bookmarkStart w:id="13" w:name="_Toc417386181"/>
      <w:bookmarkStart w:id="14" w:name="_Toc462068973"/>
      <w:r>
        <w:rPr>
          <w:rFonts w:hint="eastAsia" w:ascii="宋体" w:hAnsi="宋体" w:cs="宋体"/>
          <w:b/>
          <w:color w:val="auto"/>
          <w:sz w:val="28"/>
          <w:szCs w:val="28"/>
        </w:rPr>
        <w:t>九、合同备案</w:t>
      </w:r>
      <w:bookmarkEnd w:id="13"/>
      <w:bookmarkEnd w:id="14"/>
    </w:p>
    <w:p w14:paraId="12F6D980">
      <w:pPr>
        <w:spacing w:line="360" w:lineRule="auto"/>
        <w:ind w:firstLine="480" w:firstLineChars="200"/>
        <w:rPr>
          <w:rFonts w:ascii="宋体" w:hAnsi="宋体" w:cs="宋体"/>
          <w:bCs/>
          <w:color w:val="auto"/>
          <w:sz w:val="24"/>
        </w:rPr>
      </w:pPr>
      <w:r>
        <w:rPr>
          <w:rFonts w:hint="eastAsia" w:ascii="宋体" w:hAnsi="宋体" w:cs="宋体"/>
          <w:bCs/>
          <w:color w:val="auto"/>
          <w:sz w:val="24"/>
        </w:rPr>
        <w:t>本合同一式四份，中文书写。甲方执二份，乙方、采购代理机构各执一份。（如果甲方或乙方需要，则可在此增加合同份数）。</w:t>
      </w:r>
    </w:p>
    <w:p w14:paraId="59D3F2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宋体"/>
          <w:bCs/>
          <w:color w:val="auto"/>
          <w:sz w:val="24"/>
        </w:rPr>
      </w:pPr>
    </w:p>
    <w:p w14:paraId="71276B0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color w:val="auto"/>
          <w:sz w:val="24"/>
        </w:rPr>
      </w:pPr>
      <w:r>
        <w:rPr>
          <w:rFonts w:hint="eastAsia" w:ascii="宋体" w:hAnsi="宋体" w:cs="宋体"/>
          <w:b/>
          <w:color w:val="auto"/>
          <w:sz w:val="24"/>
        </w:rPr>
        <w:t>甲方：</w:t>
      </w:r>
      <w:r>
        <w:rPr>
          <w:rFonts w:hint="eastAsia" w:ascii="宋体" w:hAnsi="宋体" w:cs="宋体"/>
          <w:b/>
          <w:color w:val="auto"/>
          <w:sz w:val="24"/>
          <w:u w:val="single"/>
        </w:rPr>
        <w:t xml:space="preserve">                   （盖章）</w:t>
      </w:r>
      <w:r>
        <w:rPr>
          <w:rFonts w:hint="eastAsia" w:ascii="宋体" w:hAnsi="宋体" w:cs="宋体"/>
          <w:b/>
          <w:color w:val="auto"/>
          <w:sz w:val="24"/>
        </w:rPr>
        <w:t xml:space="preserve">      乙方：</w:t>
      </w:r>
      <w:r>
        <w:rPr>
          <w:rFonts w:hint="eastAsia" w:ascii="宋体" w:hAnsi="宋体" w:cs="宋体"/>
          <w:b/>
          <w:color w:val="auto"/>
          <w:sz w:val="24"/>
          <w:u w:val="single"/>
        </w:rPr>
        <w:t xml:space="preserve">                  （盖章）</w:t>
      </w:r>
    </w:p>
    <w:p w14:paraId="22CFA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color w:val="auto"/>
          <w:sz w:val="24"/>
          <w:u w:val="single"/>
        </w:rPr>
      </w:pPr>
      <w:r>
        <w:rPr>
          <w:rFonts w:hint="eastAsia" w:ascii="宋体" w:hAnsi="宋体" w:cs="宋体"/>
          <w:color w:val="auto"/>
          <w:sz w:val="24"/>
        </w:rPr>
        <w:t>地址：</w:t>
      </w:r>
      <w:r>
        <w:rPr>
          <w:rFonts w:hint="eastAsia" w:ascii="宋体" w:hAnsi="宋体" w:cs="宋体"/>
          <w:color w:val="auto"/>
          <w:sz w:val="24"/>
          <w:u w:val="single"/>
        </w:rPr>
        <w:t xml:space="preserve">                           </w:t>
      </w:r>
      <w:r>
        <w:rPr>
          <w:rFonts w:hint="eastAsia" w:ascii="宋体" w:hAnsi="宋体" w:cs="宋体"/>
          <w:color w:val="auto"/>
          <w:sz w:val="24"/>
        </w:rPr>
        <w:t xml:space="preserve">      地址：</w:t>
      </w:r>
      <w:r>
        <w:rPr>
          <w:rFonts w:hint="eastAsia" w:ascii="宋体" w:hAnsi="宋体" w:cs="宋体"/>
          <w:color w:val="auto"/>
          <w:sz w:val="24"/>
          <w:u w:val="single"/>
        </w:rPr>
        <w:t xml:space="preserve">                           </w:t>
      </w:r>
    </w:p>
    <w:p w14:paraId="356F9ED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color w:val="auto"/>
          <w:sz w:val="24"/>
          <w:u w:val="single"/>
        </w:rPr>
      </w:pPr>
      <w:r>
        <w:rPr>
          <w:rFonts w:hint="eastAsia" w:ascii="宋体" w:hAnsi="宋体" w:cs="宋体"/>
          <w:color w:val="auto"/>
          <w:sz w:val="24"/>
        </w:rPr>
        <w:t>法定（或授权）代表人：</w:t>
      </w:r>
      <w:r>
        <w:rPr>
          <w:rFonts w:hint="eastAsia" w:ascii="宋体" w:hAnsi="宋体" w:cs="宋体"/>
          <w:color w:val="auto"/>
          <w:sz w:val="24"/>
          <w:u w:val="single"/>
        </w:rPr>
        <w:t xml:space="preserve">            </w:t>
      </w:r>
      <w:r>
        <w:rPr>
          <w:rFonts w:hint="eastAsia" w:ascii="宋体" w:hAnsi="宋体" w:cs="宋体"/>
          <w:color w:val="auto"/>
          <w:sz w:val="24"/>
        </w:rPr>
        <w:t xml:space="preserve">     法定（或授权）代表人：</w:t>
      </w:r>
      <w:r>
        <w:rPr>
          <w:rFonts w:hint="eastAsia" w:ascii="宋体" w:hAnsi="宋体" w:cs="宋体"/>
          <w:color w:val="auto"/>
          <w:sz w:val="24"/>
          <w:u w:val="single"/>
        </w:rPr>
        <w:t xml:space="preserve">            </w:t>
      </w:r>
    </w:p>
    <w:p w14:paraId="070114A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color w:val="auto"/>
          <w:sz w:val="24"/>
          <w:u w:val="single"/>
        </w:rPr>
      </w:pPr>
      <w:r>
        <w:rPr>
          <w:rFonts w:hint="eastAsia" w:ascii="宋体" w:hAnsi="宋体" w:cs="宋体"/>
          <w:color w:val="auto"/>
          <w:sz w:val="24"/>
        </w:rPr>
        <w:t>开户行：</w:t>
      </w:r>
      <w:r>
        <w:rPr>
          <w:rFonts w:hint="eastAsia" w:ascii="宋体" w:hAnsi="宋体" w:cs="宋体"/>
          <w:color w:val="auto"/>
          <w:sz w:val="24"/>
          <w:u w:val="single"/>
        </w:rPr>
        <w:t xml:space="preserve">                          </w:t>
      </w:r>
      <w:r>
        <w:rPr>
          <w:rFonts w:hint="eastAsia" w:ascii="宋体" w:hAnsi="宋体" w:cs="宋体"/>
          <w:color w:val="auto"/>
          <w:sz w:val="24"/>
        </w:rPr>
        <w:t xml:space="preserve">     开户行：</w:t>
      </w:r>
      <w:r>
        <w:rPr>
          <w:rFonts w:hint="eastAsia" w:ascii="宋体" w:hAnsi="宋体" w:cs="宋体"/>
          <w:color w:val="auto"/>
          <w:sz w:val="24"/>
          <w:u w:val="single"/>
        </w:rPr>
        <w:t xml:space="preserve">                          </w:t>
      </w:r>
    </w:p>
    <w:p w14:paraId="60AF67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color w:val="auto"/>
          <w:sz w:val="24"/>
        </w:rPr>
      </w:pPr>
      <w:r>
        <w:rPr>
          <w:rFonts w:hint="eastAsia" w:ascii="宋体" w:hAnsi="宋体" w:cs="宋体"/>
          <w:color w:val="auto"/>
          <w:sz w:val="24"/>
        </w:rPr>
        <w:t>户名：</w:t>
      </w:r>
      <w:r>
        <w:rPr>
          <w:rFonts w:hint="eastAsia" w:ascii="宋体" w:hAnsi="宋体" w:cs="宋体"/>
          <w:color w:val="auto"/>
          <w:sz w:val="24"/>
          <w:u w:val="single"/>
        </w:rPr>
        <w:t xml:space="preserve">                            </w:t>
      </w:r>
      <w:r>
        <w:rPr>
          <w:rFonts w:hint="eastAsia" w:ascii="宋体" w:hAnsi="宋体" w:cs="宋体"/>
          <w:color w:val="auto"/>
          <w:sz w:val="24"/>
        </w:rPr>
        <w:t xml:space="preserve">     户名：</w:t>
      </w:r>
      <w:r>
        <w:rPr>
          <w:rFonts w:hint="eastAsia" w:ascii="宋体" w:hAnsi="宋体" w:cs="宋体"/>
          <w:color w:val="auto"/>
          <w:sz w:val="24"/>
          <w:u w:val="single"/>
        </w:rPr>
        <w:t xml:space="preserve">                            </w:t>
      </w:r>
    </w:p>
    <w:p w14:paraId="188E4B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color w:val="auto"/>
          <w:sz w:val="24"/>
        </w:rPr>
      </w:pPr>
      <w:r>
        <w:rPr>
          <w:rFonts w:hint="eastAsia" w:ascii="宋体" w:hAnsi="宋体" w:cs="宋体"/>
          <w:color w:val="auto"/>
          <w:sz w:val="24"/>
        </w:rPr>
        <w:t>帐号：</w:t>
      </w:r>
      <w:r>
        <w:rPr>
          <w:rFonts w:hint="eastAsia" w:ascii="宋体" w:hAnsi="宋体" w:cs="宋体"/>
          <w:color w:val="auto"/>
          <w:sz w:val="24"/>
          <w:u w:val="single"/>
        </w:rPr>
        <w:t xml:space="preserve">                            </w:t>
      </w:r>
      <w:r>
        <w:rPr>
          <w:rFonts w:hint="eastAsia" w:ascii="宋体" w:hAnsi="宋体" w:cs="宋体"/>
          <w:color w:val="auto"/>
          <w:sz w:val="24"/>
        </w:rPr>
        <w:t xml:space="preserve">     帐号：</w:t>
      </w:r>
      <w:r>
        <w:rPr>
          <w:rFonts w:hint="eastAsia" w:ascii="宋体" w:hAnsi="宋体" w:cs="宋体"/>
          <w:color w:val="auto"/>
          <w:sz w:val="24"/>
          <w:u w:val="single"/>
        </w:rPr>
        <w:t xml:space="preserve">                            </w:t>
      </w:r>
    </w:p>
    <w:p w14:paraId="2C06EC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 xml:space="preserve">日                   </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12FC711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color w:val="auto"/>
          <w:sz w:val="24"/>
        </w:rPr>
      </w:pPr>
      <w:r>
        <w:rPr>
          <w:rFonts w:hint="eastAsia" w:ascii="宋体" w:hAnsi="宋体" w:cs="宋体"/>
          <w:b/>
          <w:color w:val="auto"/>
          <w:sz w:val="24"/>
        </w:rPr>
        <w:t> </w:t>
      </w:r>
    </w:p>
    <w:p w14:paraId="6FACF57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51" w:firstLineChars="196"/>
        <w:rPr>
          <w:rFonts w:ascii="宋体" w:hAnsi="宋体" w:cs="宋体"/>
          <w:b/>
          <w:color w:val="auto"/>
          <w:sz w:val="28"/>
        </w:rPr>
      </w:pPr>
      <w:r>
        <w:rPr>
          <w:rFonts w:hint="eastAsia" w:ascii="宋体" w:hAnsi="宋体" w:cs="宋体"/>
          <w:b/>
          <w:color w:val="auto"/>
          <w:sz w:val="28"/>
        </w:rPr>
        <w:t>招标代理机构声明：本合同标的经海南海政招标有限公司依法定程序采购，合同主要条款内容与招投标文件的内容一致。</w:t>
      </w:r>
    </w:p>
    <w:p w14:paraId="4A376AF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color w:val="auto"/>
          <w:sz w:val="28"/>
          <w:u w:val="single"/>
        </w:rPr>
      </w:pPr>
      <w:r>
        <w:rPr>
          <w:rFonts w:hint="eastAsia" w:ascii="宋体" w:hAnsi="宋体" w:cs="宋体"/>
          <w:b/>
          <w:color w:val="auto"/>
          <w:sz w:val="28"/>
        </w:rPr>
        <w:t>招标代理机构：</w:t>
      </w:r>
      <w:r>
        <w:rPr>
          <w:rFonts w:hint="eastAsia" w:ascii="宋体" w:hAnsi="宋体" w:cs="宋体"/>
          <w:b/>
          <w:color w:val="auto"/>
          <w:sz w:val="28"/>
          <w:u w:val="single"/>
        </w:rPr>
        <w:t>海南海政招标有限公司（盖章）</w:t>
      </w:r>
    </w:p>
    <w:p w14:paraId="47B7038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color w:val="auto"/>
          <w:sz w:val="28"/>
          <w:u w:val="single"/>
        </w:rPr>
      </w:pPr>
      <w:r>
        <w:rPr>
          <w:rFonts w:hint="eastAsia" w:ascii="宋体" w:hAnsi="宋体" w:cs="宋体"/>
          <w:color w:val="auto"/>
          <w:sz w:val="28"/>
        </w:rPr>
        <w:t>经办人：</w:t>
      </w:r>
      <w:r>
        <w:rPr>
          <w:rFonts w:hint="eastAsia" w:ascii="宋体" w:hAnsi="宋体" w:cs="宋体"/>
          <w:color w:val="auto"/>
          <w:sz w:val="28"/>
          <w:u w:val="single"/>
        </w:rPr>
        <w:t xml:space="preserve">       </w:t>
      </w:r>
    </w:p>
    <w:p w14:paraId="717917A5">
      <w:pPr>
        <w:spacing w:line="360" w:lineRule="auto"/>
        <w:rPr>
          <w:rFonts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bookmarkEnd w:id="0"/>
    <w:p w14:paraId="037D60F9">
      <w:pPr>
        <w:pStyle w:val="6"/>
        <w:spacing w:line="560" w:lineRule="exact"/>
        <w:ind w:firstLine="883" w:firstLineChars="200"/>
        <w:rPr>
          <w:rFonts w:ascii="宋体" w:hAnsi="宋体"/>
          <w:b/>
          <w:bCs/>
          <w:color w:val="auto"/>
          <w:sz w:val="44"/>
          <w:szCs w:val="44"/>
        </w:rPr>
      </w:pPr>
    </w:p>
    <w:p w14:paraId="06B736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8FF50"/>
    <w:multiLevelType w:val="multilevel"/>
    <w:tmpl w:val="8E68FF50"/>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237"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1">
    <w:nsid w:val="0307C7D6"/>
    <w:multiLevelType w:val="multilevel"/>
    <w:tmpl w:val="0307C7D6"/>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558"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2">
    <w:nsid w:val="645471F0"/>
    <w:multiLevelType w:val="multilevel"/>
    <w:tmpl w:val="645471F0"/>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475"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640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1"/>
      <w:lang w:val="en-US" w:eastAsia="zh-CN" w:bidi="ar-SA"/>
    </w:rPr>
  </w:style>
  <w:style w:type="paragraph" w:styleId="3">
    <w:name w:val="heading 1"/>
    <w:basedOn w:val="1"/>
    <w:next w:val="1"/>
    <w:qFormat/>
    <w:uiPriority w:val="0"/>
    <w:pPr>
      <w:keepNext/>
      <w:keepLines/>
      <w:widowControl w:val="0"/>
      <w:spacing w:before="340" w:beforeLines="0" w:beforeAutospacing="0" w:after="330" w:afterLines="0" w:afterAutospacing="0" w:line="576" w:lineRule="auto"/>
      <w:jc w:val="both"/>
      <w:outlineLvl w:val="0"/>
    </w:pPr>
    <w:rPr>
      <w:b/>
      <w:kern w:val="44"/>
      <w:sz w:val="44"/>
    </w:rPr>
  </w:style>
  <w:style w:type="paragraph" w:styleId="4">
    <w:name w:val="heading 2"/>
    <w:basedOn w:val="1"/>
    <w:next w:val="2"/>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60" w:lineRule="auto"/>
      <w:ind w:firstLine="420"/>
    </w:pPr>
    <w:rPr>
      <w:rFonts w:ascii="宋体"/>
    </w:rPr>
  </w:style>
  <w:style w:type="paragraph" w:styleId="5">
    <w:name w:val="Body Text"/>
    <w:basedOn w:val="1"/>
    <w:qFormat/>
    <w:uiPriority w:val="1"/>
    <w:pPr>
      <w:autoSpaceDE w:val="0"/>
      <w:autoSpaceDN w:val="0"/>
      <w:jc w:val="left"/>
    </w:pPr>
    <w:rPr>
      <w:rFonts w:ascii="宋体" w:hAnsi="宋体" w:eastAsia="宋体" w:cs="宋体"/>
      <w:kern w:val="0"/>
      <w:szCs w:val="21"/>
      <w:lang w:val="zh-CN" w:bidi="zh-CN"/>
    </w:rPr>
  </w:style>
  <w:style w:type="paragraph" w:styleId="6">
    <w:name w:val="Body Text Indent"/>
    <w:basedOn w:val="1"/>
    <w:qFormat/>
    <w:uiPriority w:val="0"/>
    <w:pPr>
      <w:spacing w:after="120" w:afterLines="0" w:afterAutospacing="0"/>
      <w:ind w:left="420" w:leftChars="200"/>
    </w:pPr>
  </w:style>
  <w:style w:type="paragraph" w:styleId="7">
    <w:name w:val="Body Text First Indent 2"/>
    <w:basedOn w:val="6"/>
    <w:qFormat/>
    <w:uiPriority w:val="99"/>
    <w:pPr>
      <w:widowControl w:val="0"/>
      <w:ind w:firstLine="420" w:firstLineChars="200"/>
      <w:jc w:val="both"/>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2025-08-14T02:53:11Z</dcterms:created>
  <dc:creator>Administrator</dc:creator>
  <cp:lastModifiedBy>Administrator</cp:lastModifiedBy>
  <dcterms:modified xsi:type="dcterms:W3CDTF">2025-08-14T03:01:54Z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eyJoZGlkIjoiZGM0ZTdkNTY5OTRkYzljNWNiMjllODZkNDI0NTUxNTYifQ==</vt:lpwstr>
  </property>
  <property fmtid="{D5CDD505-2E9C-101B-9397-08002B2CF9AE}" pid="4" name="ICV">
    <vt:lpwstr>404346E1FD2747E880B39AEA0A33BECA_12</vt:lpwstr>
  </property>
</Properties>
</file>