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海南省自驾游推广活动“驾安心”自驾综合保险项目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ZRZB-2025-019</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海南省旅游和文化广电体育厅</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海南宗融项目管理有限公司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海南省旅游和文化广电体育厅</w:t>
      </w:r>
      <w:r>
        <w:rPr>
          <w:rFonts w:ascii="仿宋_GB2312" w:hAnsi="仿宋_GB2312" w:cs="仿宋_GB2312" w:eastAsia="仿宋_GB2312"/>
        </w:rPr>
        <w:t xml:space="preserve"> 的委托， </w:t>
      </w:r>
      <w:r>
        <w:rPr>
          <w:rFonts w:ascii="仿宋_GB2312" w:hAnsi="仿宋_GB2312" w:cs="仿宋_GB2312" w:eastAsia="仿宋_GB2312"/>
        </w:rPr>
        <w:t>海南宗融项目管理有限公司</w:t>
      </w:r>
      <w:r>
        <w:rPr>
          <w:rFonts w:ascii="仿宋_GB2312" w:hAnsi="仿宋_GB2312" w:cs="仿宋_GB2312" w:eastAsia="仿宋_GB2312"/>
        </w:rPr>
        <w:t xml:space="preserve"> 对 </w:t>
      </w:r>
      <w:r>
        <w:rPr>
          <w:rFonts w:ascii="仿宋_GB2312" w:hAnsi="仿宋_GB2312" w:cs="仿宋_GB2312" w:eastAsia="仿宋_GB2312"/>
        </w:rPr>
        <w:t>海南省自驾游推广活动“驾安心”自驾综合保险项目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ZRZB-2025-019</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海南省自驾游推广活动“驾安心”自驾综合保险项目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2,000,000.00元</w:t>
      </w:r>
      <w:r>
        <w:rPr>
          <w:rFonts w:ascii="仿宋_GB2312" w:hAnsi="仿宋_GB2312" w:cs="仿宋_GB2312" w:eastAsia="仿宋_GB2312"/>
        </w:rPr>
        <w:t>贰佰万元整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自合同签订之日起4个月，以保险合同载明的起讫时间为准日（具体以合同签订要去为准）</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具备有效的《保险许可证》或《经营保险业务许可证》：具备有效的《保险许可证》或《经营保险业务许可证》（注：本项目允许分支机构投标，若以分支机构参与投标的，须提供总公司授权书及该分支机构的营业执照副本和相关证件复印件。注：同一总公司的两个或以上的分支机构不得同时参加本项目响应，若同时响应则均作无效响应处理）（提供相关证件复印件，加盖单位公章）</w:t>
      </w:r>
    </w:p>
    <w:p>
      <w:pPr>
        <w:pStyle w:val="null3"/>
        <w:jc w:val="left"/>
      </w:pPr>
      <w:r>
        <w:rPr>
          <w:rFonts w:ascii="仿宋_GB2312" w:hAnsi="仿宋_GB2312" w:cs="仿宋_GB2312" w:eastAsia="仿宋_GB2312"/>
        </w:rPr>
        <w:t>2、参加政府采购活动前三年内，无环保类行政处罚记录：参加政府采购活动前三年内，无环保类行政处罚记录。（提供声明函，加盖单位公章）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2、本项目为远程不见面开标，供应商无须到达开标现场，但开标前必须进入电子开标大厅在线签到（未签到视为无效投标），远程按时参加在线开标解密即可。</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海南省旅游和文化广电体育厅</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海口市美兰区白龙南路43号旅游文化大厦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洪先生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0898-65314260</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海南宗融项目管理有限公司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海南省海口市美兰区海甸街道东三街滨江海岸三期14栋405</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0898-66277097</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采购包1：2,000,000.00元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从递交响应文件的截止之日起60天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代理服务费收费标准：经甲、乙双方商定,本次采购代理服务费由甲方支付，代理费为¥23000元 (大写金额:人民币贰万叁仟圆整)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联系电话：0898-66277097</w:t>
      </w:r>
    </w:p>
    <w:p>
      <w:pPr>
        <w:pStyle w:val="null3"/>
        <w:jc w:val="left"/>
      </w:pPr>
      <w:r>
        <w:rPr>
          <w:rFonts w:ascii="仿宋_GB2312" w:hAnsi="仿宋_GB2312" w:cs="仿宋_GB2312" w:eastAsia="仿宋_GB2312"/>
        </w:rPr>
        <w:t>地址：海南省海口市美兰区海甸街道东三街滨江海岸三期14栋405</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 xml:space="preserve">   为深入贯彻落实海南省关于打造国际旅游消费中心的战略部署，充分发挥环岛旅游公路对全域旅游的引流作用，进一步推动公路沿线旅游项目和产品的开发，海南省旅游和文化广电体育厅拟推出“驾安心”综合保险项目，为通过“酷游海南”平台购买自驾游线路产品的自驾游客提供全面保障，助力提升海南旅游品牌吸引力和游客满意度。</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2,000,000.00</w:t>
      </w:r>
    </w:p>
    <w:p>
      <w:pPr>
        <w:pStyle w:val="null3"/>
        <w:jc w:val="left"/>
      </w:pPr>
      <w:r>
        <w:rPr>
          <w:rFonts w:ascii="仿宋_GB2312" w:hAnsi="仿宋_GB2312" w:cs="仿宋_GB2312" w:eastAsia="仿宋_GB2312"/>
        </w:rPr>
        <w:t>采购包最高限价（元）: 2,000,000.00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海南省自驾游推广活动“驾安心”自驾综合保险项目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海南省自驾游推广活动“驾安心”自驾综合保险项目</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标的名称：海南省自驾游推广活动“驾安心”自驾综合保险项目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项目内容及要求</w:t>
            </w:r>
            <w:r>
              <w:br/>
            </w:r>
            <w:r>
              <w:rPr>
                <w:rFonts w:ascii="仿宋_GB2312" w:hAnsi="仿宋_GB2312" w:cs="仿宋_GB2312" w:eastAsia="仿宋_GB2312"/>
                <w:sz w:val="24"/>
              </w:rPr>
              <w:t xml:space="preserve"> （一）投保人：海南省旅游和文化广电体育厅</w:t>
            </w:r>
            <w:r>
              <w:br/>
            </w:r>
            <w:r>
              <w:rPr>
                <w:rFonts w:ascii="仿宋_GB2312" w:hAnsi="仿宋_GB2312" w:cs="仿宋_GB2312" w:eastAsia="仿宋_GB2312"/>
                <w:sz w:val="24"/>
              </w:rPr>
              <w:t xml:space="preserve"> （二）保险类型：民生意外+救助保险</w:t>
            </w:r>
            <w:r>
              <w:br/>
            </w:r>
            <w:r>
              <w:rPr>
                <w:rFonts w:ascii="仿宋_GB2312" w:hAnsi="仿宋_GB2312" w:cs="仿宋_GB2312" w:eastAsia="仿宋_GB2312"/>
                <w:sz w:val="24"/>
              </w:rPr>
              <w:t xml:space="preserve"> （三）保障对象：保障期内通过“酷游海南”平台购买自驾游线路产品的自驾游客</w:t>
            </w:r>
            <w:r>
              <w:br/>
            </w:r>
            <w:r>
              <w:rPr>
                <w:rFonts w:ascii="仿宋_GB2312" w:hAnsi="仿宋_GB2312" w:cs="仿宋_GB2312" w:eastAsia="仿宋_GB2312"/>
                <w:sz w:val="24"/>
              </w:rPr>
              <w:t xml:space="preserve"> （四）保险期限：保单有效期半年（具体以合同签订为准），对每名自驾游客保障时间为：自其入岛时开始至离岛当天24时终止。</w:t>
            </w:r>
            <w:r>
              <w:br/>
            </w:r>
            <w:r>
              <w:rPr>
                <w:rFonts w:ascii="仿宋_GB2312" w:hAnsi="仿宋_GB2312" w:cs="仿宋_GB2312" w:eastAsia="仿宋_GB2312"/>
                <w:sz w:val="24"/>
              </w:rPr>
              <w:t xml:space="preserve"> 本项目保险产品方案包含自驾游意外（含普通意外）、猝死、食品安全、住院医疗，最大程度保障游客的风险安全。产品方案如下：</w:t>
            </w:r>
          </w:p>
          <w:p>
            <w:pPr>
              <w:pStyle w:val="null3"/>
              <w:jc w:val="left"/>
            </w:pPr>
            <w:r>
              <w:rPr>
                <w:rFonts w:ascii="仿宋_GB2312" w:hAnsi="仿宋_GB2312" w:cs="仿宋_GB2312" w:eastAsia="仿宋_GB2312"/>
                <w:sz w:val="21"/>
                <w:color w:val="000000"/>
              </w:rPr>
              <w:t xml:space="preserve">                 自驾游保险方案</w:t>
            </w:r>
            <w:r>
              <w:rPr>
                <w:rFonts w:ascii="仿宋_GB2312" w:hAnsi="仿宋_GB2312" w:cs="仿宋_GB2312" w:eastAsia="仿宋_GB2312"/>
                <w:sz w:val="21"/>
                <w:color w:val="000000"/>
              </w:rPr>
              <w:t>(海南专属)</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jc w:val="center"/>
                  </w:pPr>
                  <w:r>
                    <w:rPr>
                      <w:rFonts w:ascii="仿宋_GB2312" w:hAnsi="仿宋_GB2312" w:cs="仿宋_GB2312" w:eastAsia="仿宋_GB2312"/>
                    </w:rPr>
                    <w:t xml:space="preserve">累计赔偿限额  </w:t>
                  </w:r>
                </w:p>
              </w:tc>
              <w:tc>
                <w:tcPr>
                  <w:tcW w:type="dxa" w:w="1276"/>
                </w:tcPr>
                <w:p>
                  <w:pPr>
                    <w:pStyle w:val="null3"/>
                    <w:jc w:val="center"/>
                  </w:pPr>
                  <w:r>
                    <w:rPr>
                      <w:rFonts w:ascii="仿宋_GB2312" w:hAnsi="仿宋_GB2312" w:cs="仿宋_GB2312" w:eastAsia="仿宋_GB2312"/>
                    </w:rPr>
                    <w:t xml:space="preserve"> 5000万</w:t>
                  </w:r>
                </w:p>
              </w:tc>
            </w:tr>
            <w:tr>
              <w:tc>
                <w:tcPr>
                  <w:tcW w:type="dxa" w:w="1276"/>
                </w:tcPr>
                <w:p>
                  <w:pPr>
                    <w:pStyle w:val="null3"/>
                    <w:jc w:val="center"/>
                  </w:pPr>
                  <w:r>
                    <w:rPr>
                      <w:rFonts w:ascii="仿宋_GB2312" w:hAnsi="仿宋_GB2312" w:cs="仿宋_GB2312" w:eastAsia="仿宋_GB2312"/>
                    </w:rPr>
                    <w:t xml:space="preserve">每次事故赔偿限额    </w:t>
                  </w:r>
                </w:p>
              </w:tc>
              <w:tc>
                <w:tcPr>
                  <w:tcW w:type="dxa" w:w="1276"/>
                </w:tcPr>
                <w:p>
                  <w:pPr>
                    <w:pStyle w:val="null3"/>
                    <w:jc w:val="center"/>
                  </w:pPr>
                  <w:r>
                    <w:rPr>
                      <w:rFonts w:ascii="仿宋_GB2312" w:hAnsi="仿宋_GB2312" w:cs="仿宋_GB2312" w:eastAsia="仿宋_GB2312"/>
                    </w:rPr>
                    <w:t>300万</w:t>
                  </w:r>
                </w:p>
              </w:tc>
            </w:tr>
            <w:tr>
              <w:tc>
                <w:tcPr>
                  <w:tcW w:type="dxa" w:w="1276"/>
                </w:tcPr>
                <w:p>
                  <w:pPr>
                    <w:pStyle w:val="null3"/>
                    <w:jc w:val="center"/>
                  </w:pPr>
                  <w:r>
                    <w:rPr>
                      <w:rFonts w:ascii="仿宋_GB2312" w:hAnsi="仿宋_GB2312" w:cs="仿宋_GB2312" w:eastAsia="仿宋_GB2312"/>
                    </w:rPr>
                    <w:t xml:space="preserve">每人意外身故、伤残赔偿限额    </w:t>
                  </w:r>
                </w:p>
              </w:tc>
              <w:tc>
                <w:tcPr>
                  <w:tcW w:type="dxa" w:w="1276"/>
                </w:tcPr>
                <w:p>
                  <w:pPr>
                    <w:pStyle w:val="null3"/>
                    <w:jc w:val="center"/>
                  </w:pPr>
                  <w:r>
                    <w:rPr>
                      <w:rFonts w:ascii="仿宋_GB2312" w:hAnsi="仿宋_GB2312" w:cs="仿宋_GB2312" w:eastAsia="仿宋_GB2312"/>
                    </w:rPr>
                    <w:t>50万</w:t>
                  </w:r>
                </w:p>
              </w:tc>
            </w:tr>
            <w:tr>
              <w:tc>
                <w:tcPr>
                  <w:tcW w:type="dxa" w:w="1276"/>
                </w:tcPr>
                <w:p>
                  <w:pPr>
                    <w:pStyle w:val="null3"/>
                    <w:jc w:val="center"/>
                  </w:pPr>
                  <w:r>
                    <w:rPr>
                      <w:rFonts w:ascii="仿宋_GB2312" w:hAnsi="仿宋_GB2312" w:cs="仿宋_GB2312" w:eastAsia="仿宋_GB2312"/>
                    </w:rPr>
                    <w:t xml:space="preserve">急性病身故（猝死）赔偿限额    </w:t>
                  </w:r>
                </w:p>
              </w:tc>
              <w:tc>
                <w:tcPr>
                  <w:tcW w:type="dxa" w:w="1276"/>
                </w:tcPr>
                <w:p>
                  <w:pPr>
                    <w:pStyle w:val="null3"/>
                    <w:jc w:val="center"/>
                  </w:pPr>
                  <w:r>
                    <w:rPr>
                      <w:rFonts w:ascii="仿宋_GB2312" w:hAnsi="仿宋_GB2312" w:cs="仿宋_GB2312" w:eastAsia="仿宋_GB2312"/>
                    </w:rPr>
                    <w:t>5万</w:t>
                  </w:r>
                </w:p>
              </w:tc>
            </w:tr>
            <w:tr>
              <w:tc>
                <w:tcPr>
                  <w:tcW w:type="dxa" w:w="1276"/>
                </w:tcPr>
                <w:p>
                  <w:pPr>
                    <w:pStyle w:val="null3"/>
                    <w:jc w:val="center"/>
                  </w:pPr>
                  <w:r>
                    <w:rPr>
                      <w:rFonts w:ascii="仿宋_GB2312" w:hAnsi="仿宋_GB2312" w:cs="仿宋_GB2312" w:eastAsia="仿宋_GB2312"/>
                    </w:rPr>
                    <w:t xml:space="preserve">每次事故每人意外医疗费用赔偿限额    </w:t>
                  </w:r>
                </w:p>
              </w:tc>
              <w:tc>
                <w:tcPr>
                  <w:tcW w:type="dxa" w:w="1276"/>
                </w:tcPr>
                <w:p>
                  <w:pPr>
                    <w:pStyle w:val="null3"/>
                    <w:jc w:val="center"/>
                  </w:pPr>
                  <w:r>
                    <w:rPr>
                      <w:rFonts w:ascii="仿宋_GB2312" w:hAnsi="仿宋_GB2312" w:cs="仿宋_GB2312" w:eastAsia="仿宋_GB2312"/>
                    </w:rPr>
                    <w:t>5万</w:t>
                  </w:r>
                </w:p>
              </w:tc>
            </w:tr>
            <w:tr>
              <w:tc>
                <w:tcPr>
                  <w:tcW w:type="dxa" w:w="1276"/>
                </w:tcPr>
                <w:p>
                  <w:pPr>
                    <w:pStyle w:val="null3"/>
                    <w:jc w:val="center"/>
                  </w:pPr>
                  <w:r>
                    <w:rPr>
                      <w:rFonts w:ascii="仿宋_GB2312" w:hAnsi="仿宋_GB2312" w:cs="仿宋_GB2312" w:eastAsia="仿宋_GB2312"/>
                    </w:rPr>
                    <w:t xml:space="preserve">累积及每次事故急性病门急诊医疗赔偿限额  </w:t>
                  </w:r>
                </w:p>
              </w:tc>
              <w:tc>
                <w:tcPr>
                  <w:tcW w:type="dxa" w:w="1276"/>
                </w:tcPr>
                <w:p>
                  <w:pPr>
                    <w:pStyle w:val="null3"/>
                    <w:jc w:val="center"/>
                  </w:pPr>
                  <w:r>
                    <w:rPr>
                      <w:rFonts w:ascii="仿宋_GB2312" w:hAnsi="仿宋_GB2312" w:cs="仿宋_GB2312" w:eastAsia="仿宋_GB2312"/>
                    </w:rPr>
                    <w:t xml:space="preserve"> 5万</w:t>
                  </w:r>
                </w:p>
              </w:tc>
            </w:tr>
            <w:tr>
              <w:tc>
                <w:tcPr>
                  <w:tcW w:type="dxa" w:w="1276"/>
                </w:tcPr>
                <w:p>
                  <w:pPr>
                    <w:pStyle w:val="null3"/>
                    <w:jc w:val="center"/>
                  </w:pPr>
                  <w:r>
                    <w:rPr>
                      <w:rFonts w:ascii="仿宋_GB2312" w:hAnsi="仿宋_GB2312" w:cs="仿宋_GB2312" w:eastAsia="仿宋_GB2312"/>
                    </w:rPr>
                    <w:t xml:space="preserve">累积及每人每次事故救护费用赔偿限额    </w:t>
                  </w:r>
                </w:p>
              </w:tc>
              <w:tc>
                <w:tcPr>
                  <w:tcW w:type="dxa" w:w="1276"/>
                </w:tcPr>
                <w:p>
                  <w:pPr>
                    <w:pStyle w:val="null3"/>
                    <w:jc w:val="center"/>
                  </w:pPr>
                  <w:r>
                    <w:rPr>
                      <w:rFonts w:ascii="仿宋_GB2312" w:hAnsi="仿宋_GB2312" w:cs="仿宋_GB2312" w:eastAsia="仿宋_GB2312"/>
                    </w:rPr>
                    <w:t>5万</w:t>
                  </w:r>
                </w:p>
              </w:tc>
            </w:tr>
            <w:tr>
              <w:tc>
                <w:tcPr>
                  <w:tcW w:type="dxa" w:w="1276"/>
                </w:tcPr>
                <w:p>
                  <w:pPr>
                    <w:pStyle w:val="null3"/>
                    <w:jc w:val="center"/>
                  </w:pPr>
                  <w:r>
                    <w:rPr>
                      <w:rFonts w:ascii="仿宋_GB2312" w:hAnsi="仿宋_GB2312" w:cs="仿宋_GB2312" w:eastAsia="仿宋_GB2312"/>
                    </w:rPr>
                    <w:t xml:space="preserve">意外伤害及急性病住院津贴保险金(最长给付180日)    </w:t>
                  </w:r>
                </w:p>
              </w:tc>
              <w:tc>
                <w:tcPr>
                  <w:tcW w:type="dxa" w:w="1276"/>
                </w:tcPr>
                <w:p>
                  <w:pPr>
                    <w:pStyle w:val="null3"/>
                    <w:jc w:val="center"/>
                  </w:pPr>
                  <w:r>
                    <w:rPr>
                      <w:rFonts w:ascii="仿宋_GB2312" w:hAnsi="仿宋_GB2312" w:cs="仿宋_GB2312" w:eastAsia="仿宋_GB2312"/>
                    </w:rPr>
                    <w:t>50元/天</w:t>
                  </w:r>
                </w:p>
              </w:tc>
            </w:tr>
            <w:tr>
              <w:tc>
                <w:tcPr>
                  <w:tcW w:type="dxa" w:w="1276"/>
                </w:tcPr>
                <w:p>
                  <w:pPr>
                    <w:pStyle w:val="null3"/>
                    <w:jc w:val="center"/>
                  </w:pPr>
                  <w:r>
                    <w:rPr>
                      <w:rFonts w:ascii="仿宋_GB2312" w:hAnsi="仿宋_GB2312" w:cs="仿宋_GB2312" w:eastAsia="仿宋_GB2312"/>
                    </w:rPr>
                    <w:t xml:space="preserve">每次事故预赔付限额    </w:t>
                  </w:r>
                </w:p>
              </w:tc>
              <w:tc>
                <w:tcPr>
                  <w:tcW w:type="dxa" w:w="1276"/>
                </w:tcPr>
                <w:p>
                  <w:pPr>
                    <w:pStyle w:val="null3"/>
                    <w:jc w:val="center"/>
                  </w:pPr>
                  <w:r>
                    <w:rPr>
                      <w:rFonts w:ascii="仿宋_GB2312" w:hAnsi="仿宋_GB2312" w:cs="仿宋_GB2312" w:eastAsia="仿宋_GB2312"/>
                    </w:rPr>
                    <w:t>5万</w:t>
                  </w:r>
                </w:p>
              </w:tc>
            </w:tr>
            <w:tr>
              <w:tc>
                <w:tcPr>
                  <w:tcW w:type="dxa" w:w="1276"/>
                </w:tcPr>
                <w:p>
                  <w:pPr>
                    <w:pStyle w:val="null3"/>
                    <w:jc w:val="center"/>
                  </w:pPr>
                  <w:r>
                    <w:rPr>
                      <w:rFonts w:ascii="仿宋_GB2312" w:hAnsi="仿宋_GB2312" w:cs="仿宋_GB2312" w:eastAsia="仿宋_GB2312"/>
                    </w:rPr>
                    <w:t xml:space="preserve">扩展高风险运动死亡赔偿限额    </w:t>
                  </w:r>
                </w:p>
              </w:tc>
              <w:tc>
                <w:tcPr>
                  <w:tcW w:type="dxa" w:w="1276"/>
                </w:tcPr>
                <w:p>
                  <w:pPr>
                    <w:pStyle w:val="null3"/>
                    <w:jc w:val="center"/>
                  </w:pPr>
                  <w:r>
                    <w:rPr>
                      <w:rFonts w:ascii="仿宋_GB2312" w:hAnsi="仿宋_GB2312" w:cs="仿宋_GB2312" w:eastAsia="仿宋_GB2312"/>
                    </w:rPr>
                    <w:t>2万</w:t>
                  </w:r>
                </w:p>
              </w:tc>
            </w:tr>
            <w:tr>
              <w:tc>
                <w:tcPr>
                  <w:tcW w:type="dxa" w:w="1276"/>
                </w:tcPr>
                <w:p>
                  <w:pPr>
                    <w:pStyle w:val="null3"/>
                    <w:jc w:val="center"/>
                  </w:pPr>
                  <w:r>
                    <w:rPr>
                      <w:rFonts w:ascii="仿宋_GB2312" w:hAnsi="仿宋_GB2312" w:cs="仿宋_GB2312" w:eastAsia="仿宋_GB2312"/>
                    </w:rPr>
                    <w:t xml:space="preserve">扩展食物中毒赔偿限额    </w:t>
                  </w:r>
                </w:p>
              </w:tc>
              <w:tc>
                <w:tcPr>
                  <w:tcW w:type="dxa" w:w="1276"/>
                </w:tcPr>
                <w:p>
                  <w:pPr>
                    <w:pStyle w:val="null3"/>
                    <w:jc w:val="center"/>
                  </w:pPr>
                  <w:r>
                    <w:rPr>
                      <w:rFonts w:ascii="仿宋_GB2312" w:hAnsi="仿宋_GB2312" w:cs="仿宋_GB2312" w:eastAsia="仿宋_GB2312"/>
                    </w:rPr>
                    <w:t>5万</w:t>
                  </w:r>
                </w:p>
              </w:tc>
            </w:tr>
          </w:tbl>
          <w:p>
            <w:pPr>
              <w:pStyle w:val="null3"/>
              <w:jc w:val="left"/>
            </w:pPr>
            <w:r>
              <w:rPr>
                <w:rFonts w:ascii="仿宋_GB2312" w:hAnsi="仿宋_GB2312" w:cs="仿宋_GB2312" w:eastAsia="仿宋_GB2312"/>
                <w:sz w:val="24"/>
              </w:rPr>
              <w:t>（五）项目约定</w:t>
            </w:r>
            <w:r>
              <w:br/>
            </w:r>
            <w:r>
              <w:rPr>
                <w:rFonts w:ascii="仿宋_GB2312" w:hAnsi="仿宋_GB2312" w:cs="仿宋_GB2312" w:eastAsia="仿宋_GB2312"/>
                <w:sz w:val="24"/>
              </w:rPr>
              <w:t xml:space="preserve"> （1）意外伤害保障</w:t>
            </w:r>
            <w:r>
              <w:br/>
            </w:r>
            <w:r>
              <w:rPr>
                <w:rFonts w:ascii="仿宋_GB2312" w:hAnsi="仿宋_GB2312" w:cs="仿宋_GB2312" w:eastAsia="仿宋_GB2312"/>
                <w:sz w:val="24"/>
              </w:rPr>
              <w:t xml:space="preserve"> 1.意外伤害身故责任：在保险期间内被保险人遭受意外伤害，并自意外伤害发生之日起180日内因该意外伤害身故的，保险人按保险金额给付身故保险金，对该被保险人的保险责任终止。</w:t>
            </w:r>
            <w:r>
              <w:br/>
            </w:r>
            <w:r>
              <w:rPr>
                <w:rFonts w:ascii="仿宋_GB2312" w:hAnsi="仿宋_GB2312" w:cs="仿宋_GB2312" w:eastAsia="仿宋_GB2312"/>
                <w:sz w:val="24"/>
              </w:rPr>
              <w:t xml:space="preserve"> 2.意外伤害残疾责任：在保险期间内被保险人遭受意外伤害，并自该意外伤害发生之日180日内因该意外伤害造成本保险合同所附《人身保险伤残评定标准》（简称《评定标准》）所列伤残程度之一的，保险人按《评定标准》所对应伤残等级的给付比例乘以保险金额给付残疾保险金。如第180日治疗仍未结束的，按当日的身体情况进行伤残评定，并据此给付残疾保险金。</w:t>
            </w:r>
            <w:r>
              <w:br/>
            </w:r>
            <w:r>
              <w:rPr>
                <w:rFonts w:ascii="仿宋_GB2312" w:hAnsi="仿宋_GB2312" w:cs="仿宋_GB2312" w:eastAsia="仿宋_GB2312"/>
                <w:sz w:val="24"/>
              </w:rPr>
              <w:t xml:space="preserve"> （1）被保险人因同一意外伤害造成两处或两处以上伤残时，保险人根据《评定标准》规定的多处伤残评定原则给付残疾保险金。</w:t>
            </w:r>
            <w:r>
              <w:br/>
            </w:r>
            <w:r>
              <w:rPr>
                <w:rFonts w:ascii="仿宋_GB2312" w:hAnsi="仿宋_GB2312" w:cs="仿宋_GB2312" w:eastAsia="仿宋_GB2312"/>
                <w:sz w:val="24"/>
              </w:rPr>
              <w:t xml:space="preserve"> （2）被保险人如在本次意外伤害之前已有残疾，保险人按合并后的残疾程度在《评定标准》中所对应伤残等级的给付比例扣除原有残疾程度在《评定标准》中所对应伤残等级的给付比例，给付残疾保险金。</w:t>
            </w:r>
            <w:r>
              <w:br/>
            </w:r>
            <w:r>
              <w:rPr>
                <w:rFonts w:ascii="仿宋_GB2312" w:hAnsi="仿宋_GB2312" w:cs="仿宋_GB2312" w:eastAsia="仿宋_GB2312"/>
                <w:sz w:val="24"/>
              </w:rPr>
              <w:t xml:space="preserve"> （2）急性病身故保障（扩展既往症）</w:t>
            </w:r>
            <w:r>
              <w:br/>
            </w:r>
            <w:r>
              <w:rPr>
                <w:rFonts w:ascii="仿宋_GB2312" w:hAnsi="仿宋_GB2312" w:cs="仿宋_GB2312" w:eastAsia="仿宋_GB2312"/>
                <w:sz w:val="24"/>
              </w:rPr>
              <w:t xml:space="preserve"> 在保险期间内，被保险人突发急性病，并自发病之日起3日内因该急性病导致身故的，保险人依照本合同约定的保险金额给付身故保险金。急性病指被保险人突然发生、不及时救治将危及生命安危的急性疾病（扩展既往症责任）。</w:t>
            </w:r>
            <w:r>
              <w:br/>
            </w:r>
            <w:r>
              <w:rPr>
                <w:rFonts w:ascii="仿宋_GB2312" w:hAnsi="仿宋_GB2312" w:cs="仿宋_GB2312" w:eastAsia="仿宋_GB2312"/>
                <w:sz w:val="24"/>
              </w:rPr>
              <w:t xml:space="preserve"> （3）意外伤害医疗保障</w:t>
            </w:r>
            <w:r>
              <w:br/>
            </w:r>
            <w:r>
              <w:rPr>
                <w:rFonts w:ascii="仿宋_GB2312" w:hAnsi="仿宋_GB2312" w:cs="仿宋_GB2312" w:eastAsia="仿宋_GB2312"/>
                <w:sz w:val="24"/>
              </w:rPr>
              <w:t xml:space="preserve"> 在保险期间内，被保险人遭受意外伤害，并因该意外伤害在保险期间内在指定医疗机构进行治疗，保险人按约定给付医疗保险金。</w:t>
            </w:r>
            <w:r>
              <w:br/>
            </w:r>
            <w:r>
              <w:rPr>
                <w:rFonts w:ascii="仿宋_GB2312" w:hAnsi="仿宋_GB2312" w:cs="仿宋_GB2312" w:eastAsia="仿宋_GB2312"/>
                <w:sz w:val="24"/>
              </w:rPr>
              <w:t xml:space="preserve"> （4）急性病门急诊保障</w:t>
            </w:r>
            <w:r>
              <w:br/>
            </w:r>
            <w:r>
              <w:rPr>
                <w:rFonts w:ascii="仿宋_GB2312" w:hAnsi="仿宋_GB2312" w:cs="仿宋_GB2312" w:eastAsia="仿宋_GB2312"/>
                <w:sz w:val="24"/>
              </w:rPr>
              <w:t xml:space="preserve"> 在保险期间内，被保险人罹患急性病，并因该疾病在指定医疗机构进行门诊、急诊治疗，保险人按约定给付门诊急诊医疗保险金。</w:t>
            </w:r>
            <w:r>
              <w:br/>
            </w:r>
            <w:r>
              <w:rPr>
                <w:rFonts w:ascii="仿宋_GB2312" w:hAnsi="仿宋_GB2312" w:cs="仿宋_GB2312" w:eastAsia="仿宋_GB2312"/>
                <w:sz w:val="24"/>
              </w:rPr>
              <w:t xml:space="preserve"> （5）救护车费用保障</w:t>
            </w:r>
            <w:r>
              <w:br/>
            </w:r>
            <w:r>
              <w:rPr>
                <w:rFonts w:ascii="仿宋_GB2312" w:hAnsi="仿宋_GB2312" w:cs="仿宋_GB2312" w:eastAsia="仿宋_GB2312"/>
                <w:sz w:val="24"/>
              </w:rPr>
              <w:t xml:space="preserve"> 被保险人在保险期间内遭受意外伤害并自该意外伤害发生之时起24小时内发生的合理、必要的救护车费用，保险人按约定给付意外伤害救护车费用保险金。</w:t>
            </w:r>
            <w:r>
              <w:br/>
            </w:r>
            <w:r>
              <w:rPr>
                <w:rFonts w:ascii="仿宋_GB2312" w:hAnsi="仿宋_GB2312" w:cs="仿宋_GB2312" w:eastAsia="仿宋_GB2312"/>
                <w:sz w:val="24"/>
              </w:rPr>
              <w:t xml:space="preserve"> （6）意外及急性病住院津贴保障</w:t>
            </w:r>
            <w:r>
              <w:br/>
            </w:r>
            <w:r>
              <w:rPr>
                <w:rFonts w:ascii="仿宋_GB2312" w:hAnsi="仿宋_GB2312" w:cs="仿宋_GB2312" w:eastAsia="仿宋_GB2312"/>
                <w:sz w:val="24"/>
              </w:rPr>
              <w:t xml:space="preserve"> 被保险人因遭受意外事故或罹患急性病，并自事故发生之日起因该事故经医院确诊必须住院治疗的，保险公司按其合理住院日数乘以住院日额现金补贴给付意外住院医疗现金补贴。意外及急性病住院医疗现金补贴的累计给付日数最多为60日，累计给付日数达到60日时，对该被保险人的保险责任终止。</w:t>
            </w:r>
            <w:r>
              <w:br/>
            </w:r>
            <w:r>
              <w:rPr>
                <w:rFonts w:ascii="仿宋_GB2312" w:hAnsi="仿宋_GB2312" w:cs="仿宋_GB2312" w:eastAsia="仿宋_GB2312"/>
                <w:sz w:val="24"/>
              </w:rPr>
              <w:t xml:space="preserve"> （7）高风险运动保障</w:t>
            </w:r>
            <w:r>
              <w:br/>
            </w:r>
            <w:r>
              <w:rPr>
                <w:rFonts w:ascii="仿宋_GB2312" w:hAnsi="仿宋_GB2312" w:cs="仿宋_GB2312" w:eastAsia="仿宋_GB2312"/>
                <w:sz w:val="24"/>
              </w:rPr>
              <w:t xml:space="preserve"> 在保险期间内，被保险人因从事保险单载明的高风险运动而导致发生保险事故或达到保险金给付条件的，保险人将承担约定的保险责任。高风险运动指运动风险等级高、极易发生人身伤害的运动，包括潜水、滑水、滑雪、滑冰、跳伞、热气球运动、滑翔机、滑翔翼、滑翔伞、动力伞、攀岩运动、探险活动、武术比赛、摔跤比赛、特技表演、赛马、赛车、驾驶卡丁车、蹦极及保险单载明的其他运动。</w:t>
            </w:r>
            <w:r>
              <w:br/>
            </w:r>
            <w:r>
              <w:rPr>
                <w:rFonts w:ascii="仿宋_GB2312" w:hAnsi="仿宋_GB2312" w:cs="仿宋_GB2312" w:eastAsia="仿宋_GB2312"/>
                <w:sz w:val="24"/>
              </w:rPr>
              <w:t xml:space="preserve"> （8）食物中毒保障</w:t>
            </w:r>
            <w:r>
              <w:br/>
            </w:r>
            <w:r>
              <w:rPr>
                <w:rFonts w:ascii="仿宋_GB2312" w:hAnsi="仿宋_GB2312" w:cs="仿宋_GB2312" w:eastAsia="仿宋_GB2312"/>
                <w:sz w:val="24"/>
              </w:rPr>
              <w:t xml:space="preserve"> 在保险期间内，被保险人因食物中毒而导致发生保险事故或达到保险金给付条件的，保险人按照约定承担保险责任。食物中毒指摄入了含有生物性,化学性有毒有害物质的食品,或把有毒有害物质当做食品摄入后,出现的非传染性急性、亚急性疾病。包括细菌性食物中毒(如大肠杆菌食物中毒)、化学性食物中毒(如农药中毒)、动植物性食物中毒(如木薯、扁豆中毒)、真菌性食物中毒(毒蘑菇中毒)等。</w:t>
            </w:r>
            <w:r>
              <w:br/>
            </w:r>
            <w:r>
              <w:rPr>
                <w:rFonts w:ascii="仿宋_GB2312" w:hAnsi="仿宋_GB2312" w:cs="仿宋_GB2312" w:eastAsia="仿宋_GB2312"/>
                <w:sz w:val="24"/>
              </w:rPr>
              <w:t xml:space="preserve"> （9）江泰保险经纪股份有限公司海南分公司作为采购人就本项目委托的保险经纪人，在授权范围内代理采购人履行项目的具体事务、职责及提供经纪服务，保险经纪佣金服务费为保费的8%，由中标保险公司支付。</w:t>
            </w:r>
            <w:r>
              <w:br/>
            </w:r>
            <w:r>
              <w:rPr>
                <w:rFonts w:ascii="仿宋_GB2312" w:hAnsi="仿宋_GB2312" w:cs="仿宋_GB2312" w:eastAsia="仿宋_GB2312"/>
                <w:sz w:val="24"/>
              </w:rPr>
              <w:t xml:space="preserve"> （六）其他要求</w:t>
            </w:r>
            <w:r>
              <w:br/>
            </w:r>
            <w:r>
              <w:rPr>
                <w:rFonts w:ascii="仿宋_GB2312" w:hAnsi="仿宋_GB2312" w:cs="仿宋_GB2312" w:eastAsia="仿宋_GB2312"/>
                <w:sz w:val="24"/>
              </w:rPr>
              <w:t xml:space="preserve"> 供应商需结合本项目内容提供延伸服务（包括但不限于在景区、酒店等旅游公共场所进行项目宣传、举办相关风险培训、给游客提供服务便利资源等活动）。                                                                                                                                                                                  </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 xml:space="preserve">（1）服务期限：自合同签订之日起4个月，以保险合同载明的起讫时间为准日（具体以合同签订要去为准）。 </w:t>
            </w:r>
            <w:r>
              <w:br/>
            </w:r>
            <w:r>
              <w:rPr>
                <w:rFonts w:ascii="仿宋_GB2312" w:hAnsi="仿宋_GB2312" w:cs="仿宋_GB2312" w:eastAsia="仿宋_GB2312"/>
              </w:rPr>
              <w:t xml:space="preserve"> （2）付款方式：由采购人与成交供应商在合同中约定。</w:t>
            </w:r>
            <w:r>
              <w:br/>
            </w:r>
            <w:r>
              <w:rPr>
                <w:rFonts w:ascii="仿宋_GB2312" w:hAnsi="仿宋_GB2312" w:cs="仿宋_GB2312" w:eastAsia="仿宋_GB2312"/>
              </w:rPr>
              <w:t xml:space="preserve"> （3）服务地点：采购人指定的地点。</w:t>
            </w:r>
            <w:r>
              <w:br/>
            </w:r>
            <w:r>
              <w:rPr>
                <w:rFonts w:ascii="仿宋_GB2312" w:hAnsi="仿宋_GB2312" w:cs="仿宋_GB2312" w:eastAsia="仿宋_GB2312"/>
              </w:rPr>
              <w:t xml:space="preserve"> （4）供应商报价应为一切相关费用的包干价，不得高于采购预算金额，否则将被否决，若实际费用超出报价，则由成交供应商通过市场化运作自行筹措。</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具有独立承担民事责任的能力证明文件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投标人无不良信用记录承诺函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 资格承诺函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具备有效的《保险许可证》或《经营保险业务许可证》</w:t>
            </w:r>
          </w:p>
        </w:tc>
        <w:tc>
          <w:tcPr>
            <w:tcW w:type="dxa" w:w="3322"/>
          </w:tcPr>
          <w:p>
            <w:pPr>
              <w:pStyle w:val="null3"/>
              <w:jc w:val="left"/>
            </w:pPr>
            <w:r>
              <w:rPr>
                <w:rFonts w:ascii="仿宋_GB2312" w:hAnsi="仿宋_GB2312" w:cs="仿宋_GB2312" w:eastAsia="仿宋_GB2312"/>
              </w:rPr>
              <w:t>具备有效的《保险许可证》或《经营保险业务许可证》（注：本项目允许分支机构投标，若以分支机构参与投标的，须提供总公司授权书及该分支机构的营业执照副本和相关证件复印件。注：同一总公司的两个或以上的分支机构不得同时参加本项目响应，若同时响应则均作无效响应处理）（提供相关证件复印件，加盖单位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参加政府采购活动前三年内，无环保类行政处罚记录。（提供声明函，加盖单位公章）</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投标人无不良信用记录承诺函 开标（报价）一览表 中小企业声明函 商务应答表 自觉抵制政府采购领域商业贿赂行为承诺书 封面 商业信誉、财务会计制度、缴纳税收和社保的承诺函 具有独立承担民事责任的能力证明文件 供应商承诺函 投标（响应）报价明细表 其他材料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无环保类行政处罚记录声明函 投标人无不良信用记录承诺函 开标（报价）一览表 中小企业声明函 商务应答表 自觉抵制政府采购领域商业贿赂行为承诺书 封面 商业信誉、财务会计制度、缴纳税收和社保的承诺函 具有独立承担民事责任的能力证明文件 供应商承诺函 投标（响应）报价明细表 其他材料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供应商应提交的相关证明材料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其他材料 开标（报价）一览表 自觉抵制政府采购领域商业贿赂行为承诺书 资格承诺函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理赔服务方案</w:t>
            </w:r>
          </w:p>
        </w:tc>
        <w:tc>
          <w:tcPr>
            <w:tcW w:type="dxa" w:w="2492"/>
          </w:tcPr>
          <w:p>
            <w:pPr>
              <w:pStyle w:val="null3"/>
              <w:jc w:val="left"/>
            </w:pPr>
            <w:r>
              <w:rPr>
                <w:rFonts w:ascii="仿宋_GB2312" w:hAnsi="仿宋_GB2312" w:cs="仿宋_GB2312" w:eastAsia="仿宋_GB2312"/>
              </w:rPr>
              <w:t>根据供应商提供的理赔服务方案（包含但不限于①接听报案、②理赔响应时间、③现场查勘、④定损预付赔款比例、⑤赔付结案等内容）进行评审：（1）方案每一项内容详细完整，条理清晰，针对实际情况，考虑问题周全，完全满足采购需求的得20分；（2）方案每一项与项目实际匹配、符合项目特点，基本满足采购需求的得16分；（3）方案每一项与项目实施内容较少、适用性不强，不能完全满足采购需求的得10分；（4）方案缺项、方案内容适用性较差，较难满足采购需求的得5分；（5）未提供方案的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工作计划方案</w:t>
            </w:r>
          </w:p>
        </w:tc>
        <w:tc>
          <w:tcPr>
            <w:tcW w:type="dxa" w:w="2492"/>
          </w:tcPr>
          <w:p>
            <w:pPr>
              <w:pStyle w:val="null3"/>
              <w:jc w:val="left"/>
            </w:pPr>
            <w:r>
              <w:rPr>
                <w:rFonts w:ascii="仿宋_GB2312" w:hAnsi="仿宋_GB2312" w:cs="仿宋_GB2312" w:eastAsia="仿宋_GB2312"/>
              </w:rPr>
              <w:t>根据供应商提供的工作计划方案（包含但不限于①承保流程、②索赔机制、③理赔流程及理赔材料、④理赔措施等内容）进行评审：（1）方案每一项内容详细完整，条理清晰，针对实际情况，考虑问题周全，完全满足采购需求的得12分；（2）方案每一项与项目实际匹配、符合项目特点，基本满足采购需求的得9分；（3）方案每一项与项目实施内容较少、适用性不强，不能完全满足采购需求的得5分；（4）方案缺项、方案内容适用性较差，较难满足采购需求的得2分；（5）未提供方案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理赔服务质量保障方案</w:t>
            </w:r>
          </w:p>
        </w:tc>
        <w:tc>
          <w:tcPr>
            <w:tcW w:type="dxa" w:w="2492"/>
          </w:tcPr>
          <w:p>
            <w:pPr>
              <w:pStyle w:val="null3"/>
              <w:jc w:val="left"/>
            </w:pPr>
            <w:r>
              <w:rPr>
                <w:rFonts w:ascii="仿宋_GB2312" w:hAnsi="仿宋_GB2312" w:cs="仿宋_GB2312" w:eastAsia="仿宋_GB2312"/>
              </w:rPr>
              <w:t>根据供应商提供的理赔服务质量保障方案（包含但不限于①理赔质量保障措施、②理赔质量管理制度、③理赔进度计划、④理赔期限安排等内容）进行评审：（1）方案每一项内容详细完整，条理清晰，针对实际情况，考虑问题周全，完全满足采购需求的得12分；（2）方案每一项与项目实际匹配、符合项目特点，基本满足采购需求的得9分；（3）方案每一项与项目实施内容较少、适用性不强，不能完全满足采购需求的得5分；（4）方案缺项、方案内容适用性较差，较难满足采购需求的得2分；（5）未提供方案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人员配备方案</w:t>
            </w:r>
          </w:p>
        </w:tc>
        <w:tc>
          <w:tcPr>
            <w:tcW w:type="dxa" w:w="2492"/>
          </w:tcPr>
          <w:p>
            <w:pPr>
              <w:pStyle w:val="null3"/>
              <w:jc w:val="left"/>
            </w:pPr>
            <w:r>
              <w:rPr>
                <w:rFonts w:ascii="仿宋_GB2312" w:hAnsi="仿宋_GB2312" w:cs="仿宋_GB2312" w:eastAsia="仿宋_GB2312"/>
              </w:rPr>
              <w:t>根据供应商提供的人员配备方案（包括但不限于①人员构成、②人员职责分工、③人员层次和结构、④设立网络服务人员分配情况安排等内容）进行评审：（1）方案每一项内容详细完整，条理清晰，针对实际情况，考虑问题周全，完全满足采购需求的得8分；（2）方案每一项与项目实际匹配、符合项目特点，基本满足采购需求的得6分；（3）方案每一项与项目实施内容较少、适用性不强，不能完全满足采购需求的得3分；（4）方案缺项、方案内容适用性较差，较难满足采购需求的得1分；（5）未提供方案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承保服务</w:t>
            </w:r>
          </w:p>
        </w:tc>
        <w:tc>
          <w:tcPr>
            <w:tcW w:type="dxa" w:w="2492"/>
          </w:tcPr>
          <w:p>
            <w:pPr>
              <w:pStyle w:val="null3"/>
              <w:jc w:val="left"/>
            </w:pPr>
            <w:r>
              <w:rPr>
                <w:rFonts w:ascii="仿宋_GB2312" w:hAnsi="仿宋_GB2312" w:cs="仿宋_GB2312" w:eastAsia="仿宋_GB2312"/>
              </w:rPr>
              <w:t>根据供应商提供的承保服务 1.承诺设立理赔绿色通道； 2.承诺成立专项理赔服务小组，人员须包括项目负责人、理赔部经理、理赠服务专岗，便于理赔工作开展； 3.承诺设立24小时报案服务专线电话，便于报案； 4.承诺设立理赔服务接待专员，确保理赔服务实施开展； 每承诺1条得2分，最高8分，不承诺不得分。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提供 2022年1月1日至今，具有类似项目业绩，每提供1份业绩得 5分，最高得10分。 证明材料：业绩合同或中标通知书，提供复印件加盖单位公章。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服务网点</w:t>
            </w:r>
          </w:p>
        </w:tc>
        <w:tc>
          <w:tcPr>
            <w:tcW w:type="dxa" w:w="2492"/>
          </w:tcPr>
          <w:p>
            <w:pPr>
              <w:pStyle w:val="null3"/>
              <w:jc w:val="left"/>
            </w:pPr>
            <w:r>
              <w:rPr>
                <w:rFonts w:ascii="仿宋_GB2312" w:hAnsi="仿宋_GB2312" w:cs="仿宋_GB2312" w:eastAsia="仿宋_GB2312"/>
              </w:rPr>
              <w:t>在海南省市、县（区）、省内乡镇中，设立的服务机构网点数量： ①服务网点15家及以上的得10分； ②服务网点14～10家的得7分； ③服务网点9～5家（含5家）的得4分； ④服务网点5家以下（不含5家）的得1分。 注：如投标保险公司在 1 个市、县（区）、省内乡镇设立多家分支公司的视同1个）。 证明材料：提供有效的《保险许可证》或《经营保险业务许可证》复印件，加盖单位公章。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偿付能力</w:t>
            </w:r>
          </w:p>
        </w:tc>
        <w:tc>
          <w:tcPr>
            <w:tcW w:type="dxa" w:w="2492"/>
          </w:tcPr>
          <w:p>
            <w:pPr>
              <w:pStyle w:val="null3"/>
              <w:jc w:val="left"/>
            </w:pPr>
            <w:r>
              <w:rPr>
                <w:rFonts w:ascii="仿宋_GB2312" w:hAnsi="仿宋_GB2312" w:cs="仿宋_GB2312" w:eastAsia="仿宋_GB2312"/>
              </w:rPr>
              <w:t>供应商或供应商总公司2024年综合偿付能力充足率： 1、高于230%（不含）的得10分； 2、在200%（不含）～230%（含）的得8分； 3、180%（不含）～200%（含）的得5分； 4、150%（不含）～180%（含）的得2分 5、低于150%（含）的得1分。 （注：以会计师事务所出具的投标人或投标人财险总公司 2024 年度审计报告中偿付能力状况表为准，如2024年审计报告未发布以2023年审计报告为准）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ZRZB-2025-019</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海南省自驾游推广活动“驾安心”自驾综合保险项目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海南省自驾游推广活动“驾安心”自驾综合保险项目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海南省自驾游推广活动“驾安心”自驾综合保险项目</w:t>
            </w:r>
          </w:p>
        </w:tc>
        <w:tc>
          <w:tcPr>
            <w:tcW w:type="dxa" w:w="1038"/>
          </w:tcPr>
          <w:p>
            <w:pPr>
              <w:pStyle w:val="null3"/>
              <w:jc w:val="left"/>
            </w:pPr>
            <w:r>
              <w:rPr>
                <w:rFonts w:ascii="仿宋_GB2312" w:hAnsi="仿宋_GB2312" w:cs="仿宋_GB2312" w:eastAsia="仿宋_GB2312"/>
              </w:rPr>
              <w:t xml:space="preserve"> 1.00批</w:t>
            </w:r>
          </w:p>
        </w:tc>
        <w:tc>
          <w:tcPr>
            <w:tcW w:type="dxa" w:w="1038"/>
          </w:tcPr>
          <w:p>
            <w:pPr>
              <w:pStyle w:val="null3"/>
              <w:jc w:val="left"/>
            </w:pPr>
            <w:r>
              <w:rPr>
                <w:rFonts w:ascii="仿宋_GB2312" w:hAnsi="仿宋_GB2312" w:cs="仿宋_GB2312" w:eastAsia="仿宋_GB2312"/>
              </w:rPr>
              <w:t xml:space="preserve"> 2000000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详见附件：投标人无不良信用记录承诺函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详见附件：资格承诺函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