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2025年新增国产医疗设备采购项目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HNXS2025-C015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上海交通大学医学院附属瑞金医院海南医院（海南博鳌研究型医院）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海南鑫赛项目管理有限公司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上海交通大学医学院附属瑞金医院海南医院（海南博鳌研究型医院）</w:t>
      </w:r>
      <w:r>
        <w:rPr>
          <w:rFonts w:ascii="仿宋_GB2312" w:hAnsi="仿宋_GB2312" w:cs="仿宋_GB2312" w:eastAsia="仿宋_GB2312"/>
        </w:rPr>
        <w:t xml:space="preserve"> 的委托， </w:t>
      </w:r>
      <w:r>
        <w:rPr>
          <w:rFonts w:ascii="仿宋_GB2312" w:hAnsi="仿宋_GB2312" w:cs="仿宋_GB2312" w:eastAsia="仿宋_GB2312"/>
        </w:rPr>
        <w:t>海南鑫赛项目管理有限公司</w:t>
      </w:r>
      <w:r>
        <w:rPr>
          <w:rFonts w:ascii="仿宋_GB2312" w:hAnsi="仿宋_GB2312" w:cs="仿宋_GB2312" w:eastAsia="仿宋_GB2312"/>
        </w:rPr>
        <w:t xml:space="preserve"> 对 </w:t>
      </w:r>
      <w:r>
        <w:rPr>
          <w:rFonts w:ascii="仿宋_GB2312" w:hAnsi="仿宋_GB2312" w:cs="仿宋_GB2312" w:eastAsia="仿宋_GB2312"/>
        </w:rPr>
        <w:t>2025年新增国产医疗设备采购项目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HNXS2025-C015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2025年新增国产医疗设备采购项目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2,745,300.00元</w:t>
      </w:r>
      <w:r>
        <w:rPr>
          <w:rFonts w:ascii="仿宋_GB2312" w:hAnsi="仿宋_GB2312" w:cs="仿宋_GB2312" w:eastAsia="仿宋_GB2312"/>
        </w:rPr>
        <w:t>贰佰柒拾肆万伍仟叁佰元整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合同签订后90天内交付合同标的设备到货、安装调试并验收合格</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上海交通大学医学院附属瑞金医院海南医院（海南博鳌研究型医院）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海南省琼海市中原镇瑞金路197号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0898-62629527　</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海南鑫赛项目管理有限公司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海南省海口市美兰区国兴大道11号海阔天空国瑞城S5地块B座办公楼东栋C804房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彭工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0898-65339211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采购包1：2,745,300.00元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从提交投标文件的截止之日起算的60天内有效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2、供应商逾期上传的或未按指定方式上传的投标文件，供应商将无法参加后续采购活动。 3、投标人在递交投标文件截止时间前可修改或撤回其上传的投标文件。修改后的投标文件应重新加密后提交，提交时间以采购文件规定的投标截止时间一致。 4、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如无法确定的，由评标委员会确定。 5、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如无法确定的，由评标委员会确定。 ※若出现本章第6.2条第6.2.3、6.2.4、6.2.5款规定情形之一，投标人在开标结束前未向采购人或代理机构提出疑义、要求，或对开标记录未签字确认的，视为认可开标结果；如在开标会后就开标过程和开标记录涉及或可能涉及的有关事由（包括但不限于：“投标报价”、“电子投标文件的格式”、“电子投标文件的提交”、“电子投标文件的补充、修改或撤回”等）提出疑义、要求或提出质疑的，将不予支持。 7、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8、投标人在项目评标期间，随时通过海南省政府采购智慧云平台接收评标委员会发出的询标信息，并在规定时间内答复，未能按时答复的，评标委员会将视为放弃澄清。 开标、评标过程中，投标人的法人代表或授权委托人应参与远程音视频交互并始终为同一人，中途不得更换，且保持通讯畅通。投标人的操作人员均被视为法人代表或授权委托人，投标人自行承担更换人员所导致的一切后果。 投标人确认参与项目时填写的联系人及联系电话应为授权代表的姓名与手机号码。若因确认参与项目时填写的授权代表信息有误而导致的不良后果，由供应商自行承担。 9、评标委员会对所有投标人的评审，都采用相同的程序和标准并严格按照采购文件的要求和条件进行。评标委员会决定投标实质性响应与否只根据投标文件本身的内容，以及述标和/或产（样）品演（展）示内容（如有），而不寻求其他的外部证据。 10、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12、供应商在“智慧云平台”填报的所投产品信息应当与投标文件所投产品信息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联系电话：0898-62629527　</w:t>
      </w:r>
    </w:p>
    <w:p>
      <w:pPr>
        <w:pStyle w:val="null3"/>
        <w:jc w:val="left"/>
      </w:pPr>
      <w:r>
        <w:rPr>
          <w:rFonts w:ascii="仿宋_GB2312" w:hAnsi="仿宋_GB2312" w:cs="仿宋_GB2312" w:eastAsia="仿宋_GB2312"/>
        </w:rPr>
        <w:t>地址：海南省琼海市中原镇瑞金路197号</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2,745,300.00</w:t>
      </w:r>
    </w:p>
    <w:p>
      <w:pPr>
        <w:pStyle w:val="null3"/>
        <w:jc w:val="left"/>
      </w:pPr>
      <w:r>
        <w:rPr>
          <w:rFonts w:ascii="仿宋_GB2312" w:hAnsi="仿宋_GB2312" w:cs="仿宋_GB2312" w:eastAsia="仿宋_GB2312"/>
        </w:rPr>
        <w:t>采购包最高限价（元）: 2,745,300.00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激光眼科诊断仪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907,000.00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眼科光学相干断层扫描仪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840,300.00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高压蒸汽灭菌器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激光眼科诊断仪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眼科光学相干断层扫描仪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高压蒸汽灭菌器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标的名称：激光眼科诊断仪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成像技术原理：共聚焦扫描激光成像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光源：</w:t>
            </w:r>
            <w:r>
              <w:rPr>
                <w:rFonts w:ascii="仿宋_GB2312" w:hAnsi="仿宋_GB2312" w:cs="仿宋_GB2312" w:eastAsia="仿宋_GB2312"/>
                <w:sz w:val="24"/>
              </w:rPr>
              <w:t>488nm、520nm、665nm、785nm；</w:t>
            </w:r>
            <w:r>
              <w:rPr>
                <w:rFonts w:ascii="仿宋_GB2312" w:hAnsi="仿宋_GB2312" w:cs="仿宋_GB2312" w:eastAsia="仿宋_GB2312"/>
                <w:sz w:val="24"/>
              </w:rPr>
              <w:t>屈光补偿范围：</w:t>
            </w:r>
            <w:r>
              <w:rPr>
                <w:rFonts w:ascii="仿宋_GB2312" w:hAnsi="仿宋_GB2312" w:cs="仿宋_GB2312" w:eastAsia="仿宋_GB2312"/>
                <w:sz w:val="24"/>
              </w:rPr>
              <w:t>-35D至+50D。</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动态监视：具备</w:t>
            </w:r>
            <w:r>
              <w:rPr>
                <w:rFonts w:ascii="仿宋_GB2312" w:hAnsi="仿宋_GB2312" w:cs="仿宋_GB2312" w:eastAsia="仿宋_GB2312"/>
                <w:sz w:val="24"/>
              </w:rPr>
              <w:t>≥135°超广角近红外实时监视、观察并记录视网膜及玻璃体动态影像功能</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成像角度：变焦镜头角度</w:t>
            </w:r>
            <w:r>
              <w:rPr>
                <w:rFonts w:ascii="仿宋_GB2312" w:hAnsi="仿宋_GB2312" w:cs="仿宋_GB2312" w:eastAsia="仿宋_GB2312"/>
                <w:sz w:val="24"/>
              </w:rPr>
              <w:t>30°、60°、90°一键切换（无需更换镜头） 眼底成像角度45°、90°、135°一键切换（无需更换镜头）</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对位联机：同品牌设备可同步对位观察超广角眼底彩照、</w:t>
            </w:r>
            <w:r>
              <w:rPr>
                <w:rFonts w:ascii="仿宋_GB2312" w:hAnsi="仿宋_GB2312" w:cs="仿宋_GB2312" w:eastAsia="仿宋_GB2312"/>
                <w:sz w:val="24"/>
              </w:rPr>
              <w:t>FAF、FFA、ICGA、OCT、OCTA等多模态影像组成全模态眼底影像平台，为临床更好的提供精确诊断及鉴别诊断的依据</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成像模式：</w:t>
            </w:r>
          </w:p>
          <w:p>
            <w:pPr>
              <w:pStyle w:val="null3"/>
              <w:ind w:firstLine="480"/>
              <w:jc w:val="both"/>
            </w:pPr>
            <w:r>
              <w:rPr>
                <w:rFonts w:ascii="仿宋_GB2312" w:hAnsi="仿宋_GB2312" w:cs="仿宋_GB2312" w:eastAsia="仿宋_GB2312"/>
                <w:sz w:val="24"/>
              </w:rPr>
              <w:t>眼底彩照：共焦激光彩照（</w:t>
            </w:r>
            <w:r>
              <w:rPr>
                <w:rFonts w:ascii="仿宋_GB2312" w:hAnsi="仿宋_GB2312" w:cs="仿宋_GB2312" w:eastAsia="仿宋_GB2312"/>
                <w:sz w:val="24"/>
              </w:rPr>
              <w:t>MCOLOR）、外眼成像、立体成像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分层功能：红外通道成像（</w:t>
            </w:r>
            <w:r>
              <w:rPr>
                <w:rFonts w:ascii="仿宋_GB2312" w:hAnsi="仿宋_GB2312" w:cs="仿宋_GB2312" w:eastAsia="仿宋_GB2312"/>
                <w:sz w:val="24"/>
              </w:rPr>
              <w:t>IR）、红色通道成像（R）、绿色通道成像（G）、蓝色通道成像（B）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自发荧光：自发荧光成像蓝光（</w:t>
            </w:r>
            <w:r>
              <w:rPr>
                <w:rFonts w:ascii="仿宋_GB2312" w:hAnsi="仿宋_GB2312" w:cs="仿宋_GB2312" w:eastAsia="仿宋_GB2312"/>
                <w:sz w:val="24"/>
              </w:rPr>
              <w:t>B-FAF）、自发荧光成像绿光（G-FAF）</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分析模块：视细胞血流模块（</w:t>
            </w:r>
            <w:r>
              <w:rPr>
                <w:rFonts w:ascii="仿宋_GB2312" w:hAnsi="仿宋_GB2312" w:cs="仿宋_GB2312" w:eastAsia="仿宋_GB2312"/>
                <w:sz w:val="24"/>
              </w:rPr>
              <w:t>Cones &amp; Blood Vessel ）</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分层成像</w:t>
            </w:r>
          </w:p>
          <w:p>
            <w:pPr>
              <w:pStyle w:val="null3"/>
              <w:ind w:firstLine="480"/>
              <w:jc w:val="both"/>
            </w:pPr>
            <w:r>
              <w:rPr>
                <w:rFonts w:ascii="仿宋_GB2312" w:hAnsi="仿宋_GB2312" w:cs="仿宋_GB2312" w:eastAsia="仿宋_GB2312"/>
                <w:sz w:val="24"/>
              </w:rPr>
              <w:t>多波长成像：分别获取视网膜不同深度与组织结构对于病灶的反射信号及影像，备拍摄一次分别获取五种成像，即获取近红外、红、绿、蓝通道无赤光成像及激光彩照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视网膜成像：通过</w:t>
            </w:r>
            <w:r>
              <w:rPr>
                <w:rFonts w:ascii="仿宋_GB2312" w:hAnsi="仿宋_GB2312" w:cs="仿宋_GB2312" w:eastAsia="仿宋_GB2312"/>
                <w:sz w:val="24"/>
              </w:rPr>
              <w:t>520nm，488nm波长获取视网膜浅层神经纤维层及神经上皮层反射成像，用于观察视网膜浅层病变信号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脉络膜成像：通过</w:t>
            </w:r>
            <w:r>
              <w:rPr>
                <w:rFonts w:ascii="仿宋_GB2312" w:hAnsi="仿宋_GB2312" w:cs="仿宋_GB2312" w:eastAsia="仿宋_GB2312"/>
                <w:sz w:val="24"/>
              </w:rPr>
              <w:t>665nm、785nm波长获取视网膜深层外层视网膜及脉络膜反射成像，用于观察视网膜外层及脉络膜病变信号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变焦功能：多角度无极变焦功能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超广角成像模式：两张拼图</w:t>
            </w:r>
            <w:r>
              <w:rPr>
                <w:rFonts w:ascii="仿宋_GB2312" w:hAnsi="仿宋_GB2312" w:cs="仿宋_GB2312" w:eastAsia="仿宋_GB2312"/>
                <w:sz w:val="24"/>
              </w:rPr>
              <w:t>≥245°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图像分辨率：</w:t>
            </w:r>
            <w:r>
              <w:rPr>
                <w:rFonts w:ascii="仿宋_GB2312" w:hAnsi="仿宋_GB2312" w:cs="仿宋_GB2312" w:eastAsia="仿宋_GB2312"/>
                <w:sz w:val="24"/>
              </w:rPr>
              <w:t>≤5μm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拍摄瞳孔：</w:t>
            </w:r>
            <w:r>
              <w:rPr>
                <w:rFonts w:ascii="仿宋_GB2312" w:hAnsi="仿宋_GB2312" w:cs="仿宋_GB2312" w:eastAsia="仿宋_GB2312"/>
                <w:sz w:val="24"/>
              </w:rPr>
              <w:t>≤2mm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拍摄方式：双眼全自动拍摄、电动手柄控制、鼠标控制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对焦方式：自动对焦、手动对焦（根据病灶层次）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眼位识别：左右眼自动识别</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拼图功能：自动拼图、手动拼图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固视灯：内固视灯（任意调节）、外固视灯</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图像预览：</w:t>
            </w:r>
            <w:r>
              <w:rPr>
                <w:rFonts w:ascii="仿宋_GB2312" w:hAnsi="仿宋_GB2312" w:cs="仿宋_GB2312" w:eastAsia="仿宋_GB2312"/>
                <w:sz w:val="24"/>
              </w:rPr>
              <w:t>≥16帧/秒</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图像采集速度：</w:t>
            </w:r>
            <w:r>
              <w:rPr>
                <w:rFonts w:ascii="仿宋_GB2312" w:hAnsi="仿宋_GB2312" w:cs="仿宋_GB2312" w:eastAsia="仿宋_GB2312"/>
                <w:sz w:val="24"/>
              </w:rPr>
              <w:t>≤0.2秒</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图像降噪技术：实时叠加降噪</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设备主机头移动：水平移动，倾斜移动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工作距离：</w:t>
            </w:r>
            <w:r>
              <w:rPr>
                <w:rFonts w:ascii="仿宋_GB2312" w:hAnsi="仿宋_GB2312" w:cs="仿宋_GB2312" w:eastAsia="仿宋_GB2312"/>
                <w:sz w:val="24"/>
              </w:rPr>
              <w:t>20-40mm（从患眼至镜头）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视网膜立体成像：自动生成</w:t>
            </w:r>
            <w:r>
              <w:rPr>
                <w:rFonts w:ascii="仿宋_GB2312" w:hAnsi="仿宋_GB2312" w:cs="仿宋_GB2312" w:eastAsia="仿宋_GB2312"/>
                <w:sz w:val="24"/>
              </w:rPr>
              <w:t>3D视网膜演示及查看功能，立体呈现视网膜形态，对于视网膜脱离、屈光不正、白内障等状态下模拟临床医生检查眼底影像过程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产品配置及附件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计算机配置：</w:t>
            </w:r>
            <w:r>
              <w:rPr>
                <w:rFonts w:ascii="仿宋_GB2312" w:hAnsi="仿宋_GB2312" w:cs="仿宋_GB2312" w:eastAsia="仿宋_GB2312"/>
                <w:sz w:val="24"/>
              </w:rPr>
              <w:t>4核CPU，8GB显存，1T硬盘</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主机：激光眼科诊断仪主机一套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显示器：高清显示器，</w:t>
            </w:r>
            <w:r>
              <w:rPr>
                <w:rFonts w:ascii="仿宋_GB2312" w:hAnsi="仿宋_GB2312" w:cs="仿宋_GB2312" w:eastAsia="仿宋_GB2312"/>
                <w:sz w:val="24"/>
              </w:rPr>
              <w:t>27寸彩色监视器（分辨率1080p）一台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打印机：彩色打印机</w:t>
            </w:r>
            <w:r>
              <w:rPr>
                <w:rFonts w:ascii="仿宋_GB2312" w:hAnsi="仿宋_GB2312" w:cs="仿宋_GB2312" w:eastAsia="仿宋_GB2312"/>
                <w:sz w:val="24"/>
              </w:rPr>
              <w:t>1套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可移动式综合台：含升降桌台，配套滚轮可移动，控制方式：总电源控制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说明书：</w:t>
            </w:r>
            <w:r>
              <w:rPr>
                <w:rFonts w:ascii="仿宋_GB2312" w:hAnsi="仿宋_GB2312" w:cs="仿宋_GB2312" w:eastAsia="仿宋_GB2312"/>
                <w:sz w:val="24"/>
              </w:rPr>
              <w:t>1份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合格证：</w:t>
            </w:r>
            <w:r>
              <w:rPr>
                <w:rFonts w:ascii="仿宋_GB2312" w:hAnsi="仿宋_GB2312" w:cs="仿宋_GB2312" w:eastAsia="仿宋_GB2312"/>
                <w:sz w:val="24"/>
              </w:rPr>
              <w:t>1份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直接</w:t>
            </w:r>
            <w:r>
              <w:rPr>
                <w:rFonts w:ascii="仿宋_GB2312" w:hAnsi="仿宋_GB2312" w:cs="仿宋_GB2312" w:eastAsia="仿宋_GB2312"/>
                <w:sz w:val="24"/>
              </w:rPr>
              <w:t>检眼镜：</w:t>
            </w:r>
            <w:r>
              <w:rPr>
                <w:rFonts w:ascii="仿宋_GB2312" w:hAnsi="仿宋_GB2312" w:cs="仿宋_GB2312" w:eastAsia="仿宋_GB2312"/>
                <w:sz w:val="24"/>
              </w:rPr>
              <w:t>1台</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标的名称：眼科光学相干断层扫描仪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210" w:firstLine="420"/>
              <w:jc w:val="both"/>
            </w:pPr>
            <w:r>
              <w:rPr>
                <w:rFonts w:ascii="仿宋_GB2312" w:hAnsi="仿宋_GB2312" w:cs="仿宋_GB2312" w:eastAsia="仿宋_GB2312"/>
                <w:sz w:val="21"/>
              </w:rPr>
              <w:t>1、纵向扫描范围（组织内）：眼后节≥5mm ；眼前节≥5mm ；</w:t>
            </w:r>
          </w:p>
          <w:p>
            <w:pPr>
              <w:pStyle w:val="null3"/>
              <w:ind w:left="-210" w:firstLine="420"/>
              <w:jc w:val="both"/>
            </w:pPr>
            <w:r>
              <w:rPr>
                <w:rFonts w:ascii="仿宋_GB2312" w:hAnsi="仿宋_GB2312" w:cs="仿宋_GB2312" w:eastAsia="仿宋_GB2312"/>
                <w:sz w:val="21"/>
              </w:rPr>
              <w:t>2、眼后节最大横向扫描范围≥25mm</w:t>
            </w:r>
          </w:p>
          <w:p>
            <w:pPr>
              <w:pStyle w:val="null3"/>
              <w:ind w:left="-210" w:firstLine="420"/>
              <w:jc w:val="both"/>
            </w:pPr>
            <w:r>
              <w:rPr>
                <w:rFonts w:ascii="仿宋_GB2312" w:hAnsi="仿宋_GB2312" w:cs="仿宋_GB2312" w:eastAsia="仿宋_GB2312"/>
                <w:sz w:val="21"/>
              </w:rPr>
              <w:t>3、</w:t>
            </w:r>
            <w:r>
              <w:rPr>
                <w:rFonts w:ascii="仿宋_GB2312" w:hAnsi="仿宋_GB2312" w:cs="仿宋_GB2312" w:eastAsia="仿宋_GB2312"/>
                <w:sz w:val="21"/>
              </w:rPr>
              <w:t>扫描模式：</w:t>
            </w:r>
            <w:r>
              <w:rPr>
                <w:rFonts w:ascii="仿宋_GB2312" w:hAnsi="仿宋_GB2312" w:cs="仿宋_GB2312" w:eastAsia="仿宋_GB2312"/>
                <w:sz w:val="21"/>
              </w:rPr>
              <w:t>水平</w:t>
            </w:r>
            <w:r>
              <w:rPr>
                <w:rFonts w:ascii="仿宋_GB2312" w:hAnsi="仿宋_GB2312" w:cs="仿宋_GB2312" w:eastAsia="仿宋_GB2312"/>
                <w:sz w:val="21"/>
              </w:rPr>
              <w:t>X线，垂直Y线，放射线，前节三维，十字，自定义线，X分段，Y分段，格栅，圆形，三维（视盘），三维（黄斑）,三维（黄斑+视盘），三维（血流成像）。</w:t>
            </w:r>
          </w:p>
          <w:p>
            <w:pPr>
              <w:pStyle w:val="null3"/>
              <w:ind w:left="-210" w:firstLine="420"/>
              <w:jc w:val="both"/>
            </w:pPr>
            <w:r>
              <w:rPr>
                <w:rFonts w:ascii="仿宋_GB2312" w:hAnsi="仿宋_GB2312" w:cs="仿宋_GB2312" w:eastAsia="仿宋_GB2312"/>
                <w:sz w:val="21"/>
              </w:rPr>
              <w:t>4、图像质量调节：标清（SD）、高清（HD）、全高清（4K）、超高清（8K）</w:t>
            </w:r>
          </w:p>
          <w:p>
            <w:pPr>
              <w:pStyle w:val="null3"/>
              <w:ind w:left="-210" w:firstLine="420"/>
              <w:jc w:val="both"/>
            </w:pPr>
            <w:r>
              <w:rPr>
                <w:rFonts w:ascii="仿宋_GB2312" w:hAnsi="仿宋_GB2312" w:cs="仿宋_GB2312" w:eastAsia="仿宋_GB2312"/>
                <w:sz w:val="21"/>
              </w:rPr>
              <w:t>5、</w:t>
            </w:r>
            <w:r>
              <w:rPr>
                <w:rFonts w:ascii="仿宋_GB2312" w:hAnsi="仿宋_GB2312" w:cs="仿宋_GB2312" w:eastAsia="仿宋_GB2312"/>
                <w:sz w:val="21"/>
              </w:rPr>
              <w:t>具有彩色眼底图像显示功能。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left="-210"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OCT 光源：扫频激光光源 ；</w:t>
            </w:r>
            <w:r>
              <w:rPr>
                <w:rFonts w:ascii="仿宋_GB2312" w:hAnsi="仿宋_GB2312" w:cs="仿宋_GB2312" w:eastAsia="仿宋_GB2312"/>
                <w:sz w:val="21"/>
              </w:rPr>
              <w:t xml:space="preserve">OCT 纵向光学分辨率≤3.8μm </w:t>
            </w:r>
            <w:r>
              <w:rPr>
                <w:rFonts w:ascii="仿宋_GB2312" w:hAnsi="仿宋_GB2312" w:cs="仿宋_GB2312" w:eastAsia="仿宋_GB2312"/>
                <w:sz w:val="21"/>
              </w:rPr>
              <w:t>；</w:t>
            </w:r>
            <w:r>
              <w:rPr>
                <w:rFonts w:ascii="仿宋_GB2312" w:hAnsi="仿宋_GB2312" w:cs="仿宋_GB2312" w:eastAsia="仿宋_GB2312"/>
                <w:sz w:val="21"/>
              </w:rPr>
              <w:t>OCT 三维扫描单次最大范围：25mm×25mm ；</w:t>
            </w:r>
            <w:r>
              <w:rPr>
                <w:rFonts w:ascii="仿宋_GB2312" w:hAnsi="仿宋_GB2312" w:cs="仿宋_GB2312" w:eastAsia="仿宋_GB2312"/>
                <w:sz w:val="21"/>
              </w:rPr>
              <w:t>中心波长：</w:t>
            </w:r>
            <w:r>
              <w:rPr>
                <w:rFonts w:ascii="仿宋_GB2312" w:hAnsi="仿宋_GB2312" w:cs="仿宋_GB2312" w:eastAsia="仿宋_GB2312"/>
                <w:sz w:val="21"/>
              </w:rPr>
              <w:t>1050士20nm；</w:t>
            </w:r>
            <w:r>
              <w:rPr>
                <w:rFonts w:ascii="仿宋_GB2312" w:hAnsi="仿宋_GB2312" w:cs="仿宋_GB2312" w:eastAsia="仿宋_GB2312"/>
                <w:sz w:val="21"/>
              </w:rPr>
              <w:t>A扫描频率：≥100kHz</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ind w:left="-210" w:firstLine="420"/>
              <w:jc w:val="both"/>
            </w:pPr>
            <w:r>
              <w:rPr>
                <w:rFonts w:ascii="仿宋_GB2312" w:hAnsi="仿宋_GB2312" w:cs="仿宋_GB2312" w:eastAsia="仿宋_GB2312"/>
                <w:sz w:val="21"/>
              </w:rPr>
              <w:t>2、</w:t>
            </w:r>
            <w:r>
              <w:rPr>
                <w:rFonts w:ascii="仿宋_GB2312" w:hAnsi="仿宋_GB2312" w:cs="仿宋_GB2312" w:eastAsia="仿宋_GB2312"/>
                <w:sz w:val="21"/>
              </w:rPr>
              <w:t>SLO成像范围：水平方向≥60°；垂直方向≥45°；SLO帧率：≥15帧/秒。</w:t>
            </w:r>
          </w:p>
          <w:p>
            <w:pPr>
              <w:pStyle w:val="null3"/>
              <w:ind w:left="-210" w:firstLine="420"/>
              <w:jc w:val="both"/>
            </w:pPr>
            <w:r>
              <w:rPr>
                <w:rFonts w:ascii="仿宋_GB2312" w:hAnsi="仿宋_GB2312" w:cs="仿宋_GB2312" w:eastAsia="仿宋_GB2312"/>
                <w:sz w:val="21"/>
              </w:rPr>
              <w:t>3、检查模式：</w:t>
            </w:r>
          </w:p>
          <w:p>
            <w:pPr>
              <w:pStyle w:val="null3"/>
              <w:ind w:left="-210" w:firstLine="420"/>
              <w:jc w:val="both"/>
            </w:pPr>
            <w:r>
              <w:rPr>
                <w:rFonts w:ascii="仿宋_GB2312" w:hAnsi="仿宋_GB2312" w:cs="仿宋_GB2312" w:eastAsia="仿宋_GB2312"/>
                <w:sz w:val="21"/>
              </w:rPr>
              <w:t>具备眼前节、黄斑、青光眼、血管成像四大检查模块。</w:t>
            </w:r>
          </w:p>
          <w:p>
            <w:pPr>
              <w:pStyle w:val="null3"/>
              <w:ind w:left="-210" w:firstLine="420"/>
              <w:jc w:val="both"/>
            </w:pPr>
            <w:r>
              <w:rPr>
                <w:rFonts w:ascii="仿宋_GB2312" w:hAnsi="仿宋_GB2312" w:cs="仿宋_GB2312" w:eastAsia="仿宋_GB2312"/>
                <w:sz w:val="21"/>
              </w:rPr>
              <w:t>眼前节：可检查组织结构断层图、厚度地形图、厚度</w:t>
            </w:r>
            <w:r>
              <w:rPr>
                <w:rFonts w:ascii="仿宋_GB2312" w:hAnsi="仿宋_GB2312" w:cs="仿宋_GB2312" w:eastAsia="仿宋_GB2312"/>
                <w:sz w:val="21"/>
              </w:rPr>
              <w:t>17区图、三维图。</w:t>
            </w:r>
          </w:p>
          <w:p>
            <w:pPr>
              <w:pStyle w:val="null3"/>
              <w:ind w:left="-210" w:firstLine="420"/>
              <w:jc w:val="both"/>
            </w:pPr>
            <w:r>
              <w:rPr>
                <w:rFonts w:ascii="仿宋_GB2312" w:hAnsi="仿宋_GB2312" w:cs="仿宋_GB2312" w:eastAsia="仿宋_GB2312"/>
                <w:sz w:val="21"/>
              </w:rPr>
              <w:t>黄斑：可检查组织结构断层图、厚度地形图、厚度偏差地形图、厚度</w:t>
            </w:r>
            <w:r>
              <w:rPr>
                <w:rFonts w:ascii="仿宋_GB2312" w:hAnsi="仿宋_GB2312" w:cs="仿宋_GB2312" w:eastAsia="仿宋_GB2312"/>
                <w:sz w:val="21"/>
              </w:rPr>
              <w:t>9区图、厚度偏差9区图、厚度体积图和厚度偏差体积图。</w:t>
            </w:r>
          </w:p>
          <w:p>
            <w:pPr>
              <w:pStyle w:val="null3"/>
              <w:ind w:left="-210" w:firstLine="420"/>
              <w:jc w:val="both"/>
            </w:pPr>
            <w:r>
              <w:rPr>
                <w:rFonts w:ascii="仿宋_GB2312" w:hAnsi="仿宋_GB2312" w:cs="仿宋_GB2312" w:eastAsia="仿宋_GB2312"/>
                <w:sz w:val="21"/>
              </w:rPr>
              <w:t>青光眼：组织结构断层图、厚度地形图、厚度八区图、厚度九区图、厚度分布图、杯盘比数据。</w:t>
            </w:r>
          </w:p>
          <w:p>
            <w:pPr>
              <w:pStyle w:val="null3"/>
              <w:ind w:left="-210" w:firstLine="420"/>
              <w:jc w:val="both"/>
            </w:pPr>
            <w:r>
              <w:rPr>
                <w:rFonts w:ascii="仿宋_GB2312" w:hAnsi="仿宋_GB2312" w:cs="仿宋_GB2312" w:eastAsia="仿宋_GB2312"/>
                <w:sz w:val="21"/>
              </w:rPr>
              <w:t>血管成像：可检查组织结构断层图、厚度地形图、</w:t>
            </w:r>
            <w:r>
              <w:rPr>
                <w:rFonts w:ascii="仿宋_GB2312" w:hAnsi="仿宋_GB2312" w:cs="仿宋_GB2312" w:eastAsia="仿宋_GB2312"/>
                <w:sz w:val="21"/>
              </w:rPr>
              <w:t>Enface图、血管图。</w:t>
            </w:r>
          </w:p>
          <w:p>
            <w:pPr>
              <w:pStyle w:val="null3"/>
              <w:ind w:left="-210" w:firstLine="420"/>
              <w:jc w:val="both"/>
            </w:pPr>
            <w:r>
              <w:rPr>
                <w:rFonts w:ascii="仿宋_GB2312" w:hAnsi="仿宋_GB2312" w:cs="仿宋_GB2312" w:eastAsia="仿宋_GB2312"/>
                <w:sz w:val="21"/>
              </w:rPr>
              <w:t>4、</w:t>
            </w:r>
            <w:r>
              <w:rPr>
                <w:rFonts w:ascii="仿宋_GB2312" w:hAnsi="仿宋_GB2312" w:cs="仿宋_GB2312" w:eastAsia="仿宋_GB2312"/>
                <w:sz w:val="21"/>
              </w:rPr>
              <w:t>具有获取扫描组织断层成像并储存的功能</w:t>
            </w:r>
            <w:r>
              <w:rPr>
                <w:rFonts w:ascii="仿宋_GB2312" w:hAnsi="仿宋_GB2312" w:cs="仿宋_GB2312" w:eastAsia="仿宋_GB2312"/>
                <w:sz w:val="21"/>
              </w:rPr>
              <w:t>。</w:t>
            </w:r>
            <w:r>
              <w:rPr>
                <w:rFonts w:ascii="仿宋_GB2312" w:hAnsi="仿宋_GB2312" w:cs="仿宋_GB2312" w:eastAsia="仿宋_GB2312"/>
                <w:sz w:val="21"/>
              </w:rPr>
              <w:t>具有对扫描的图像进行定量检查的功能</w:t>
            </w:r>
            <w:r>
              <w:rPr>
                <w:rFonts w:ascii="仿宋_GB2312" w:hAnsi="仿宋_GB2312" w:cs="仿宋_GB2312" w:eastAsia="仿宋_GB2312"/>
                <w:sz w:val="21"/>
              </w:rPr>
              <w:t>。</w:t>
            </w:r>
            <w:r>
              <w:rPr>
                <w:rFonts w:ascii="仿宋_GB2312" w:hAnsi="仿宋_GB2312" w:cs="仿宋_GB2312" w:eastAsia="仿宋_GB2312"/>
                <w:sz w:val="21"/>
              </w:rPr>
              <w:t>表示厚度的图可以采用表征不同厚度的彩色图显示</w:t>
            </w:r>
            <w:r>
              <w:rPr>
                <w:rFonts w:ascii="仿宋_GB2312" w:hAnsi="仿宋_GB2312" w:cs="仿宋_GB2312" w:eastAsia="仿宋_GB2312"/>
                <w:sz w:val="21"/>
              </w:rPr>
              <w:t>,</w:t>
            </w:r>
            <w:r>
              <w:rPr>
                <w:rFonts w:ascii="仿宋_GB2312" w:hAnsi="仿宋_GB2312" w:cs="仿宋_GB2312" w:eastAsia="仿宋_GB2312"/>
                <w:sz w:val="21"/>
              </w:rPr>
              <w:t>彩色标尺应在彩色图旁显示</w:t>
            </w:r>
            <w:r>
              <w:rPr>
                <w:rFonts w:ascii="仿宋_GB2312" w:hAnsi="仿宋_GB2312" w:cs="仿宋_GB2312" w:eastAsia="仿宋_GB2312"/>
                <w:sz w:val="21"/>
              </w:rPr>
              <w:t>。</w:t>
            </w:r>
            <w:r>
              <w:rPr>
                <w:rFonts w:ascii="仿宋_GB2312" w:hAnsi="仿宋_GB2312" w:cs="仿宋_GB2312" w:eastAsia="仿宋_GB2312"/>
                <w:sz w:val="21"/>
              </w:rPr>
              <w:t>具有存档扫描患者数据库的功能</w:t>
            </w:r>
            <w:r>
              <w:rPr>
                <w:rFonts w:ascii="仿宋_GB2312" w:hAnsi="仿宋_GB2312" w:cs="仿宋_GB2312" w:eastAsia="仿宋_GB2312"/>
                <w:sz w:val="21"/>
              </w:rPr>
              <w:t>。</w:t>
            </w:r>
            <w:r>
              <w:rPr>
                <w:rFonts w:ascii="仿宋_GB2312" w:hAnsi="仿宋_GB2312" w:cs="仿宋_GB2312" w:eastAsia="仿宋_GB2312"/>
                <w:sz w:val="21"/>
              </w:rPr>
              <w:t>具有将测试结果形成检验报告，并通过外接打印机实现打印功能</w:t>
            </w:r>
            <w:r>
              <w:rPr>
                <w:rFonts w:ascii="仿宋_GB2312" w:hAnsi="仿宋_GB2312" w:cs="仿宋_GB2312" w:eastAsia="仿宋_GB2312"/>
                <w:sz w:val="21"/>
              </w:rPr>
              <w:t>。</w:t>
            </w:r>
            <w:r>
              <w:rPr>
                <w:rFonts w:ascii="仿宋_GB2312" w:hAnsi="仿宋_GB2312" w:cs="仿宋_GB2312" w:eastAsia="仿宋_GB2312"/>
                <w:sz w:val="21"/>
              </w:rPr>
              <w:t>所有诊断图像和数据应可以导出</w:t>
            </w:r>
            <w:r>
              <w:rPr>
                <w:rFonts w:ascii="仿宋_GB2312" w:hAnsi="仿宋_GB2312" w:cs="仿宋_GB2312" w:eastAsia="仿宋_GB2312"/>
                <w:sz w:val="21"/>
              </w:rPr>
              <w:t>。</w:t>
            </w:r>
            <w:r>
              <w:rPr>
                <w:rFonts w:ascii="仿宋_GB2312" w:hAnsi="仿宋_GB2312" w:cs="仿宋_GB2312" w:eastAsia="仿宋_GB2312"/>
                <w:sz w:val="21"/>
              </w:rPr>
              <w:t>文件格式：</w:t>
            </w:r>
            <w:r>
              <w:rPr>
                <w:rFonts w:ascii="仿宋_GB2312" w:hAnsi="仿宋_GB2312" w:cs="仿宋_GB2312" w:eastAsia="仿宋_GB2312"/>
                <w:sz w:val="21"/>
              </w:rPr>
              <w:t>DCM格式</w:t>
            </w:r>
            <w:r>
              <w:rPr>
                <w:rFonts w:ascii="仿宋_GB2312" w:hAnsi="仿宋_GB2312" w:cs="仿宋_GB2312" w:eastAsia="仿宋_GB2312"/>
                <w:sz w:val="21"/>
              </w:rPr>
              <w:t>。</w:t>
            </w:r>
          </w:p>
          <w:p>
            <w:pPr>
              <w:pStyle w:val="null3"/>
              <w:ind w:left="-210" w:firstLine="420"/>
              <w:jc w:val="both"/>
            </w:pPr>
            <w:r>
              <w:rPr>
                <w:rFonts w:ascii="仿宋_GB2312" w:hAnsi="仿宋_GB2312" w:cs="仿宋_GB2312" w:eastAsia="仿宋_GB2312"/>
                <w:sz w:val="21"/>
              </w:rPr>
              <w:t>5、</w:t>
            </w:r>
            <w:r>
              <w:rPr>
                <w:rFonts w:ascii="仿宋_GB2312" w:hAnsi="仿宋_GB2312" w:cs="仿宋_GB2312" w:eastAsia="仿宋_GB2312"/>
                <w:sz w:val="21"/>
              </w:rPr>
              <w:t>三维扫描时，须具有将采集数据重构成三维图像，并可以进行任意方向的旋转和切割的功能，同时还能根据成像组织的特征进行分层处理</w:t>
            </w:r>
            <w:r>
              <w:rPr>
                <w:rFonts w:ascii="仿宋_GB2312" w:hAnsi="仿宋_GB2312" w:cs="仿宋_GB2312" w:eastAsia="仿宋_GB2312"/>
                <w:sz w:val="21"/>
              </w:rPr>
              <w:t>。</w:t>
            </w:r>
            <w:r>
              <w:rPr>
                <w:rFonts w:ascii="仿宋_GB2312" w:hAnsi="仿宋_GB2312" w:cs="仿宋_GB2312" w:eastAsia="仿宋_GB2312"/>
                <w:sz w:val="21"/>
              </w:rPr>
              <w:t>水平</w:t>
            </w:r>
            <w:r>
              <w:rPr>
                <w:rFonts w:ascii="仿宋_GB2312" w:hAnsi="仿宋_GB2312" w:cs="仿宋_GB2312" w:eastAsia="仿宋_GB2312"/>
                <w:sz w:val="21"/>
              </w:rPr>
              <w:t>X线扫描、垂直Y线扫描、X分段扫描、Y分段扫描、格栅扫描、自定义线扫描、圆形扫描和放射线扫描模式具有多幅图像叠加功能</w:t>
            </w:r>
            <w:r>
              <w:rPr>
                <w:rFonts w:ascii="仿宋_GB2312" w:hAnsi="仿宋_GB2312" w:cs="仿宋_GB2312" w:eastAsia="仿宋_GB2312"/>
                <w:sz w:val="21"/>
              </w:rPr>
              <w:t>。</w:t>
            </w:r>
          </w:p>
          <w:p>
            <w:pPr>
              <w:pStyle w:val="null3"/>
              <w:ind w:left="-210" w:firstLine="420"/>
              <w:jc w:val="both"/>
            </w:pPr>
            <w:r>
              <w:rPr>
                <w:rFonts w:ascii="仿宋_GB2312" w:hAnsi="仿宋_GB2312" w:cs="仿宋_GB2312" w:eastAsia="仿宋_GB2312"/>
                <w:sz w:val="21"/>
              </w:rPr>
              <w:t>6、</w:t>
            </w:r>
            <w:r>
              <w:rPr>
                <w:rFonts w:ascii="仿宋_GB2312" w:hAnsi="仿宋_GB2312" w:cs="仿宋_GB2312" w:eastAsia="仿宋_GB2312"/>
                <w:sz w:val="21"/>
              </w:rPr>
              <w:t>具有动眼追踪功能</w:t>
            </w:r>
            <w:r>
              <w:rPr>
                <w:rFonts w:ascii="仿宋_GB2312" w:hAnsi="仿宋_GB2312" w:cs="仿宋_GB2312" w:eastAsia="仿宋_GB2312"/>
                <w:sz w:val="21"/>
              </w:rPr>
              <w:t>。</w:t>
            </w:r>
            <w:r>
              <w:rPr>
                <w:rFonts w:ascii="仿宋_GB2312" w:hAnsi="仿宋_GB2312" w:cs="仿宋_GB2312" w:eastAsia="仿宋_GB2312"/>
                <w:sz w:val="21"/>
              </w:rPr>
              <w:t>可对光程、焦距、偏振进行自动调节</w:t>
            </w:r>
            <w:r>
              <w:rPr>
                <w:rFonts w:ascii="仿宋_GB2312" w:hAnsi="仿宋_GB2312" w:cs="仿宋_GB2312" w:eastAsia="仿宋_GB2312"/>
                <w:sz w:val="21"/>
              </w:rPr>
              <w:t>。</w:t>
            </w:r>
            <w:r>
              <w:rPr>
                <w:rFonts w:ascii="仿宋_GB2312" w:hAnsi="仿宋_GB2312" w:cs="仿宋_GB2312" w:eastAsia="仿宋_GB2312"/>
                <w:sz w:val="21"/>
              </w:rPr>
              <w:t>具有对扫描图片调整亮度、调整对比度、添加注释、测量距离、清除图元、删除、测量房角功能</w:t>
            </w:r>
            <w:r>
              <w:rPr>
                <w:rFonts w:ascii="仿宋_GB2312" w:hAnsi="仿宋_GB2312" w:cs="仿宋_GB2312" w:eastAsia="仿宋_GB2312"/>
                <w:sz w:val="21"/>
              </w:rPr>
              <w:t>。具有随访功能。具有移动扫描位置的功能。具有对比左右眼扫描结果的功能。观察画像与</w:t>
            </w:r>
            <w:r>
              <w:rPr>
                <w:rFonts w:ascii="仿宋_GB2312" w:hAnsi="仿宋_GB2312" w:cs="仿宋_GB2312" w:eastAsia="仿宋_GB2312"/>
                <w:sz w:val="21"/>
              </w:rPr>
              <w:t>OCT的位置一致性。</w:t>
            </w:r>
            <w:r>
              <w:rPr>
                <w:rFonts w:ascii="仿宋_GB2312" w:hAnsi="仿宋_GB2312" w:cs="仿宋_GB2312" w:eastAsia="仿宋_GB2312"/>
                <w:sz w:val="21"/>
              </w:rPr>
              <w:t>传输协议为</w:t>
            </w:r>
            <w:r>
              <w:rPr>
                <w:rFonts w:ascii="仿宋_GB2312" w:hAnsi="仿宋_GB2312" w:cs="仿宋_GB2312" w:eastAsia="仿宋_GB2312"/>
                <w:sz w:val="21"/>
              </w:rPr>
              <w:t>USB协议，可将数据保存至指定位置。</w:t>
            </w:r>
          </w:p>
          <w:p>
            <w:pPr>
              <w:pStyle w:val="null3"/>
              <w:ind w:left="-210" w:firstLine="420"/>
              <w:jc w:val="both"/>
            </w:pPr>
            <w:r>
              <w:rPr>
                <w:rFonts w:ascii="仿宋_GB2312" w:hAnsi="仿宋_GB2312" w:cs="仿宋_GB2312" w:eastAsia="仿宋_GB2312"/>
                <w:sz w:val="21"/>
              </w:rPr>
              <w:t>7、配置：OCT主机1台；电脑主机1台；液晶显示器1台；打印机1台；电动升降桌1张；系统软件1套；键盘、鼠标1套；手持裂隙灯1台。</w:t>
            </w:r>
          </w:p>
        </w:tc>
      </w:tr>
    </w:tbl>
    <w:p>
      <w:pPr>
        <w:pStyle w:val="null3"/>
        <w:jc w:val="left"/>
      </w:pPr>
      <w:r>
        <w:rPr>
          <w:rFonts w:ascii="仿宋_GB2312" w:hAnsi="仿宋_GB2312" w:cs="仿宋_GB2312" w:eastAsia="仿宋_GB2312"/>
        </w:rPr>
        <w:t>标的名称：高压蒸汽灭菌器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机身宽度</w:t>
            </w:r>
            <w:r>
              <w:rPr>
                <w:rFonts w:ascii="仿宋_GB2312" w:hAnsi="仿宋_GB2312" w:cs="仿宋_GB2312" w:eastAsia="仿宋_GB2312"/>
                <w:sz w:val="24"/>
              </w:rPr>
              <w:t>≤1000mm,设备具备内置式蒸汽发生器，蒸汽发生器内置于机器腔体下方或上方。</w:t>
            </w:r>
          </w:p>
          <w:p>
            <w:pPr>
              <w:pStyle w:val="null3"/>
              <w:spacing w:before="105" w:after="105"/>
              <w:ind w:firstLine="480"/>
              <w:jc w:val="both"/>
            </w:pPr>
            <w:r>
              <w:rPr>
                <w:rFonts w:ascii="仿宋_GB2312" w:hAnsi="仿宋_GB2312" w:cs="仿宋_GB2312" w:eastAsia="仿宋_GB2312"/>
                <w:sz w:val="24"/>
              </w:rPr>
              <w:t>处理能力</w:t>
            </w:r>
            <w:r>
              <w:rPr>
                <w:rFonts w:ascii="仿宋_GB2312" w:hAnsi="仿宋_GB2312" w:cs="仿宋_GB2312" w:eastAsia="仿宋_GB2312"/>
                <w:sz w:val="24"/>
              </w:rPr>
              <w:t>:≥890升, 单次装载≥15个标准灭菌篮筐的满装物品量(SPRI篮筐尺寸：585*395*195mm)。脉动次数包括≥3 次,负压脉冲和≥5次正压脉冲，无跨压脉冲。</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门：双门、互锁。气动升降、气动密封门，垂直开启和关闭，关门时如遇到障碍，门的机械安全系统会使门停止移动。门外表温度不超过</w:t>
            </w:r>
            <w:r>
              <w:rPr>
                <w:rFonts w:ascii="仿宋_GB2312" w:hAnsi="仿宋_GB2312" w:cs="仿宋_GB2312" w:eastAsia="仿宋_GB2312"/>
                <w:sz w:val="24"/>
              </w:rPr>
              <w:t>45℃，灭菌器内腔还配备有压力监测系统，可以确保在门开启之前灭菌器腔体内的所有压力都已经下降到允许开门的范围，灭菌结束后卸载侧门自动开启。</w:t>
            </w:r>
            <w:r>
              <w:rPr>
                <w:rFonts w:ascii="仿宋_GB2312" w:hAnsi="仿宋_GB2312" w:cs="仿宋_GB2312" w:eastAsia="仿宋_GB2312"/>
                <w:sz w:val="24"/>
              </w:rPr>
              <w:t>高效空气过滤系统：对进入腔体内的空气进行过滤，对</w:t>
            </w:r>
            <w:r>
              <w:rPr>
                <w:rFonts w:ascii="仿宋_GB2312" w:hAnsi="仿宋_GB2312" w:cs="仿宋_GB2312" w:eastAsia="仿宋_GB2312"/>
                <w:sz w:val="24"/>
              </w:rPr>
              <w:t>0.3 μ m粒子的过滤效果≥99.998%。</w:t>
            </w:r>
            <w:r>
              <w:rPr>
                <w:rFonts w:ascii="仿宋_GB2312" w:hAnsi="仿宋_GB2312" w:cs="仿宋_GB2312" w:eastAsia="仿宋_GB2312"/>
                <w:sz w:val="24"/>
              </w:rPr>
              <w:t>灭菌时间和温度：</w:t>
            </w:r>
            <w:r>
              <w:rPr>
                <w:rFonts w:ascii="仿宋_GB2312" w:hAnsi="仿宋_GB2312" w:cs="仿宋_GB2312" w:eastAsia="仿宋_GB2312"/>
                <w:sz w:val="24"/>
              </w:rPr>
              <w:t>121°C≤16分钟，134°C≤4分钟。</w:t>
            </w:r>
          </w:p>
          <w:p>
            <w:pPr>
              <w:pStyle w:val="null3"/>
              <w:spacing w:before="105" w:after="105"/>
              <w:ind w:firstLine="480"/>
              <w:jc w:val="both"/>
            </w:pP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105" w:after="60"/>
              <w:ind w:firstLine="480"/>
              <w:jc w:val="both"/>
            </w:pPr>
            <w:r>
              <w:rPr>
                <w:rFonts w:ascii="仿宋_GB2312" w:hAnsi="仿宋_GB2312" w:cs="仿宋_GB2312" w:eastAsia="仿宋_GB2312"/>
                <w:sz w:val="24"/>
              </w:rPr>
              <w:t>1、</w:t>
            </w:r>
            <w:r>
              <w:rPr>
                <w:rFonts w:ascii="仿宋_GB2312" w:hAnsi="仿宋_GB2312" w:cs="仿宋_GB2312" w:eastAsia="仿宋_GB2312"/>
                <w:sz w:val="24"/>
              </w:rPr>
              <w:t>装载</w:t>
            </w:r>
            <w:r>
              <w:rPr>
                <w:rFonts w:ascii="仿宋_GB2312" w:hAnsi="仿宋_GB2312" w:cs="仿宋_GB2312" w:eastAsia="仿宋_GB2312"/>
                <w:sz w:val="24"/>
              </w:rPr>
              <w:t>≥8.4英寸彩色触摸屏，同时具备中英文操作界面可选，并能实时显示腔体温度、压力等重要参数曲线。</w:t>
            </w:r>
          </w:p>
          <w:p>
            <w:pPr>
              <w:pStyle w:val="null3"/>
              <w:spacing w:before="105" w:after="105"/>
              <w:ind w:firstLine="480"/>
              <w:jc w:val="both"/>
            </w:pPr>
            <w:r>
              <w:rPr>
                <w:rFonts w:ascii="仿宋_GB2312" w:hAnsi="仿宋_GB2312" w:cs="仿宋_GB2312" w:eastAsia="仿宋_GB2312"/>
                <w:sz w:val="24"/>
              </w:rPr>
              <w:t>2、压力表：灭菌器操作面板上安装有蒸汽压力表和腔体压力表。操作人员可随时检查设备压力。</w:t>
            </w:r>
          </w:p>
          <w:p>
            <w:pPr>
              <w:pStyle w:val="null3"/>
              <w:spacing w:before="105" w:after="105"/>
              <w:ind w:firstLine="480"/>
              <w:jc w:val="both"/>
            </w:pPr>
            <w:r>
              <w:rPr>
                <w:rFonts w:ascii="仿宋_GB2312" w:hAnsi="仿宋_GB2312" w:cs="仿宋_GB2312" w:eastAsia="仿宋_GB2312"/>
                <w:sz w:val="24"/>
              </w:rPr>
              <w:t>3、腔体：腔体为采用等距离排列的环形多夹套结构设计，腔体夹套数量≥7个。夹套进气口数量≥7个，多点进气，多段加热和温度梯度。腔体及夹套材质均采用耐酸耐碱高等级316L不锈钢制造。采用30-80毫米无氯矿物棉完全包裹绝热，并采用硬质的可拆除的铝壳包裹。</w:t>
            </w:r>
          </w:p>
          <w:p>
            <w:pPr>
              <w:pStyle w:val="null3"/>
              <w:spacing w:before="105" w:after="105"/>
              <w:ind w:firstLine="480"/>
              <w:jc w:val="both"/>
            </w:pPr>
            <w:r>
              <w:rPr>
                <w:rFonts w:ascii="仿宋_GB2312" w:hAnsi="仿宋_GB2312" w:cs="仿宋_GB2312" w:eastAsia="仿宋_GB2312"/>
                <w:sz w:val="24"/>
              </w:rPr>
              <w:t>管路与阀门：所有管路均采用不锈钢制造，符合卫生学要求。动作阀门均采用气动阀门控制。</w:t>
            </w:r>
          </w:p>
          <w:p>
            <w:pPr>
              <w:pStyle w:val="null3"/>
              <w:spacing w:before="105" w:after="105"/>
              <w:ind w:firstLine="480"/>
              <w:jc w:val="both"/>
            </w:pPr>
            <w:r>
              <w:rPr>
                <w:rFonts w:ascii="仿宋_GB2312" w:hAnsi="仿宋_GB2312" w:cs="仿宋_GB2312" w:eastAsia="仿宋_GB2312"/>
                <w:sz w:val="24"/>
              </w:rPr>
              <w:t>4、控制系统：控制系统内置线性化技术，校正各种与系统相连的传感器的个性特点。每个传感器都可以使用各自的常量进行校准。</w:t>
            </w:r>
          </w:p>
          <w:p>
            <w:pPr>
              <w:pStyle w:val="null3"/>
              <w:spacing w:before="105" w:after="105"/>
              <w:ind w:firstLine="480"/>
              <w:jc w:val="both"/>
            </w:pPr>
            <w:r>
              <w:rPr>
                <w:rFonts w:ascii="仿宋_GB2312" w:hAnsi="仿宋_GB2312" w:cs="仿宋_GB2312" w:eastAsia="仿宋_GB2312"/>
                <w:sz w:val="24"/>
              </w:rPr>
              <w:t>监控系统：配备独立的监控系统，用于监控整个灭菌过程和灭菌器的安全，符合</w:t>
            </w:r>
            <w:r>
              <w:rPr>
                <w:rFonts w:ascii="仿宋_GB2312" w:hAnsi="仿宋_GB2312" w:cs="仿宋_GB2312" w:eastAsia="仿宋_GB2312"/>
                <w:sz w:val="24"/>
              </w:rPr>
              <w:t>EN 285安全规范要求，且灭菌输出记录上须有两个系统独立的数据，可以进行有效判断、对比。所有过程数据打印在一份打印报告上。</w:t>
            </w:r>
          </w:p>
          <w:p>
            <w:pPr>
              <w:pStyle w:val="null3"/>
              <w:spacing w:before="105" w:after="105"/>
              <w:ind w:firstLine="480"/>
              <w:jc w:val="both"/>
            </w:pPr>
            <w:r>
              <w:rPr>
                <w:rFonts w:ascii="仿宋_GB2312" w:hAnsi="仿宋_GB2312" w:cs="仿宋_GB2312" w:eastAsia="仿宋_GB2312"/>
                <w:sz w:val="24"/>
              </w:rPr>
              <w:t>报警：当灭菌程序发生异常时，系统会进入报警期，并且自动、安全地中止程序，报警方式包括视觉和声音两种，报警范围需包括：传感器故障、阶段超时、门未完全关闭、断电、真空泵低液位、安全装置自我检查的其他问题。</w:t>
            </w:r>
          </w:p>
          <w:p>
            <w:pPr>
              <w:pStyle w:val="null3"/>
              <w:spacing w:before="105" w:after="105"/>
              <w:ind w:firstLine="480"/>
              <w:jc w:val="both"/>
            </w:pPr>
            <w:r>
              <w:rPr>
                <w:rFonts w:ascii="仿宋_GB2312" w:hAnsi="仿宋_GB2312" w:cs="仿宋_GB2312" w:eastAsia="仿宋_GB2312"/>
                <w:sz w:val="24"/>
              </w:rPr>
              <w:t>5、电气元件：端子、接触器等电器元件封装于防护箱内，防护箱的防护等级≥IP54。</w:t>
            </w:r>
          </w:p>
          <w:p>
            <w:pPr>
              <w:pStyle w:val="null3"/>
              <w:spacing w:before="105" w:after="105"/>
              <w:ind w:firstLine="480"/>
              <w:jc w:val="both"/>
            </w:pPr>
            <w:r>
              <w:rPr>
                <w:rFonts w:ascii="仿宋_GB2312" w:hAnsi="仿宋_GB2312" w:cs="仿宋_GB2312" w:eastAsia="仿宋_GB2312"/>
                <w:sz w:val="24"/>
              </w:rPr>
              <w:t>真空泵：高效率水环真空泵，安装防震基座工作安静。真空泵与热交换器串联的，协助空气排出保护真空泵免受过高温度损坏。密封水环有低液位报警。</w:t>
            </w:r>
          </w:p>
          <w:p>
            <w:pPr>
              <w:pStyle w:val="null3"/>
              <w:spacing w:before="105" w:after="105"/>
              <w:ind w:firstLine="480"/>
              <w:jc w:val="both"/>
            </w:pPr>
            <w:r>
              <w:rPr>
                <w:rFonts w:ascii="仿宋_GB2312" w:hAnsi="仿宋_GB2312" w:cs="仿宋_GB2312" w:eastAsia="仿宋_GB2312"/>
                <w:sz w:val="24"/>
              </w:rPr>
              <w:t>密码管理：多级密码系统，防止重要参数的误修改，方便操作、维修。</w:t>
            </w:r>
          </w:p>
          <w:p>
            <w:pPr>
              <w:pStyle w:val="null3"/>
              <w:spacing w:before="105" w:after="105"/>
              <w:ind w:firstLine="480"/>
              <w:jc w:val="both"/>
            </w:pPr>
            <w:r>
              <w:rPr>
                <w:rFonts w:ascii="仿宋_GB2312" w:hAnsi="仿宋_GB2312" w:cs="仿宋_GB2312" w:eastAsia="仿宋_GB2312"/>
                <w:sz w:val="24"/>
              </w:rPr>
              <w:t>验证接口：腔体带有一个</w:t>
            </w:r>
            <w:r>
              <w:rPr>
                <w:rFonts w:ascii="仿宋_GB2312" w:hAnsi="仿宋_GB2312" w:cs="仿宋_GB2312" w:eastAsia="仿宋_GB2312"/>
                <w:sz w:val="24"/>
              </w:rPr>
              <w:t>1/2螺纹接口，供压力表使用，并带有一个 1” 接口用于连接测试用的传感器。</w:t>
            </w:r>
          </w:p>
          <w:p>
            <w:pPr>
              <w:pStyle w:val="null3"/>
              <w:spacing w:before="105" w:after="105"/>
              <w:ind w:firstLine="480"/>
              <w:jc w:val="both"/>
            </w:pPr>
            <w:r>
              <w:rPr>
                <w:rFonts w:ascii="仿宋_GB2312" w:hAnsi="仿宋_GB2312" w:cs="仿宋_GB2312" w:eastAsia="仿宋_GB2312"/>
                <w:sz w:val="24"/>
              </w:rPr>
              <w:t>6、程序数量：≥7个经验证的常用程序，至少含有以下程序：</w:t>
            </w:r>
          </w:p>
          <w:p>
            <w:pPr>
              <w:pStyle w:val="null3"/>
              <w:spacing w:before="105" w:after="105"/>
              <w:ind w:firstLine="480"/>
              <w:jc w:val="both"/>
            </w:pPr>
            <w:r>
              <w:rPr>
                <w:rFonts w:ascii="仿宋_GB2312" w:hAnsi="仿宋_GB2312" w:cs="仿宋_GB2312" w:eastAsia="仿宋_GB2312"/>
                <w:sz w:val="24"/>
              </w:rPr>
              <w:t>134℃器械、敷料等；121℃热敏物品；134℃快速程序 ；BD测试；全自动腔体测漏；134oC重载程序；134oC特殊物品程序。</w:t>
            </w:r>
          </w:p>
          <w:p>
            <w:pPr>
              <w:pStyle w:val="null3"/>
              <w:spacing w:before="105" w:after="105"/>
              <w:ind w:firstLine="480"/>
              <w:jc w:val="both"/>
            </w:pPr>
            <w:r>
              <w:rPr>
                <w:rFonts w:ascii="仿宋_GB2312" w:hAnsi="仿宋_GB2312" w:cs="仿宋_GB2312" w:eastAsia="仿宋_GB2312"/>
                <w:sz w:val="24"/>
              </w:rPr>
              <w:t>安装相关要求：峰值电功率</w:t>
            </w:r>
            <w:r>
              <w:rPr>
                <w:rFonts w:ascii="仿宋_GB2312" w:hAnsi="仿宋_GB2312" w:cs="仿宋_GB2312" w:eastAsia="仿宋_GB2312"/>
                <w:sz w:val="24"/>
              </w:rPr>
              <w:t>≤65KW。净重≤1350公斤。</w:t>
            </w:r>
          </w:p>
          <w:p>
            <w:pPr>
              <w:pStyle w:val="null3"/>
              <w:spacing w:before="105" w:after="105"/>
              <w:ind w:firstLine="480"/>
              <w:jc w:val="both"/>
            </w:pPr>
            <w:r>
              <w:rPr>
                <w:rFonts w:ascii="仿宋_GB2312" w:hAnsi="仿宋_GB2312" w:cs="仿宋_GB2312" w:eastAsia="仿宋_GB2312"/>
                <w:sz w:val="24"/>
              </w:rPr>
              <w:t>7、配置清单：主机1台；内置式洁净蒸汽发生器1台；内置式数据采集打印系统1套；腔内导轨1个；灭菌层架4个；装卸载车2辆；压力表及安全阀1套。</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项目实施地点</w:t>
            </w:r>
            <w:r>
              <w:rPr>
                <w:rFonts w:ascii="仿宋_GB2312" w:hAnsi="仿宋_GB2312" w:cs="仿宋_GB2312" w:eastAsia="仿宋_GB2312"/>
                <w:sz w:val="32"/>
              </w:rPr>
              <w:t>：由采购人指定地点</w:t>
            </w:r>
          </w:p>
          <w:p>
            <w:pPr>
              <w:pStyle w:val="null3"/>
              <w:ind w:firstLine="640"/>
              <w:jc w:val="both"/>
            </w:pPr>
            <w:r>
              <w:rPr>
                <w:rFonts w:ascii="仿宋_GB2312" w:hAnsi="仿宋_GB2312" w:cs="仿宋_GB2312" w:eastAsia="仿宋_GB2312"/>
                <w:sz w:val="32"/>
              </w:rPr>
              <w:t>2、合同履行期限（交货期）：合同签订后90天内交付合同标的设备到货、安装调试并验收合格。</w:t>
            </w:r>
          </w:p>
          <w:p>
            <w:pPr>
              <w:pStyle w:val="null3"/>
              <w:ind w:firstLine="640"/>
              <w:jc w:val="both"/>
            </w:pPr>
            <w:r>
              <w:rPr>
                <w:rFonts w:ascii="仿宋_GB2312" w:hAnsi="仿宋_GB2312" w:cs="仿宋_GB2312" w:eastAsia="仿宋_GB2312"/>
                <w:sz w:val="32"/>
              </w:rPr>
              <w:t>3、质量要求：乙方售出产品必须符合甲方使用要求，并且不得低于国家及地方政府的相关强制性标准，且为最新批次产品。设备生产日期应在自合同签署之日往前推算6个月内。</w:t>
            </w:r>
          </w:p>
          <w:p>
            <w:pPr>
              <w:pStyle w:val="null3"/>
              <w:ind w:firstLine="640"/>
              <w:jc w:val="both"/>
            </w:pPr>
            <w:r>
              <w:rPr>
                <w:rFonts w:ascii="仿宋_GB2312" w:hAnsi="仿宋_GB2312" w:cs="仿宋_GB2312" w:eastAsia="仿宋_GB2312"/>
                <w:sz w:val="24"/>
              </w:rPr>
              <w:t>4、质保期：3年</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rPr>
        <w:t>购销</w:t>
      </w:r>
      <w:r>
        <w:rPr>
          <w:rFonts w:ascii="仿宋_GB2312" w:hAnsi="仿宋_GB2312" w:cs="仿宋_GB2312" w:eastAsia="仿宋_GB2312"/>
          <w:sz w:val="28"/>
          <w:b/>
        </w:rPr>
        <w:t>合同</w:t>
      </w:r>
    </w:p>
    <w:p>
      <w:pPr>
        <w:pStyle w:val="null3"/>
        <w:ind w:firstLine="6253"/>
        <w:jc w:val="both"/>
      </w:pPr>
      <w:r>
        <w:rPr>
          <w:rFonts w:ascii="仿宋_GB2312" w:hAnsi="仿宋_GB2312" w:cs="仿宋_GB2312" w:eastAsia="仿宋_GB2312"/>
          <w:sz w:val="21"/>
          <w:b/>
        </w:rPr>
        <w:t>合同编号：</w:t>
      </w:r>
    </w:p>
    <w:p>
      <w:pPr>
        <w:pStyle w:val="null3"/>
        <w:jc w:val="both"/>
      </w:pPr>
      <w:r>
        <w:rPr>
          <w:rFonts w:ascii="仿宋_GB2312" w:hAnsi="仿宋_GB2312" w:cs="仿宋_GB2312" w:eastAsia="仿宋_GB2312"/>
          <w:sz w:val="21"/>
          <w:b/>
        </w:rPr>
        <w:t>签约地</w:t>
      </w:r>
      <w:r>
        <w:rPr>
          <w:rFonts w:ascii="仿宋_GB2312" w:hAnsi="仿宋_GB2312" w:cs="仿宋_GB2312" w:eastAsia="仿宋_GB2312"/>
          <w:sz w:val="21"/>
          <w:b/>
        </w:rPr>
        <w:t xml:space="preserve">  </w:t>
      </w:r>
      <w:r>
        <w:rPr>
          <w:rFonts w:ascii="仿宋_GB2312" w:hAnsi="仿宋_GB2312" w:cs="仿宋_GB2312" w:eastAsia="仿宋_GB2312"/>
          <w:sz w:val="21"/>
          <w:b/>
        </w:rPr>
        <w:t>：海南省琼海市</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b/>
        </w:rPr>
        <w:t>甲方（买方）：上海交通大学医学院附属瑞金医院海南医院（海南博鳌研究型医院）</w:t>
      </w:r>
    </w:p>
    <w:p>
      <w:pPr>
        <w:pStyle w:val="null3"/>
        <w:ind w:right="-1830"/>
        <w:jc w:val="both"/>
      </w:pPr>
      <w:r>
        <w:rPr>
          <w:rFonts w:ascii="仿宋_GB2312" w:hAnsi="仿宋_GB2312" w:cs="仿宋_GB2312" w:eastAsia="仿宋_GB2312"/>
          <w:sz w:val="21"/>
          <w:b/>
        </w:rPr>
        <w:t>乙方（卖方）：</w:t>
      </w:r>
    </w:p>
    <w:p>
      <w:pPr>
        <w:pStyle w:val="null3"/>
        <w:jc w:val="both"/>
      </w:pPr>
      <w:r>
        <w:rPr>
          <w:rFonts w:ascii="仿宋_GB2312" w:hAnsi="仿宋_GB2312" w:cs="仿宋_GB2312" w:eastAsia="仿宋_GB2312"/>
          <w:sz w:val="21"/>
          <w:b/>
        </w:rPr>
        <w:t xml:space="preserve">          </w:t>
      </w:r>
    </w:p>
    <w:p>
      <w:pPr>
        <w:pStyle w:val="null3"/>
        <w:numPr>
          <w:ilvl w:val="0"/>
          <w:numId w:val="1"/>
        </w:numPr>
        <w:spacing w:after="120"/>
        <w:jc w:val="both"/>
      </w:pPr>
      <w:r>
        <w:rPr>
          <w:rFonts w:ascii="仿宋_GB2312" w:hAnsi="仿宋_GB2312" w:cs="仿宋_GB2312" w:eastAsia="仿宋_GB2312"/>
          <w:sz w:val="21"/>
          <w:b/>
        </w:rPr>
        <w:t>设备信息</w:t>
      </w:r>
    </w:p>
    <w:p>
      <w:pPr>
        <w:pStyle w:val="null3"/>
        <w:ind w:firstLine="480"/>
        <w:jc w:val="both"/>
      </w:pPr>
      <w:r>
        <w:rPr>
          <w:rFonts w:ascii="仿宋_GB2312" w:hAnsi="仿宋_GB2312" w:cs="仿宋_GB2312" w:eastAsia="仿宋_GB2312"/>
          <w:sz w:val="24"/>
        </w:rPr>
        <w:t>1.1甲乙双方根据《中华人民共和国民法典》，在平等互利、协商一致的基础上，甲方同意向乙方购买，同时乙方同意售予甲方以下设备（以下设备器械均简称设备）：</w:t>
      </w:r>
    </w:p>
    <w:tbl>
      <w:tblPr>
        <w:tblW w:w="0" w:type="auto"/>
        <w:tblBorders>
          <w:top w:val="none" w:color="000000" w:sz="4"/>
          <w:left w:val="none" w:color="000000" w:sz="4"/>
          <w:bottom w:val="none" w:color="000000" w:sz="4"/>
          <w:right w:val="none" w:color="000000" w:sz="4"/>
          <w:insideH w:val="none"/>
          <w:insideV w:val="none"/>
        </w:tblBorders>
      </w:tblPr>
      <w:tblGrid>
        <w:gridCol w:w="321"/>
        <w:gridCol w:w="937"/>
        <w:gridCol w:w="1406"/>
        <w:gridCol w:w="1500"/>
        <w:gridCol w:w="1406"/>
        <w:gridCol w:w="495"/>
        <w:gridCol w:w="482"/>
        <w:gridCol w:w="803"/>
        <w:gridCol w:w="884"/>
      </w:tblGrid>
      <w:tr>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rPr>
              <w:t>序号</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rPr>
              <w:t>产品名称</w:t>
            </w:r>
          </w:p>
        </w:tc>
        <w:tc>
          <w:tcPr>
            <w:tcW w:type="dxa" w:w="1406"/>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rPr>
              <w:t>制造商</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rPr>
              <w:t>品牌</w:t>
            </w:r>
            <w:r>
              <w:rPr>
                <w:rFonts w:ascii="仿宋_GB2312" w:hAnsi="仿宋_GB2312" w:cs="仿宋_GB2312" w:eastAsia="仿宋_GB2312"/>
                <w:sz w:val="21"/>
              </w:rPr>
              <w:t>规格型号</w:t>
            </w:r>
          </w:p>
        </w:tc>
        <w:tc>
          <w:tcPr>
            <w:tcW w:type="dxa" w:w="1406"/>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rPr>
              <w:t>备注</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仿宋_GB2312" w:hAnsi="仿宋_GB2312" w:cs="仿宋_GB2312" w:eastAsia="仿宋_GB2312"/>
                <w:sz w:val="21"/>
              </w:rPr>
              <w:t>数量</w:t>
            </w:r>
          </w:p>
        </w:tc>
        <w:tc>
          <w:tcPr>
            <w:tcW w:type="dxa" w:w="482"/>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rPr>
              <w:t>单位</w:t>
            </w:r>
          </w:p>
        </w:tc>
        <w:tc>
          <w:tcPr>
            <w:tcW w:type="dxa" w:w="803"/>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rPr>
              <w:t>单价（元）</w:t>
            </w:r>
          </w:p>
        </w:tc>
        <w:tc>
          <w:tcPr>
            <w:tcW w:type="dxa" w:w="884"/>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rPr>
              <w:t>单项总价（元）</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rPr>
              <w:t>1</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rPr>
              <w:t>2</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rPr>
              <w:t>3</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tc>
        <w:tc>
          <w:tcPr>
            <w:tcW w:type="dxa" w:w="6226"/>
            <w:gridSpan w:val="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21"/>
                <w:b/>
              </w:rPr>
              <w:t>合计成交金额（大写）：</w:t>
            </w:r>
            <w:r>
              <w:rPr>
                <w:rFonts w:ascii="仿宋_GB2312" w:hAnsi="仿宋_GB2312" w:cs="仿宋_GB2312" w:eastAsia="仿宋_GB2312"/>
                <w:sz w:val="21"/>
                <w:b/>
              </w:rPr>
              <w:t xml:space="preserve">            </w:t>
            </w:r>
            <w:r>
              <w:rPr>
                <w:rFonts w:ascii="仿宋_GB2312" w:hAnsi="仿宋_GB2312" w:cs="仿宋_GB2312" w:eastAsia="仿宋_GB2312"/>
                <w:sz w:val="21"/>
                <w:b/>
              </w:rPr>
              <w:t>元整</w:t>
            </w:r>
          </w:p>
        </w:tc>
        <w:tc>
          <w:tcPr>
            <w:tcW w:type="dxa" w:w="1687"/>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仿宋_GB2312" w:hAnsi="仿宋_GB2312" w:cs="仿宋_GB2312" w:eastAsia="仿宋_GB2312"/>
                <w:sz w:val="21"/>
              </w:rPr>
              <w:t>小写：</w:t>
            </w:r>
            <w:r>
              <w:rPr>
                <w:rFonts w:ascii="仿宋_GB2312" w:hAnsi="仿宋_GB2312" w:cs="仿宋_GB2312" w:eastAsia="仿宋_GB2312"/>
                <w:sz w:val="21"/>
              </w:rPr>
              <w:t xml:space="preserve">  </w:t>
            </w:r>
            <w:r>
              <w:rPr>
                <w:rFonts w:ascii="仿宋_GB2312" w:hAnsi="仿宋_GB2312" w:cs="仿宋_GB2312" w:eastAsia="仿宋_GB2312"/>
                <w:sz w:val="24"/>
              </w:rPr>
              <w:t>万元</w:t>
            </w:r>
          </w:p>
        </w:tc>
      </w:tr>
    </w:tbl>
    <w:p>
      <w:pPr>
        <w:pStyle w:val="null3"/>
        <w:ind w:firstLine="480"/>
        <w:jc w:val="both"/>
      </w:pPr>
      <w:r>
        <w:rPr>
          <w:rFonts w:ascii="仿宋_GB2312" w:hAnsi="仿宋_GB2312" w:cs="仿宋_GB2312" w:eastAsia="仿宋_GB2312"/>
          <w:sz w:val="24"/>
        </w:rPr>
        <w:t>1.2本合同若有详细的经双方签字的设备配置清单，则设备信息以相应附件为准。</w:t>
      </w:r>
    </w:p>
    <w:p>
      <w:pPr>
        <w:pStyle w:val="null3"/>
        <w:numPr>
          <w:ilvl w:val="0"/>
          <w:numId w:val="1"/>
        </w:numPr>
        <w:jc w:val="both"/>
      </w:pPr>
      <w:r>
        <w:rPr>
          <w:rFonts w:ascii="仿宋_GB2312" w:hAnsi="仿宋_GB2312" w:cs="仿宋_GB2312" w:eastAsia="仿宋_GB2312"/>
          <w:sz w:val="21"/>
          <w:b/>
        </w:rPr>
        <w:t>设备交付</w:t>
      </w:r>
    </w:p>
    <w:p>
      <w:pPr>
        <w:pStyle w:val="null3"/>
        <w:ind w:firstLine="480"/>
        <w:jc w:val="both"/>
      </w:pPr>
      <w:r>
        <w:rPr>
          <w:rFonts w:ascii="仿宋_GB2312" w:hAnsi="仿宋_GB2312" w:cs="仿宋_GB2312" w:eastAsia="仿宋_GB2312"/>
          <w:sz w:val="24"/>
        </w:rPr>
        <w:t>2.1交货时间：</w:t>
      </w:r>
    </w:p>
    <w:p>
      <w:pPr>
        <w:pStyle w:val="null3"/>
        <w:ind w:firstLine="480"/>
        <w:jc w:val="both"/>
      </w:pPr>
      <w:r>
        <w:rPr>
          <w:rFonts w:ascii="仿宋_GB2312" w:hAnsi="仿宋_GB2312" w:cs="仿宋_GB2312" w:eastAsia="仿宋_GB2312"/>
          <w:sz w:val="24"/>
        </w:rPr>
        <w:t>2.2.交货地点：上海交通大学医学院附属瑞金医院海南医院（海南博鳌研究型医院）。</w:t>
      </w:r>
    </w:p>
    <w:p>
      <w:pPr>
        <w:pStyle w:val="null3"/>
        <w:jc w:val="both"/>
      </w:pPr>
      <w:r>
        <w:rPr>
          <w:rFonts w:ascii="仿宋_GB2312" w:hAnsi="仿宋_GB2312" w:cs="仿宋_GB2312" w:eastAsia="仿宋_GB2312"/>
          <w:sz w:val="21"/>
          <w:b/>
        </w:rPr>
        <w:t>3. 设备运输、安装和验收</w:t>
      </w:r>
    </w:p>
    <w:p>
      <w:pPr>
        <w:pStyle w:val="null3"/>
        <w:ind w:firstLine="480"/>
        <w:jc w:val="both"/>
      </w:pPr>
      <w:r>
        <w:rPr>
          <w:rFonts w:ascii="仿宋_GB2312" w:hAnsi="仿宋_GB2312" w:cs="仿宋_GB2312" w:eastAsia="仿宋_GB2312"/>
          <w:sz w:val="24"/>
        </w:rPr>
        <w:t xml:space="preserve">3.1乙方确保设备安全无损地运抵甲方指定现场,并承担设备的运费、保险费、装卸费等费用。  </w:t>
      </w:r>
    </w:p>
    <w:p>
      <w:pPr>
        <w:pStyle w:val="null3"/>
        <w:ind w:firstLine="480"/>
        <w:jc w:val="both"/>
      </w:pPr>
      <w:r>
        <w:rPr>
          <w:rFonts w:ascii="仿宋_GB2312" w:hAnsi="仿宋_GB2312" w:cs="仿宋_GB2312" w:eastAsia="仿宋_GB2312"/>
          <w:sz w:val="24"/>
        </w:rPr>
        <w:t>3.2甲乙双方对设备进行开箱清点检查验收，如果发现数量不足或有质量、技术等问题，乙方应在7天内，按照甲方的要求，采取补足、更换或退货等处理措施，并承担由此发生的一切损失和费用。</w:t>
      </w:r>
    </w:p>
    <w:p>
      <w:pPr>
        <w:pStyle w:val="null3"/>
        <w:ind w:firstLine="480"/>
        <w:jc w:val="both"/>
      </w:pPr>
      <w:r>
        <w:rPr>
          <w:rFonts w:ascii="仿宋_GB2312" w:hAnsi="仿宋_GB2312" w:cs="仿宋_GB2312" w:eastAsia="仿宋_GB2312"/>
          <w:sz w:val="24"/>
        </w:rPr>
        <w:t>3.3设备到货后，乙方应在接到甲方通知后7天内安装调试完成。</w:t>
      </w:r>
    </w:p>
    <w:p>
      <w:pPr>
        <w:pStyle w:val="null3"/>
        <w:ind w:firstLine="480"/>
        <w:jc w:val="both"/>
      </w:pPr>
      <w:r>
        <w:rPr>
          <w:rFonts w:ascii="仿宋_GB2312" w:hAnsi="仿宋_GB2312" w:cs="仿宋_GB2312" w:eastAsia="仿宋_GB2312"/>
          <w:sz w:val="24"/>
        </w:rPr>
        <w:t>3.4甲、乙双方在符合国家相关技术标准的基础上，根据合同的技术标准进行技术验收。验收合格后，双方在甲方《验收合格单》上签字确认。</w:t>
      </w:r>
    </w:p>
    <w:p>
      <w:pPr>
        <w:pStyle w:val="null3"/>
        <w:jc w:val="both"/>
      </w:pPr>
      <w:r>
        <w:rPr>
          <w:rFonts w:ascii="仿宋_GB2312" w:hAnsi="仿宋_GB2312" w:cs="仿宋_GB2312" w:eastAsia="仿宋_GB2312"/>
          <w:sz w:val="21"/>
          <w:b/>
        </w:rPr>
        <w:t>4.付款方式</w:t>
      </w:r>
    </w:p>
    <w:p>
      <w:pPr>
        <w:pStyle w:val="null3"/>
        <w:ind w:firstLine="480"/>
        <w:jc w:val="both"/>
      </w:pPr>
      <w:r>
        <w:rPr>
          <w:rFonts w:ascii="仿宋_GB2312" w:hAnsi="仿宋_GB2312" w:cs="仿宋_GB2312" w:eastAsia="仿宋_GB2312"/>
          <w:sz w:val="24"/>
        </w:rPr>
        <w:t>合同签订后，甲方收到乙方的预付款申请付款材料及等额有效增值税发票后</w:t>
      </w:r>
      <w:r>
        <w:rPr>
          <w:rFonts w:ascii="仿宋_GB2312" w:hAnsi="仿宋_GB2312" w:cs="仿宋_GB2312" w:eastAsia="仿宋_GB2312"/>
          <w:sz w:val="24"/>
        </w:rPr>
        <w:t>10天内，甲方以银行汇款方式支付货款的50%的预付款；设备全部安装调试验收合格正常使用（以双方签署《验收合格单》之日为准）且甲方收到乙方的申请付款材料及等额有效增值税发票后90天内，甲方以银行汇款方式支付货款至100%。</w:t>
      </w:r>
    </w:p>
    <w:p>
      <w:pPr>
        <w:pStyle w:val="null3"/>
        <w:jc w:val="both"/>
      </w:pPr>
      <w:r>
        <w:rPr>
          <w:rFonts w:ascii="仿宋_GB2312" w:hAnsi="仿宋_GB2312" w:cs="仿宋_GB2312" w:eastAsia="仿宋_GB2312"/>
          <w:sz w:val="21"/>
          <w:b/>
        </w:rPr>
        <w:t>5</w:t>
      </w:r>
      <w:r>
        <w:rPr>
          <w:rFonts w:ascii="仿宋_GB2312" w:hAnsi="仿宋_GB2312" w:cs="仿宋_GB2312" w:eastAsia="仿宋_GB2312"/>
          <w:sz w:val="21"/>
          <w:b/>
        </w:rPr>
        <w:t>.伴随服务</w:t>
      </w:r>
    </w:p>
    <w:p>
      <w:pPr>
        <w:pStyle w:val="null3"/>
        <w:ind w:firstLine="480"/>
        <w:jc w:val="both"/>
      </w:pPr>
      <w:r>
        <w:rPr>
          <w:rFonts w:ascii="仿宋_GB2312" w:hAnsi="仿宋_GB2312" w:cs="仿宋_GB2312" w:eastAsia="仿宋_GB2312"/>
          <w:sz w:val="24"/>
        </w:rPr>
        <w:t>5.1乙方应提供设备的技术文件，包括相应的图纸、操作手册、维护手册、质量保证文件、服务指南等，这些文件应随同设备一起发运至甲方。</w:t>
      </w:r>
    </w:p>
    <w:p>
      <w:pPr>
        <w:pStyle w:val="null3"/>
        <w:ind w:firstLine="480"/>
        <w:jc w:val="both"/>
      </w:pPr>
      <w:r>
        <w:rPr>
          <w:rFonts w:ascii="仿宋_GB2312" w:hAnsi="仿宋_GB2312" w:cs="仿宋_GB2312" w:eastAsia="仿宋_GB2312"/>
          <w:sz w:val="24"/>
        </w:rPr>
        <w:t>5.2乙方还应免费提供下列服务：</w:t>
      </w:r>
    </w:p>
    <w:p>
      <w:pPr>
        <w:pStyle w:val="null3"/>
        <w:ind w:firstLine="480"/>
        <w:jc w:val="both"/>
      </w:pPr>
      <w:r>
        <w:rPr>
          <w:rFonts w:ascii="仿宋_GB2312" w:hAnsi="仿宋_GB2312" w:cs="仿宋_GB2312" w:eastAsia="仿宋_GB2312"/>
          <w:sz w:val="24"/>
        </w:rPr>
        <w:t>5.2.1设备的现场安装和调试；</w:t>
      </w:r>
    </w:p>
    <w:p>
      <w:pPr>
        <w:pStyle w:val="null3"/>
        <w:ind w:firstLine="480"/>
        <w:jc w:val="both"/>
      </w:pPr>
      <w:r>
        <w:rPr>
          <w:rFonts w:ascii="仿宋_GB2312" w:hAnsi="仿宋_GB2312" w:cs="仿宋_GB2312" w:eastAsia="仿宋_GB2312"/>
          <w:sz w:val="24"/>
        </w:rPr>
        <w:t>5.2.2提供设备安装和维修所需的专用工具和辅助材料；</w:t>
      </w:r>
    </w:p>
    <w:p>
      <w:pPr>
        <w:pStyle w:val="null3"/>
        <w:ind w:firstLine="480"/>
        <w:jc w:val="both"/>
      </w:pPr>
      <w:r>
        <w:rPr>
          <w:rFonts w:ascii="仿宋_GB2312" w:hAnsi="仿宋_GB2312" w:cs="仿宋_GB2312" w:eastAsia="仿宋_GB2312"/>
          <w:sz w:val="24"/>
        </w:rPr>
        <w:t>5.2.3乙方应派专业技术人员在项目现场对甲方使用人员进行培训或指导，在使用一段时间后可根据甲方的要求另行安排培训计划。</w:t>
      </w:r>
    </w:p>
    <w:p>
      <w:pPr>
        <w:pStyle w:val="null3"/>
        <w:jc w:val="both"/>
      </w:pPr>
      <w:r>
        <w:rPr>
          <w:rFonts w:ascii="仿宋_GB2312" w:hAnsi="仿宋_GB2312" w:cs="仿宋_GB2312" w:eastAsia="仿宋_GB2312"/>
          <w:sz w:val="21"/>
          <w:b/>
        </w:rPr>
        <w:t>6.质量保证及售后服务</w:t>
      </w:r>
    </w:p>
    <w:p>
      <w:pPr>
        <w:pStyle w:val="null3"/>
        <w:ind w:firstLine="480"/>
        <w:jc w:val="both"/>
      </w:pPr>
      <w:r>
        <w:rPr>
          <w:rFonts w:ascii="仿宋_GB2312" w:hAnsi="仿宋_GB2312" w:cs="仿宋_GB2312" w:eastAsia="仿宋_GB2312"/>
          <w:sz w:val="24"/>
        </w:rPr>
        <w:t xml:space="preserve">6.1乙方应保证所供国产设备生产日期应在自合同签署生效之日往前推算 </w:t>
      </w:r>
      <w:r>
        <w:rPr>
          <w:rFonts w:ascii="仿宋_GB2312" w:hAnsi="仿宋_GB2312" w:cs="仿宋_GB2312" w:eastAsia="仿宋_GB2312"/>
          <w:sz w:val="24"/>
          <w:u w:val="single"/>
        </w:rPr>
        <w:t>6 个月内</w:t>
      </w:r>
      <w:r>
        <w:rPr>
          <w:rFonts w:ascii="仿宋_GB2312" w:hAnsi="仿宋_GB2312" w:cs="仿宋_GB2312" w:eastAsia="仿宋_GB2312"/>
          <w:sz w:val="24"/>
        </w:rPr>
        <w:t>；进口设备生产日期应在自合同签署生效之日往前推算</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12 个月内</w:t>
      </w:r>
      <w:r>
        <w:rPr>
          <w:rFonts w:ascii="仿宋_GB2312" w:hAnsi="仿宋_GB2312" w:cs="仿宋_GB2312" w:eastAsia="仿宋_GB2312"/>
          <w:sz w:val="24"/>
        </w:rPr>
        <w:t>，并符合国家有关标准、制造厂标准及合同约定的技术标准要求。如果设备的质量或规格与上述标准不符，或证实设备是有缺陷的，包括潜在的缺陷或使用不符合要求的材料等，乙方应在接到甲方通知后</w:t>
      </w:r>
      <w:r>
        <w:rPr>
          <w:rFonts w:ascii="仿宋_GB2312" w:hAnsi="仿宋_GB2312" w:cs="仿宋_GB2312" w:eastAsia="仿宋_GB2312"/>
          <w:sz w:val="24"/>
        </w:rPr>
        <w:t>7 天内负责采用符合合同规定的规格、质量和性能要求的新零件、部件或设备来更换有缺陷的部分或修补缺陷部分，其费用由乙方负担。同时，乙方应按本合同规定，相应延长修补或更换件的保修期。</w:t>
      </w:r>
    </w:p>
    <w:p>
      <w:pPr>
        <w:pStyle w:val="null3"/>
        <w:ind w:firstLine="480"/>
        <w:jc w:val="both"/>
      </w:pPr>
      <w:r>
        <w:rPr>
          <w:rFonts w:ascii="仿宋_GB2312" w:hAnsi="仿宋_GB2312" w:cs="仿宋_GB2312" w:eastAsia="仿宋_GB2312"/>
          <w:sz w:val="24"/>
        </w:rPr>
        <w:t>6.2乙方应提供保修期</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4"/>
        </w:rPr>
        <w:t>个月，保修期的期限应以双方的验收合格之日起计算，保修期内应免费、及时更换零配件、设备及工时费。乙方在保修期内应确保开机率为</w:t>
      </w:r>
      <w:r>
        <w:rPr>
          <w:rFonts w:ascii="仿宋_GB2312" w:hAnsi="仿宋_GB2312" w:cs="仿宋_GB2312" w:eastAsia="仿宋_GB2312"/>
          <w:sz w:val="24"/>
        </w:rPr>
        <w:t>95%以上，如达不到此要求，即相应延长保修期。</w:t>
      </w:r>
    </w:p>
    <w:p>
      <w:pPr>
        <w:pStyle w:val="null3"/>
        <w:ind w:firstLine="480"/>
        <w:jc w:val="both"/>
      </w:pPr>
      <w:r>
        <w:rPr>
          <w:rFonts w:ascii="仿宋_GB2312" w:hAnsi="仿宋_GB2312" w:cs="仿宋_GB2312" w:eastAsia="仿宋_GB2312"/>
          <w:sz w:val="24"/>
        </w:rPr>
        <w:t>6.3乙方报修响应时间 4 小时，到场时间 8 小时（不可抗拒力量下除外）。</w:t>
      </w:r>
    </w:p>
    <w:p>
      <w:pPr>
        <w:pStyle w:val="null3"/>
        <w:jc w:val="left"/>
      </w:pPr>
      <w:r>
        <w:rPr>
          <w:rFonts w:ascii="仿宋_GB2312" w:hAnsi="仿宋_GB2312" w:cs="仿宋_GB2312" w:eastAsia="仿宋_GB2312"/>
          <w:sz w:val="24"/>
        </w:rPr>
        <w:t>6.4保修期满后，人工费为单次故障不高于</w:t>
      </w:r>
      <w:r>
        <w:rPr>
          <w:rFonts w:ascii="仿宋_GB2312" w:hAnsi="仿宋_GB2312" w:cs="仿宋_GB2312" w:eastAsia="仿宋_GB2312"/>
          <w:sz w:val="24"/>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元，年度保修合同价不高于设备总价的</w:t>
      </w:r>
      <w:r>
        <w:rPr>
          <w:rFonts w:ascii="仿宋_GB2312" w:hAnsi="仿宋_GB2312" w:cs="仿宋_GB2312" w:eastAsia="仿宋_GB2312"/>
          <w:sz w:val="24"/>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，年度定期预防性维护保养次数，不少于</w:t>
      </w:r>
      <w:r>
        <w:rPr>
          <w:rFonts w:ascii="仿宋_GB2312" w:hAnsi="仿宋_GB2312" w:cs="仿宋_GB2312" w:eastAsia="仿宋_GB2312"/>
          <w:sz w:val="24"/>
        </w:rPr>
        <w:t>4 次</w:t>
      </w:r>
      <w:r>
        <w:rPr>
          <w:rFonts w:ascii="仿宋_GB2312" w:hAnsi="仿宋_GB2312" w:cs="仿宋_GB2312" w:eastAsia="仿宋_GB2312"/>
          <w:sz w:val="24"/>
          <w:color w:val="0000FF"/>
          <w:u w:val="single"/>
        </w:rPr>
        <w:t>。</w:t>
      </w:r>
    </w:p>
    <w:p>
      <w:pPr>
        <w:pStyle w:val="null3"/>
        <w:ind w:firstLine="480"/>
        <w:jc w:val="both"/>
      </w:pPr>
      <w:r>
        <w:rPr>
          <w:rFonts w:ascii="仿宋_GB2312" w:hAnsi="仿宋_GB2312" w:cs="仿宋_GB2312" w:eastAsia="仿宋_GB2312"/>
          <w:sz w:val="24"/>
        </w:rPr>
        <w:t>6.5乙方负责设备的终身维修并应继续提供优质的服务，储备足够的零配件备库，保修期满后，以优惠价供应维修零配件，具体内容由双方另行协议商定。消耗品的供应也由双方另行协议商定。</w:t>
      </w:r>
    </w:p>
    <w:p>
      <w:pPr>
        <w:pStyle w:val="null3"/>
        <w:jc w:val="both"/>
      </w:pPr>
      <w:r>
        <w:rPr>
          <w:rFonts w:ascii="仿宋_GB2312" w:hAnsi="仿宋_GB2312" w:cs="仿宋_GB2312" w:eastAsia="仿宋_GB2312"/>
          <w:sz w:val="21"/>
          <w:b/>
        </w:rPr>
        <w:t>7.索赔条款</w:t>
      </w:r>
    </w:p>
    <w:p>
      <w:pPr>
        <w:pStyle w:val="null3"/>
        <w:ind w:firstLine="480"/>
        <w:jc w:val="both"/>
      </w:pPr>
      <w:r>
        <w:rPr>
          <w:rFonts w:ascii="仿宋_GB2312" w:hAnsi="仿宋_GB2312" w:cs="仿宋_GB2312" w:eastAsia="仿宋_GB2312"/>
          <w:sz w:val="24"/>
        </w:rPr>
        <w:t>7.1 如经相关监督管理部门检验确认货物不符合本合同约定，甲方有权选择下列方式之一要求乙方进行补救：</w:t>
      </w:r>
    </w:p>
    <w:p>
      <w:pPr>
        <w:pStyle w:val="null3"/>
        <w:ind w:firstLine="480"/>
        <w:jc w:val="both"/>
      </w:pPr>
      <w:r>
        <w:rPr>
          <w:rFonts w:ascii="仿宋_GB2312" w:hAnsi="仿宋_GB2312" w:cs="仿宋_GB2312" w:eastAsia="仿宋_GB2312"/>
          <w:sz w:val="24"/>
        </w:rPr>
        <w:t>7.1.1甲方退货，乙方应在7天内将全额货款偿还甲方，并由乙方负担因退货而发生的一切直接损失和费用。</w:t>
      </w:r>
    </w:p>
    <w:p>
      <w:pPr>
        <w:pStyle w:val="null3"/>
        <w:ind w:firstLine="480"/>
        <w:jc w:val="both"/>
      </w:pPr>
      <w:r>
        <w:rPr>
          <w:rFonts w:ascii="仿宋_GB2312" w:hAnsi="仿宋_GB2312" w:cs="仿宋_GB2312" w:eastAsia="仿宋_GB2312"/>
          <w:sz w:val="24"/>
        </w:rPr>
        <w:t>7.1.2按照货物的疵劣程度、损坏的范围和甲方所遭受的损失，将货物贬值，乙方将甲方已支付货款与货物贬值后金额的差额，在 7 日内退还予甲方。</w:t>
      </w:r>
    </w:p>
    <w:p>
      <w:pPr>
        <w:pStyle w:val="null3"/>
        <w:ind w:firstLine="480"/>
        <w:jc w:val="both"/>
      </w:pPr>
      <w:r>
        <w:rPr>
          <w:rFonts w:ascii="仿宋_GB2312" w:hAnsi="仿宋_GB2312" w:cs="仿宋_GB2312" w:eastAsia="仿宋_GB2312"/>
          <w:sz w:val="24"/>
        </w:rPr>
        <w:t>7.1.3乙方在7天内调换有瑕疵的货物，换货必须全新并符合本合同规定的规格、质量和性能，并由乙方负责因此而产生的一切费用和甲方的一切损失。</w:t>
      </w:r>
    </w:p>
    <w:p>
      <w:pPr>
        <w:pStyle w:val="null3"/>
        <w:ind w:firstLine="480"/>
        <w:jc w:val="both"/>
      </w:pPr>
      <w:r>
        <w:rPr>
          <w:rFonts w:ascii="仿宋_GB2312" w:hAnsi="仿宋_GB2312" w:cs="仿宋_GB2312" w:eastAsia="仿宋_GB2312"/>
          <w:sz w:val="24"/>
        </w:rPr>
        <w:t>7.2  如果乙方没有按照合同规定的时间交货和提供服务，甲方应从货款中扣除误期赔偿费而不影响合同项下的其他补救办法。延期交货和延期服务的赔偿费按每延迟一周交货，甲方按的合同价的百分之零点五（0.5％）计收，直至交货或提供服务为止(一周按7天计算，不足7天按一周计算)。但误期赔偿费的最高限额不超过合同价的百分之五（5％）,一旦达到误期赔偿的最高限额，甲方有权单方以书面通知的形式解除合同。</w:t>
      </w:r>
    </w:p>
    <w:p>
      <w:pPr>
        <w:pStyle w:val="null3"/>
        <w:ind w:firstLine="480"/>
        <w:jc w:val="both"/>
      </w:pPr>
      <w:r>
        <w:rPr>
          <w:rFonts w:ascii="仿宋_GB2312" w:hAnsi="仿宋_GB2312" w:cs="仿宋_GB2312" w:eastAsia="仿宋_GB2312"/>
          <w:sz w:val="24"/>
        </w:rPr>
        <w:t>7.3如因甲方场地因素或因一些不可抗力因素无法接收货物、验收货物，双方可友好协商具体送货时间。</w:t>
      </w:r>
    </w:p>
    <w:p>
      <w:pPr>
        <w:pStyle w:val="null3"/>
        <w:ind w:firstLine="480"/>
        <w:jc w:val="both"/>
      </w:pPr>
      <w:r>
        <w:rPr>
          <w:rFonts w:ascii="仿宋_GB2312" w:hAnsi="仿宋_GB2312" w:cs="仿宋_GB2312" w:eastAsia="仿宋_GB2312"/>
          <w:sz w:val="24"/>
        </w:rPr>
        <w:t>7.4乙方应保证甲方和使用单位在使用该设备或其任何一部分时免受第三方提出侵犯其专利权、商标权或工业产权的起诉，否则由乙方承担因此造成的一切损失和费用。</w:t>
      </w:r>
    </w:p>
    <w:p>
      <w:pPr>
        <w:pStyle w:val="null3"/>
        <w:jc w:val="both"/>
      </w:pPr>
      <w:r>
        <w:rPr>
          <w:rFonts w:ascii="仿宋_GB2312" w:hAnsi="仿宋_GB2312" w:cs="仿宋_GB2312" w:eastAsia="仿宋_GB2312"/>
          <w:sz w:val="21"/>
          <w:b/>
        </w:rPr>
        <w:t>8.争端的解决</w:t>
      </w:r>
    </w:p>
    <w:p>
      <w:pPr>
        <w:pStyle w:val="null3"/>
        <w:ind w:firstLine="480"/>
        <w:jc w:val="both"/>
      </w:pPr>
      <w:r>
        <w:rPr>
          <w:rFonts w:ascii="仿宋_GB2312" w:hAnsi="仿宋_GB2312" w:cs="仿宋_GB2312" w:eastAsia="仿宋_GB2312"/>
          <w:sz w:val="24"/>
        </w:rPr>
        <w:t>甲乙双方在履行合同中发生争议，应通过协商解决；协商解决不成，双方同意向甲方所在地人民法院起诉。</w:t>
      </w:r>
    </w:p>
    <w:p>
      <w:pPr>
        <w:pStyle w:val="null3"/>
        <w:jc w:val="both"/>
      </w:pPr>
      <w:r>
        <w:rPr>
          <w:rFonts w:ascii="仿宋_GB2312" w:hAnsi="仿宋_GB2312" w:cs="仿宋_GB2312" w:eastAsia="仿宋_GB2312"/>
          <w:sz w:val="21"/>
          <w:b/>
        </w:rPr>
        <w:t>9.合同生效</w:t>
      </w:r>
    </w:p>
    <w:p>
      <w:pPr>
        <w:pStyle w:val="null3"/>
        <w:ind w:firstLine="480"/>
        <w:jc w:val="both"/>
      </w:pPr>
      <w:r>
        <w:rPr>
          <w:rFonts w:ascii="仿宋_GB2312" w:hAnsi="仿宋_GB2312" w:cs="仿宋_GB2312" w:eastAsia="仿宋_GB2312"/>
          <w:sz w:val="24"/>
        </w:rPr>
        <w:t>9.1 本合同在甲、乙双方签字并盖章后生效。</w:t>
      </w:r>
    </w:p>
    <w:p>
      <w:pPr>
        <w:pStyle w:val="null3"/>
        <w:ind w:firstLine="480"/>
        <w:jc w:val="both"/>
      </w:pPr>
      <w:r>
        <w:rPr>
          <w:rFonts w:ascii="仿宋_GB2312" w:hAnsi="仿宋_GB2312" w:cs="仿宋_GB2312" w:eastAsia="仿宋_GB2312"/>
          <w:sz w:val="24"/>
        </w:rPr>
        <w:t>9.2 本合同一式</w:t>
      </w:r>
      <w:r>
        <w:rPr>
          <w:rFonts w:ascii="仿宋_GB2312" w:hAnsi="仿宋_GB2312" w:cs="仿宋_GB2312" w:eastAsia="仿宋_GB2312"/>
          <w:sz w:val="24"/>
          <w:b/>
          <w:u w:val="single"/>
        </w:rPr>
        <w:t xml:space="preserve"> </w:t>
      </w:r>
      <w:r>
        <w:rPr>
          <w:rFonts w:ascii="仿宋_GB2312" w:hAnsi="仿宋_GB2312" w:cs="仿宋_GB2312" w:eastAsia="仿宋_GB2312"/>
          <w:sz w:val="24"/>
          <w:b/>
          <w:u w:val="single"/>
        </w:rPr>
        <w:t>陆</w:t>
      </w:r>
      <w:r>
        <w:rPr>
          <w:rFonts w:ascii="仿宋_GB2312" w:hAnsi="仿宋_GB2312" w:cs="仿宋_GB2312" w:eastAsia="仿宋_GB2312"/>
          <w:sz w:val="24"/>
        </w:rPr>
        <w:t>份，以中文书就，甲方执</w:t>
      </w:r>
      <w:r>
        <w:rPr>
          <w:rFonts w:ascii="仿宋_GB2312" w:hAnsi="仿宋_GB2312" w:cs="仿宋_GB2312" w:eastAsia="仿宋_GB2312"/>
          <w:sz w:val="24"/>
          <w:b/>
          <w:u w:val="single"/>
        </w:rPr>
        <w:t xml:space="preserve"> </w:t>
      </w:r>
      <w:r>
        <w:rPr>
          <w:rFonts w:ascii="仿宋_GB2312" w:hAnsi="仿宋_GB2312" w:cs="仿宋_GB2312" w:eastAsia="仿宋_GB2312"/>
          <w:sz w:val="24"/>
          <w:b/>
          <w:u w:val="single"/>
        </w:rPr>
        <w:t>叁</w:t>
      </w:r>
      <w:r>
        <w:rPr>
          <w:rFonts w:ascii="仿宋_GB2312" w:hAnsi="仿宋_GB2312" w:cs="仿宋_GB2312" w:eastAsia="仿宋_GB2312"/>
          <w:sz w:val="24"/>
        </w:rPr>
        <w:t>份，乙方执</w:t>
      </w:r>
      <w:r>
        <w:rPr>
          <w:rFonts w:ascii="仿宋_GB2312" w:hAnsi="仿宋_GB2312" w:cs="仿宋_GB2312" w:eastAsia="仿宋_GB2312"/>
          <w:sz w:val="24"/>
          <w:b/>
          <w:u w:val="single"/>
        </w:rPr>
        <w:t xml:space="preserve"> </w:t>
      </w:r>
      <w:r>
        <w:rPr>
          <w:rFonts w:ascii="仿宋_GB2312" w:hAnsi="仿宋_GB2312" w:cs="仿宋_GB2312" w:eastAsia="仿宋_GB2312"/>
          <w:sz w:val="24"/>
          <w:b/>
          <w:u w:val="single"/>
        </w:rPr>
        <w:t>贰</w:t>
      </w:r>
      <w:r>
        <w:rPr>
          <w:rFonts w:ascii="仿宋_GB2312" w:hAnsi="仿宋_GB2312" w:cs="仿宋_GB2312" w:eastAsia="仿宋_GB2312"/>
          <w:sz w:val="24"/>
        </w:rPr>
        <w:t>份，招标代机构执</w:t>
      </w:r>
      <w:r>
        <w:rPr>
          <w:rFonts w:ascii="仿宋_GB2312" w:hAnsi="仿宋_GB2312" w:cs="仿宋_GB2312" w:eastAsia="仿宋_GB2312"/>
          <w:sz w:val="24"/>
          <w:b/>
          <w:u w:val="single"/>
        </w:rPr>
        <w:t xml:space="preserve"> </w:t>
      </w:r>
      <w:r>
        <w:rPr>
          <w:rFonts w:ascii="仿宋_GB2312" w:hAnsi="仿宋_GB2312" w:cs="仿宋_GB2312" w:eastAsia="仿宋_GB2312"/>
          <w:sz w:val="24"/>
          <w:b/>
          <w:u w:val="single"/>
        </w:rPr>
        <w:t>壹</w:t>
      </w:r>
      <w:r>
        <w:rPr>
          <w:rFonts w:ascii="仿宋_GB2312" w:hAnsi="仿宋_GB2312" w:cs="仿宋_GB2312" w:eastAsia="仿宋_GB2312"/>
          <w:sz w:val="24"/>
        </w:rPr>
        <w:t>份，具有相同的法律效应。</w:t>
      </w:r>
    </w:p>
    <w:p>
      <w:pPr>
        <w:pStyle w:val="null3"/>
        <w:jc w:val="both"/>
      </w:pPr>
      <w:r>
        <w:rPr>
          <w:rFonts w:ascii="仿宋_GB2312" w:hAnsi="仿宋_GB2312" w:cs="仿宋_GB2312" w:eastAsia="仿宋_GB2312"/>
          <w:sz w:val="21"/>
          <w:b/>
        </w:rPr>
        <w:t>10.合同附件</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合同附件（如有）是合同的不可分割的组成部分，与合同具有同等法律效力。</w:t>
      </w:r>
    </w:p>
    <w:p>
      <w:pPr>
        <w:pStyle w:val="null3"/>
        <w:ind w:firstLine="480"/>
        <w:jc w:val="both"/>
      </w:pPr>
      <w:r>
        <w:rPr>
          <w:rFonts w:ascii="仿宋_GB2312" w:hAnsi="仿宋_GB2312" w:cs="仿宋_GB2312" w:eastAsia="仿宋_GB2312"/>
          <w:sz w:val="24"/>
        </w:rPr>
        <w:t>10.1配置清单        设备的配置清单</w:t>
      </w:r>
    </w:p>
    <w:p>
      <w:pPr>
        <w:pStyle w:val="null3"/>
        <w:ind w:firstLine="480"/>
        <w:jc w:val="both"/>
      </w:pPr>
      <w:r>
        <w:rPr>
          <w:rFonts w:ascii="仿宋_GB2312" w:hAnsi="仿宋_GB2312" w:cs="仿宋_GB2312" w:eastAsia="仿宋_GB2312"/>
          <w:sz w:val="24"/>
        </w:rPr>
        <w:t xml:space="preserve">10.2技术标准        投标文件的技术响应     设备技术说明   </w:t>
      </w:r>
    </w:p>
    <w:p>
      <w:pPr>
        <w:pStyle w:val="null3"/>
        <w:numPr>
          <w:ilvl w:val="0"/>
          <w:numId w:val="1"/>
        </w:numPr>
        <w:ind w:left="315"/>
        <w:jc w:val="both"/>
      </w:pPr>
      <w:r>
        <w:rPr>
          <w:rFonts w:ascii="仿宋_GB2312" w:hAnsi="仿宋_GB2312" w:cs="仿宋_GB2312" w:eastAsia="仿宋_GB2312"/>
          <w:sz w:val="21"/>
          <w:b/>
        </w:rPr>
        <w:t>特别约定：</w:t>
      </w:r>
    </w:p>
    <w:p>
      <w:pPr>
        <w:pStyle w:val="null3"/>
        <w:ind w:firstLine="480"/>
        <w:jc w:val="both"/>
      </w:pPr>
      <w:r>
        <w:rPr>
          <w:rFonts w:ascii="仿宋_GB2312" w:hAnsi="仿宋_GB2312" w:cs="仿宋_GB2312" w:eastAsia="仿宋_GB2312"/>
          <w:sz w:val="24"/>
        </w:rPr>
        <w:t>乙方承诺不从事商业贿赂行为，如乙方被列入商业贿赂不良记录，本合同将自动解除并由乙方承担违约责任。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乙方承诺不从事商业贿赂行为，如乙方被列入商业贿赂不良记录，本合同将自动解除并由乙方承担违约责任。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乙方交付的产品质量、品牌、型号、规格、生产厂家、其它要求不符合合同约定的，乙方负责退换，所发生的一切费用由乙方承担。甲方选择换货的，因此导致货物逾期交货，乙方应按延期交付的约定承担违约责任；甲方选择退货的，乙方应退还已付货款，还应向甲方承担本合同累计采购价款的20%作为违约金；违约金不足以弥补甲方损失的，乙方仍应予以赔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3）若乙方延迟交付，每延迟一日，应支付甲方当次采购金额5‰的违约金；延迟交付时间超过 20 日（含）的，甲方有权解除本合同，要求乙方支付本合同累计采购价款 20%的违约金；违约金不足以弥补甲方损失的，乙方仍应予以赔偿。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4）除本协议或附件对违约责任另有约定外，乙方违反本协议项下义务的，乙方应按照本协议累计采购价款的10%向甲方支付违约金，违约金不足以补偿损失的，甲方有权要求乙方补足。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本合同所有条款所述甲方损失是指乙方应当承担因此造成甲方的损失（包含但不限于直接经济损失以及律师费、鉴定费等合理维权费用等），本合同中约定乙方应承担的赔偿金、违约金等，甲方有权在尚未支付的费用或其他待支付款项中扣除或者抵扣。</w:t>
      </w:r>
    </w:p>
    <w:p>
      <w:pPr>
        <w:pStyle w:val="null3"/>
        <w:ind w:firstLine="480"/>
        <w:jc w:val="both"/>
      </w:pPr>
      <w:r>
        <w:rPr>
          <w:rFonts w:ascii="仿宋_GB2312" w:hAnsi="仿宋_GB2312" w:cs="仿宋_GB2312" w:eastAsia="仿宋_GB2312"/>
          <w:sz w:val="24"/>
        </w:rPr>
        <w:t>9.送达地址：</w:t>
      </w:r>
    </w:p>
    <w:p>
      <w:pPr>
        <w:pStyle w:val="null3"/>
        <w:ind w:firstLine="480"/>
        <w:jc w:val="both"/>
      </w:pPr>
      <w:r>
        <w:rPr>
          <w:rFonts w:ascii="仿宋_GB2312" w:hAnsi="仿宋_GB2312" w:cs="仿宋_GB2312" w:eastAsia="仿宋_GB2312"/>
          <w:sz w:val="24"/>
        </w:rPr>
        <w:t>合同载明的各方通讯地址可作为送达函件、法院送达诉讼文书的地址，因载明的地址有误或未及时告知变更后的地址，导致相关文书及诉讼文书未能实际被接收的、邮寄送达的，相关文书及诉讼文书退回之日即视为送达之日。</w:t>
      </w:r>
    </w:p>
    <w:p>
      <w:pPr>
        <w:pStyle w:val="null3"/>
        <w:ind w:firstLine="480"/>
        <w:jc w:val="both"/>
      </w:pPr>
      <w:r>
        <w:rPr>
          <w:rFonts w:ascii="仿宋_GB2312" w:hAnsi="仿宋_GB2312" w:cs="仿宋_GB2312" w:eastAsia="仿宋_GB2312"/>
          <w:sz w:val="24"/>
        </w:rPr>
        <w:t>甲方联系人：</w:t>
      </w:r>
      <w:r>
        <w:rPr>
          <w:rFonts w:ascii="仿宋_GB2312" w:hAnsi="仿宋_GB2312" w:cs="仿宋_GB2312" w:eastAsia="仿宋_GB2312"/>
          <w:sz w:val="24"/>
        </w:rPr>
        <w:t>余文琴</w:t>
      </w:r>
      <w:r>
        <w:rPr>
          <w:rFonts w:ascii="仿宋_GB2312" w:hAnsi="仿宋_GB2312" w:cs="仿宋_GB2312" w:eastAsia="仿宋_GB2312"/>
          <w:sz w:val="24"/>
        </w:rPr>
        <w:t xml:space="preserve">  </w:t>
      </w:r>
      <w:r>
        <w:rPr>
          <w:rFonts w:ascii="仿宋_GB2312" w:hAnsi="仿宋_GB2312" w:cs="仿宋_GB2312" w:eastAsia="仿宋_GB2312"/>
          <w:sz w:val="24"/>
        </w:rPr>
        <w:t>联系方式：</w:t>
      </w:r>
      <w:r>
        <w:rPr>
          <w:rFonts w:ascii="仿宋_GB2312" w:hAnsi="仿宋_GB2312" w:cs="仿宋_GB2312" w:eastAsia="仿宋_GB2312"/>
          <w:sz w:val="24"/>
        </w:rPr>
        <w:t xml:space="preserve">0898-62629521   </w:t>
      </w:r>
      <w:r>
        <w:rPr>
          <w:rFonts w:ascii="仿宋_GB2312" w:hAnsi="仿宋_GB2312" w:cs="仿宋_GB2312" w:eastAsia="仿宋_GB2312"/>
          <w:sz w:val="24"/>
        </w:rPr>
        <w:t>联系地址：</w:t>
      </w:r>
      <w:r>
        <w:rPr>
          <w:rFonts w:ascii="仿宋_GB2312" w:hAnsi="仿宋_GB2312" w:cs="仿宋_GB2312" w:eastAsia="仿宋_GB2312"/>
          <w:sz w:val="24"/>
        </w:rPr>
        <w:t>瑞金海南医院</w:t>
      </w:r>
    </w:p>
    <w:p>
      <w:pPr>
        <w:pStyle w:val="null3"/>
        <w:ind w:firstLine="480"/>
        <w:jc w:val="both"/>
      </w:pPr>
      <w:r>
        <w:rPr>
          <w:rFonts w:ascii="仿宋_GB2312" w:hAnsi="仿宋_GB2312" w:cs="仿宋_GB2312" w:eastAsia="仿宋_GB2312"/>
          <w:sz w:val="24"/>
        </w:rPr>
        <w:t>乙方联系人：</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联系方式：</w:t>
      </w:r>
      <w:r>
        <w:rPr>
          <w:rFonts w:ascii="仿宋_GB2312" w:hAnsi="仿宋_GB2312" w:cs="仿宋_GB2312" w:eastAsia="仿宋_GB2312"/>
          <w:sz w:val="21"/>
        </w:rPr>
        <w:t xml:space="preserve">                </w:t>
      </w:r>
      <w:r>
        <w:rPr>
          <w:rFonts w:ascii="仿宋_GB2312" w:hAnsi="仿宋_GB2312" w:cs="仿宋_GB2312" w:eastAsia="仿宋_GB2312"/>
          <w:sz w:val="24"/>
        </w:rPr>
        <w:t>联系地址：</w:t>
      </w:r>
    </w:p>
    <w:p>
      <w:pPr>
        <w:pStyle w:val="null3"/>
        <w:ind w:firstLine="480"/>
        <w:jc w:val="center"/>
      </w:pPr>
      <w:r>
        <w:rPr>
          <w:rFonts w:ascii="仿宋_GB2312" w:hAnsi="仿宋_GB2312" w:cs="仿宋_GB2312" w:eastAsia="仿宋_GB2312"/>
          <w:sz w:val="24"/>
        </w:rPr>
        <w:t>（以下无正文）</w:t>
      </w:r>
    </w:p>
    <w:p>
      <w:pPr>
        <w:pStyle w:val="null3"/>
        <w:ind w:firstLine="420"/>
        <w:jc w:val="both"/>
      </w:pPr>
      <w:r>
        <w:rPr>
          <w:rFonts w:ascii="仿宋_GB2312" w:hAnsi="仿宋_GB2312" w:cs="仿宋_GB2312" w:eastAsia="仿宋_GB2312"/>
          <w:sz w:val="21"/>
        </w:rPr>
        <w:t>甲方（买方）：</w:t>
      </w:r>
      <w:r>
        <w:rPr>
          <w:rFonts w:ascii="仿宋_GB2312" w:hAnsi="仿宋_GB2312" w:cs="仿宋_GB2312" w:eastAsia="仿宋_GB2312"/>
          <w:sz w:val="21"/>
        </w:rPr>
        <w:t xml:space="preserve">                              </w:t>
      </w:r>
      <w:r>
        <w:rPr>
          <w:rFonts w:ascii="仿宋_GB2312" w:hAnsi="仿宋_GB2312" w:cs="仿宋_GB2312" w:eastAsia="仿宋_GB2312"/>
          <w:sz w:val="21"/>
        </w:rPr>
        <w:t>乙方（卖方）：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（盖章）</w:t>
      </w:r>
      <w:r>
        <w:rPr>
          <w:rFonts w:ascii="仿宋_GB2312" w:hAnsi="仿宋_GB2312" w:cs="仿宋_GB2312" w:eastAsia="仿宋_GB2312"/>
          <w:sz w:val="21"/>
        </w:rPr>
        <w:t xml:space="preserve">                                   </w:t>
      </w:r>
      <w:r>
        <w:rPr>
          <w:rFonts w:ascii="仿宋_GB2312" w:hAnsi="仿宋_GB2312" w:cs="仿宋_GB2312" w:eastAsia="仿宋_GB2312"/>
          <w:sz w:val="21"/>
        </w:rPr>
        <w:t>（盖章）</w:t>
      </w:r>
    </w:p>
    <w:p>
      <w:pPr>
        <w:pStyle w:val="null3"/>
        <w:ind w:firstLine="420"/>
        <w:jc w:val="both"/>
      </w:pPr>
      <w:r>
        <w:rPr>
          <w:rFonts w:ascii="仿宋_GB2312" w:hAnsi="仿宋_GB2312" w:cs="仿宋_GB2312" w:eastAsia="仿宋_GB2312"/>
          <w:sz w:val="21"/>
        </w:rPr>
        <w:t>法定代表人或授权代表（签字）</w:t>
      </w:r>
      <w:r>
        <w:rPr>
          <w:rFonts w:ascii="仿宋_GB2312" w:hAnsi="仿宋_GB2312" w:cs="仿宋_GB2312" w:eastAsia="仿宋_GB2312"/>
          <w:sz w:val="21"/>
        </w:rPr>
        <w:t xml:space="preserve">            </w:t>
      </w:r>
      <w:r>
        <w:rPr>
          <w:rFonts w:ascii="仿宋_GB2312" w:hAnsi="仿宋_GB2312" w:cs="仿宋_GB2312" w:eastAsia="仿宋_GB2312"/>
          <w:sz w:val="21"/>
        </w:rPr>
        <w:t>法定代表人或授权代表（签字）</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日期：</w:t>
      </w:r>
      <w:r>
        <w:rPr>
          <w:rFonts w:ascii="仿宋_GB2312" w:hAnsi="仿宋_GB2312" w:cs="仿宋_GB2312" w:eastAsia="仿宋_GB2312"/>
          <w:sz w:val="21"/>
        </w:rPr>
        <w:t xml:space="preserve">                                     </w:t>
      </w:r>
      <w:r>
        <w:rPr>
          <w:rFonts w:ascii="仿宋_GB2312" w:hAnsi="仿宋_GB2312" w:cs="仿宋_GB2312" w:eastAsia="仿宋_GB2312"/>
          <w:sz w:val="21"/>
        </w:rPr>
        <w:t>日期：</w:t>
      </w:r>
    </w:p>
    <w:p>
      <w:pPr>
        <w:pStyle w:val="null3"/>
        <w:ind w:left="420"/>
        <w:jc w:val="left"/>
      </w:pPr>
      <w:r>
        <w:rPr>
          <w:rFonts w:ascii="仿宋_GB2312" w:hAnsi="仿宋_GB2312" w:cs="仿宋_GB2312" w:eastAsia="仿宋_GB2312"/>
          <w:sz w:val="21"/>
        </w:rPr>
        <w:t>采购机构（公章）：</w:t>
      </w:r>
    </w:p>
    <w:p>
      <w:pPr>
        <w:pStyle w:val="null3"/>
        <w:ind w:left="420"/>
        <w:jc w:val="left"/>
      </w:pPr>
      <w:r>
        <w:rPr>
          <w:rFonts w:ascii="仿宋_GB2312" w:hAnsi="仿宋_GB2312" w:cs="仿宋_GB2312" w:eastAsia="仿宋_GB2312"/>
          <w:sz w:val="21"/>
        </w:rPr>
        <w:t>经办人：</w:t>
      </w:r>
    </w:p>
    <w:p>
      <w:pPr>
        <w:pStyle w:val="null3"/>
        <w:ind w:left="420"/>
        <w:jc w:val="left"/>
      </w:pP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技术部分34.00分</w:t>
            </w:r>
          </w:p>
          <w:p>
            <w:pPr>
              <w:pStyle w:val="null3"/>
              <w:jc w:val="left"/>
            </w:pPr>
            <w:r>
              <w:rPr>
                <w:rFonts w:ascii="仿宋_GB2312" w:hAnsi="仿宋_GB2312" w:cs="仿宋_GB2312" w:eastAsia="仿宋_GB2312"/>
              </w:rPr>
              <w:t>商务部分36.00分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一般技术参数响应情况</w:t>
            </w:r>
          </w:p>
        </w:tc>
        <w:tc>
          <w:tcPr>
            <w:tcW w:type="dxa" w:w="2492"/>
          </w:tcPr>
          <w:p>
            <w:pPr>
              <w:pStyle w:val="null3"/>
              <w:jc w:val="left"/>
            </w:pPr>
            <w:r>
              <w:rPr>
                <w:rFonts w:ascii="仿宋_GB2312" w:hAnsi="仿宋_GB2312" w:cs="仿宋_GB2312" w:eastAsia="仿宋_GB2312"/>
              </w:rPr>
              <w:t>完全满足采购需求一般技术参数（非▲号、★号的其他技术参数）的得10分，每有一项未响应或不满足或负偏离扣0.5分。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带▲号技术参数响应情况</w:t>
            </w:r>
          </w:p>
        </w:tc>
        <w:tc>
          <w:tcPr>
            <w:tcW w:type="dxa" w:w="2492"/>
          </w:tcPr>
          <w:p>
            <w:pPr>
              <w:pStyle w:val="null3"/>
              <w:jc w:val="left"/>
            </w:pPr>
            <w:r>
              <w:rPr>
                <w:rFonts w:ascii="仿宋_GB2312" w:hAnsi="仿宋_GB2312" w:cs="仿宋_GB2312" w:eastAsia="仿宋_GB2312"/>
              </w:rPr>
              <w:t>完全满足采购需求带▲号的技术参数要求的得24分，每有一项带▲号的技术参数未响应或不满足或负偏离扣2分。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项目实施方案（包括但不限于）：供货流程、到货安装、调试校验、试运行等内容。根据供应商提供的方案进行比较评分：内容详细完整，方案整体结构合理、有针对性提出解决建议的得6分；方案存在缺陷的（缺陷是指：与采购需求内容不适用项目特性的情形、内容不符合项目实际要求、内容缺少关键节点、内容不齐全、不完整、套用其他项目方案、内容前后矛盾、内容描述不清楚、涉及的规范及标准错误，不利于项目实施，存在不可能实现的情形）每个缺陷扣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质量保证方案（包括但不限于）：质保期内的承诺、出现缺陷后的解决方案和响应时间、质保期满后的相关服务、生产厂家的服务等内容。根据供应商提供的方案进行比较评分：内容详细完整，方案整体结构合理、有针对性提出解决建议的得6分；方案存在缺陷的（缺陷是指：与采购需求内容不适用项目特性的情形、内容不符合项目实际要求、内容缺少关键节点、内容不齐全、不完整、套用其他项目方案、内容前后矛盾、内容描述不清楚、涉及的规范及标准错误，不利于项目实施，存在不可能实现的情形）每个缺陷扣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备品备件情况及供应方案</w:t>
            </w:r>
          </w:p>
        </w:tc>
        <w:tc>
          <w:tcPr>
            <w:tcW w:type="dxa" w:w="2492"/>
          </w:tcPr>
          <w:p>
            <w:pPr>
              <w:pStyle w:val="null3"/>
              <w:jc w:val="left"/>
            </w:pPr>
            <w:r>
              <w:rPr>
                <w:rFonts w:ascii="仿宋_GB2312" w:hAnsi="仿宋_GB2312" w:cs="仿宋_GB2312" w:eastAsia="仿宋_GB2312"/>
              </w:rPr>
              <w:t>根据供应商提供的备品备件情况及供应方案进行评分：根据供应商提供的方案进行比较评分：内容详细完整，方案整体结构合理、有针对性提出解决建议的得6分；方案存在缺陷的（缺陷是指：与采购需求内容不适用项目特性的情形、内容不符合项目实际要求、内容缺少关键节点、内容不齐全、不完整、套用其他项目方案、内容前后矛盾、内容描述不清楚、涉及的规范及标准错误，不利于项目实施，存在不可能实现的情形）每个缺陷扣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培训方案（包括但不限于）：产品应用培训、操作培训和维护培训及提供其他形式培训的情况等内容。根据供应商提供的方案进行比较评分：内容详细完整，方案整体结构合理、有针对性提出解决建议的得6分；方案存在缺陷的（缺陷是指：与采购需求内容不适用项目特性的情形、内容不符合项目实际要求、内容缺少关键节点、内容不齐全、不完整、套用其他项目方案、内容前后矛盾、内容描述不清楚、涉及的规范及标准错误，不利于项目实施，存在不可能实现的情形）每个缺陷扣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售后服务方案（包括但不限于）：售后服务方案、维修维保方案、售后服务人员配备、售后服务响应时间等内容。根据供应商提供的方案进行比较评分：内容详细完整，方案整体结构合理、有针对性提出解决建议的得6分；方案存在缺陷的（缺陷是指：与采购需求内容不适用项目特性的情形、内容不符合项目实际要求、内容缺少关键节点、内容不齐全、不完整、套用其他项目方案、内容前后矛盾、内容描述不清楚、涉及的规范及标准错误，不利于项目实施，存在不可能实现的情形）每个缺陷扣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应急处理措施</w:t>
            </w:r>
          </w:p>
        </w:tc>
        <w:tc>
          <w:tcPr>
            <w:tcW w:type="dxa" w:w="2492"/>
          </w:tcPr>
          <w:p>
            <w:pPr>
              <w:pStyle w:val="null3"/>
              <w:jc w:val="left"/>
            </w:pPr>
            <w:r>
              <w:rPr>
                <w:rFonts w:ascii="仿宋_GB2312" w:hAnsi="仿宋_GB2312" w:cs="仿宋_GB2312" w:eastAsia="仿宋_GB2312"/>
              </w:rPr>
              <w:t>应急处理措施（包括但不限于）：安全保障措施、应急处理措施、重大故障处理等内容。根据供应商提供的方案进行比较评分：内容详细完整，方案整体结构合理、有针对性提出解决建议的得6分；方案存在缺陷的（缺陷是指：与采购需求内容不适用项目特性的情形、内容不符合项目实际要求、内容缺少关键节点、内容不齐全、不完整、套用其他项目方案、内容前后矛盾、内容描述不清楚、涉及的规范及标准错误，不利于项目实施，存在不可能实现的情形）每个缺陷扣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HNXS2025-C015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2025年新增国产医疗设备采购项目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2025年新增国产医疗设备采购项目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激光眼科诊断仪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907000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眼科光学相干断层扫描仪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840300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高压蒸汽灭菌器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998000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