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举办四项2025年体育赛事活动项目(二次)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[HNHS]20250500001[GK]-1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海南和顺项目管理有限公司</w:t>
      </w:r>
      <w:r>
        <w:rPr>
          <w:rFonts w:ascii="仿宋_GB2312" w:hAnsi="仿宋_GB2312" w:cs="仿宋_GB2312" w:eastAsia="仿宋_GB2312"/>
        </w:rPr>
        <w:t xml:space="preserve"> 对 </w:t>
      </w:r>
      <w:r>
        <w:rPr>
          <w:rFonts w:ascii="仿宋_GB2312" w:hAnsi="仿宋_GB2312" w:cs="仿宋_GB2312" w:eastAsia="仿宋_GB2312"/>
        </w:rPr>
        <w:t>举办四项2025年体育赛事活动项目(二次)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[HNHS]20250500001[GK]-1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举办四项2025年体育赛事活动项目(二次)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1,000,000.00元</w:t>
      </w:r>
      <w:r>
        <w:rPr>
          <w:rFonts w:ascii="仿宋_GB2312" w:hAnsi="仿宋_GB2312" w:cs="仿宋_GB2312" w:eastAsia="仿宋_GB2312"/>
        </w:rPr>
        <w:t>壹佰万元整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4001691288。4.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倪老师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18389327772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海南省海口市美兰区名门广场北区B2座1909号房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0898-65377472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采购包1：650,000.00元</w:t>
            </w:r>
          </w:p>
          <w:p>
            <w:pPr>
              <w:pStyle w:val="null3"/>
              <w:jc w:val="left"/>
            </w:pPr>
            <w:r>
              <w:rPr>
                <w:rFonts w:ascii="仿宋_GB2312" w:hAnsi="仿宋_GB2312" w:cs="仿宋_GB2312" w:eastAsia="仿宋_GB2312"/>
              </w:rPr>
              <w:t>采购包2：350,000.00元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代理服务费收费标准：本次采购活动招标代理服务费按照《海南省物价局关于降低部分招标代理服务收费标准的通知》（琼价费管〔2011〕225号）按8折向中标人收取招标代理服务费。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 2.本项目不接受供应商的电子备用投标文件，以供应商成功加密后递交至海南省政府采购智慧云平台的电子投标文件为准，因投标人自身原因导致无法解密或解密失败的，自行承担不利后果。 3.本项目为非专门面向中小企业，给予小微企业的价格扣除优惠为10%。 4.供应商如遇技术问题自行联系海南省政府采购智慧云平台客服。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联系电话：0898-65377472</w:t>
      </w:r>
    </w:p>
    <w:p>
      <w:pPr>
        <w:pStyle w:val="null3"/>
        <w:jc w:val="left"/>
      </w:pPr>
      <w:r>
        <w:rPr>
          <w:rFonts w:ascii="仿宋_GB2312" w:hAnsi="仿宋_GB2312" w:cs="仿宋_GB2312" w:eastAsia="仿宋_GB2312"/>
        </w:rPr>
        <w:t>地址：海口市蓝天路名门广场北区B(6-9)1909房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w:t>
      </w:r>
      <w:r>
        <w:rPr>
          <w:rFonts w:ascii="仿宋_GB2312" w:hAnsi="仿宋_GB2312" w:cs="仿宋_GB2312" w:eastAsia="仿宋_GB2312"/>
        </w:rPr>
        <w:t>举办四项2025年体育赛事活动项目(二次)</w:t>
      </w:r>
    </w:p>
    <w:p>
      <w:pPr>
        <w:pStyle w:val="null3"/>
        <w:jc w:val="left"/>
      </w:pPr>
      <w:r>
        <w:rPr>
          <w:rFonts w:ascii="仿宋_GB2312" w:hAnsi="仿宋_GB2312" w:cs="仿宋_GB2312" w:eastAsia="仿宋_GB2312"/>
        </w:rPr>
        <w:t>2、项目预算：</w:t>
      </w:r>
      <w:r>
        <w:rPr>
          <w:rFonts w:ascii="仿宋_GB2312" w:hAnsi="仿宋_GB2312" w:cs="仿宋_GB2312" w:eastAsia="仿宋_GB2312"/>
        </w:rPr>
        <w:t>1000000.00</w:t>
      </w:r>
      <w:r>
        <w:rPr>
          <w:rFonts w:ascii="仿宋_GB2312" w:hAnsi="仿宋_GB2312" w:cs="仿宋_GB2312" w:eastAsia="仿宋_GB2312"/>
        </w:rPr>
        <w:t>元，其中采购包</w:t>
      </w:r>
      <w:r>
        <w:rPr>
          <w:rFonts w:ascii="仿宋_GB2312" w:hAnsi="仿宋_GB2312" w:cs="仿宋_GB2312" w:eastAsia="仿宋_GB2312"/>
        </w:rPr>
        <w:t>1：2025年海南坐标·热带雨林国家公园定向越野挑战赛650000.00元；采购包2：2025年海南省青少年田径（U18组）锦标赛350000.00元。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650,000.00</w:t>
      </w:r>
    </w:p>
    <w:p>
      <w:pPr>
        <w:pStyle w:val="null3"/>
        <w:jc w:val="left"/>
      </w:pPr>
      <w:r>
        <w:rPr>
          <w:rFonts w:ascii="仿宋_GB2312" w:hAnsi="仿宋_GB2312" w:cs="仿宋_GB2312" w:eastAsia="仿宋_GB2312"/>
        </w:rPr>
        <w:t>采购包最高限价（元）: 650,000.00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350,000.00</w:t>
      </w:r>
    </w:p>
    <w:p>
      <w:pPr>
        <w:pStyle w:val="null3"/>
        <w:jc w:val="left"/>
      </w:pPr>
      <w:r>
        <w:rPr>
          <w:rFonts w:ascii="仿宋_GB2312" w:hAnsi="仿宋_GB2312" w:cs="仿宋_GB2312" w:eastAsia="仿宋_GB2312"/>
        </w:rPr>
        <w:t>采购包最高限价（元）: 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一、标包名称</w:t>
            </w:r>
          </w:p>
          <w:p>
            <w:pPr>
              <w:pStyle w:val="null3"/>
              <w:jc w:val="both"/>
            </w:pPr>
            <w:r>
              <w:rPr>
                <w:rFonts w:ascii="仿宋_GB2312" w:hAnsi="仿宋_GB2312" w:cs="仿宋_GB2312" w:eastAsia="仿宋_GB2312"/>
                <w:sz w:val="21"/>
              </w:rPr>
              <w:t>2025年海南坐标·热带雨林国家公园定向越野挑战赛</w:t>
            </w:r>
          </w:p>
          <w:p>
            <w:pPr>
              <w:pStyle w:val="null3"/>
              <w:jc w:val="both"/>
            </w:pPr>
            <w:r>
              <w:rPr>
                <w:rFonts w:ascii="仿宋_GB2312" w:hAnsi="仿宋_GB2312" w:cs="仿宋_GB2312" w:eastAsia="仿宋_GB2312"/>
              </w:rPr>
              <w:t>二、项目概况</w:t>
            </w:r>
          </w:p>
          <w:p>
            <w:pPr>
              <w:pStyle w:val="null3"/>
              <w:jc w:val="both"/>
            </w:pPr>
            <w:r>
              <w:rPr>
                <w:rFonts w:ascii="仿宋_GB2312" w:hAnsi="仿宋_GB2312" w:cs="仿宋_GB2312" w:eastAsia="仿宋_GB2312"/>
              </w:rPr>
              <w:t>根据《海南省国家体育旅游示范区发展规划</w:t>
            </w:r>
            <w:r>
              <w:rPr>
                <w:rFonts w:ascii="仿宋_GB2312" w:hAnsi="仿宋_GB2312" w:cs="仿宋_GB2312" w:eastAsia="仿宋_GB2312"/>
              </w:rPr>
              <w:t>(2020-2025)》、《海南省“十四五”旅游文化广电体育发展规划》等文件要求，近年来，海南通过强化体育旅游赛事引领，全力打造国家体育旅游示范区。</w:t>
            </w:r>
          </w:p>
          <w:p>
            <w:pPr>
              <w:pStyle w:val="null3"/>
              <w:jc w:val="both"/>
            </w:pPr>
            <w:r>
              <w:rPr>
                <w:rFonts w:ascii="仿宋_GB2312" w:hAnsi="仿宋_GB2312" w:cs="仿宋_GB2312" w:eastAsia="仿宋_GB2312"/>
              </w:rPr>
              <w:t>同时为深入贯彻冯飞书记关于</w:t>
            </w:r>
            <w:r>
              <w:rPr>
                <w:rFonts w:ascii="仿宋_GB2312" w:hAnsi="仿宋_GB2312" w:cs="仿宋_GB2312" w:eastAsia="仿宋_GB2312"/>
              </w:rPr>
              <w:t>“开发淡季旅游产品，打造‘清凉城市’”的重要指示，以及省委省政府在经济工作会议上强调的“引客入岛”战略，我院积极响应，计划在2025年上半年推出海南坐标·热带雨林国家公园定向越野挑战赛。这一赛事不仅将充分展示海南的自然风光与生态优势，还旨在通过徒步这一低门槛、高参与度的运动形式，吸引不同年龄层的游客参与，不断引客入岛，增强海南体育旅游的吸引力和影响力。</w:t>
            </w:r>
          </w:p>
          <w:p>
            <w:pPr>
              <w:pStyle w:val="null3"/>
              <w:jc w:val="both"/>
            </w:pPr>
            <w:r>
              <w:rPr>
                <w:rFonts w:ascii="仿宋_GB2312" w:hAnsi="仿宋_GB2312" w:cs="仿宋_GB2312" w:eastAsia="仿宋_GB2312"/>
              </w:rPr>
              <w:t>为确保赛事的专业性、安全性和影响力，现决定通过公开招标的方式，严格筛选并确定一家具备丰富体育赛事运营经验、良好市场口碑及专业执行能力的赛事活动运营管理单位。</w:t>
            </w:r>
          </w:p>
          <w:p>
            <w:pPr>
              <w:pStyle w:val="null3"/>
              <w:jc w:val="both"/>
            </w:pPr>
            <w:r>
              <w:rPr>
                <w:rFonts w:ascii="仿宋_GB2312" w:hAnsi="仿宋_GB2312" w:cs="仿宋_GB2312" w:eastAsia="仿宋_GB2312"/>
              </w:rPr>
              <w:t>打造品牌赛事</w:t>
            </w:r>
            <w:r>
              <w:rPr>
                <w:rFonts w:ascii="仿宋_GB2312" w:hAnsi="仿宋_GB2312" w:cs="仿宋_GB2312" w:eastAsia="仿宋_GB2312"/>
              </w:rPr>
              <w:t>: 将赛事打造成为国内顶级、国际知名的定向越野赛事，提升海南热带雨林国家公园的知名度和影响力。</w:t>
            </w:r>
          </w:p>
          <w:p>
            <w:pPr>
              <w:pStyle w:val="null3"/>
              <w:jc w:val="both"/>
            </w:pPr>
            <w:r>
              <w:rPr>
                <w:rFonts w:ascii="仿宋_GB2312" w:hAnsi="仿宋_GB2312" w:cs="仿宋_GB2312" w:eastAsia="仿宋_GB2312"/>
              </w:rPr>
              <w:t>促进体旅融合</w:t>
            </w:r>
            <w:r>
              <w:rPr>
                <w:rFonts w:ascii="仿宋_GB2312" w:hAnsi="仿宋_GB2312" w:cs="仿宋_GB2312" w:eastAsia="仿宋_GB2312"/>
              </w:rPr>
              <w:t>: 推动体育与旅游深度融合，带动海南热带雨林国家公园及周边地区旅游经济发展。</w:t>
            </w:r>
          </w:p>
          <w:p>
            <w:pPr>
              <w:pStyle w:val="null3"/>
              <w:jc w:val="both"/>
            </w:pPr>
            <w:r>
              <w:rPr>
                <w:rFonts w:ascii="仿宋_GB2312" w:hAnsi="仿宋_GB2312" w:cs="仿宋_GB2312" w:eastAsia="仿宋_GB2312"/>
              </w:rPr>
              <w:t>倡导绿色环保</w:t>
            </w:r>
            <w:r>
              <w:rPr>
                <w:rFonts w:ascii="仿宋_GB2312" w:hAnsi="仿宋_GB2312" w:cs="仿宋_GB2312" w:eastAsia="仿宋_GB2312"/>
              </w:rPr>
              <w:t>: 倡导绿色环保理念，提高公众对热带雨林生态保护的意识。</w:t>
            </w:r>
          </w:p>
          <w:p>
            <w:pPr>
              <w:pStyle w:val="null3"/>
              <w:jc w:val="both"/>
            </w:pPr>
            <w:r>
              <w:rPr>
                <w:rFonts w:ascii="仿宋_GB2312" w:hAnsi="仿宋_GB2312" w:cs="仿宋_GB2312" w:eastAsia="仿宋_GB2312"/>
              </w:rPr>
              <w:t>三、项目内容及要求</w:t>
            </w:r>
          </w:p>
          <w:p>
            <w:pPr>
              <w:pStyle w:val="null3"/>
              <w:jc w:val="both"/>
            </w:pPr>
            <w:r>
              <w:rPr>
                <w:rFonts w:ascii="仿宋_GB2312" w:hAnsi="仿宋_GB2312" w:cs="仿宋_GB2312" w:eastAsia="仿宋_GB2312"/>
              </w:rPr>
              <w:t>（一）主办单位：海南省旅游和文化广电体育厅</w:t>
            </w:r>
          </w:p>
          <w:p>
            <w:pPr>
              <w:pStyle w:val="null3"/>
              <w:jc w:val="both"/>
            </w:pPr>
            <w:r>
              <w:rPr>
                <w:rFonts w:ascii="仿宋_GB2312" w:hAnsi="仿宋_GB2312" w:cs="仿宋_GB2312" w:eastAsia="仿宋_GB2312"/>
              </w:rPr>
              <w:t>（二）承办单位：海南体育职业技术学院</w:t>
            </w:r>
            <w:r>
              <w:rPr>
                <w:rFonts w:ascii="仿宋_GB2312" w:hAnsi="仿宋_GB2312" w:cs="仿宋_GB2312" w:eastAsia="仿宋_GB2312"/>
              </w:rPr>
              <w:t>(海南省训练竞赛管理中心)</w:t>
            </w:r>
          </w:p>
          <w:p>
            <w:pPr>
              <w:pStyle w:val="null3"/>
              <w:jc w:val="both"/>
            </w:pPr>
            <w:r>
              <w:rPr>
                <w:rFonts w:ascii="仿宋_GB2312" w:hAnsi="仿宋_GB2312" w:cs="仿宋_GB2312" w:eastAsia="仿宋_GB2312"/>
              </w:rPr>
              <w:t>（三）运营单位：通过公开招标确定</w:t>
            </w:r>
          </w:p>
          <w:p>
            <w:pPr>
              <w:pStyle w:val="null3"/>
              <w:jc w:val="both"/>
            </w:pPr>
            <w:r>
              <w:rPr>
                <w:rFonts w:ascii="仿宋_GB2312" w:hAnsi="仿宋_GB2312" w:cs="仿宋_GB2312" w:eastAsia="仿宋_GB2312"/>
              </w:rPr>
              <w:t>（四）赛事概况：</w:t>
            </w:r>
          </w:p>
          <w:p>
            <w:pPr>
              <w:pStyle w:val="null3"/>
              <w:jc w:val="both"/>
            </w:pPr>
            <w:r>
              <w:rPr>
                <w:rFonts w:ascii="仿宋_GB2312" w:hAnsi="仿宋_GB2312" w:cs="仿宋_GB2312" w:eastAsia="仿宋_GB2312"/>
              </w:rPr>
              <w:t>1.赛事名称：2025年海南坐标·热带雨林国家公园定向越野挑战赛</w:t>
            </w:r>
          </w:p>
          <w:p>
            <w:pPr>
              <w:pStyle w:val="null3"/>
              <w:jc w:val="both"/>
            </w:pPr>
            <w:r>
              <w:rPr>
                <w:rFonts w:ascii="仿宋_GB2312" w:hAnsi="仿宋_GB2312" w:cs="仿宋_GB2312" w:eastAsia="仿宋_GB2312"/>
              </w:rPr>
              <w:t>2.赛事时间：2025年10月。（拟定）</w:t>
            </w:r>
          </w:p>
          <w:p>
            <w:pPr>
              <w:pStyle w:val="null3"/>
              <w:jc w:val="both"/>
            </w:pPr>
            <w:r>
              <w:rPr>
                <w:rFonts w:ascii="仿宋_GB2312" w:hAnsi="仿宋_GB2312" w:cs="仿宋_GB2312" w:eastAsia="仿宋_GB2312"/>
              </w:rPr>
              <w:t>3.赛事地点：东方市俄贤岭生态文化旅游区（拟定）</w:t>
            </w:r>
          </w:p>
          <w:p>
            <w:pPr>
              <w:pStyle w:val="null3"/>
              <w:jc w:val="both"/>
            </w:pPr>
            <w:r>
              <w:rPr>
                <w:rFonts w:ascii="仿宋_GB2312" w:hAnsi="仿宋_GB2312" w:cs="仿宋_GB2312" w:eastAsia="仿宋_GB2312"/>
              </w:rPr>
              <w:t>4.赛事规模：约800人</w:t>
            </w:r>
          </w:p>
          <w:p>
            <w:pPr>
              <w:pStyle w:val="null3"/>
              <w:jc w:val="both"/>
            </w:pPr>
            <w:r>
              <w:rPr>
                <w:rFonts w:ascii="仿宋_GB2312" w:hAnsi="仿宋_GB2312" w:cs="仿宋_GB2312" w:eastAsia="仿宋_GB2312"/>
              </w:rPr>
              <w:t>5.项目预算：65万元。</w:t>
            </w:r>
          </w:p>
          <w:p>
            <w:pPr>
              <w:pStyle w:val="null3"/>
              <w:jc w:val="both"/>
            </w:pPr>
            <w:r>
              <w:rPr>
                <w:rFonts w:ascii="仿宋_GB2312" w:hAnsi="仿宋_GB2312" w:cs="仿宋_GB2312" w:eastAsia="仿宋_GB2312"/>
              </w:rPr>
              <w:t>6.最高限价：65万元。</w:t>
            </w:r>
          </w:p>
          <w:p>
            <w:pPr>
              <w:pStyle w:val="null3"/>
              <w:jc w:val="both"/>
            </w:pPr>
            <w:r>
              <w:rPr>
                <w:rFonts w:ascii="仿宋_GB2312" w:hAnsi="仿宋_GB2312" w:cs="仿宋_GB2312" w:eastAsia="仿宋_GB2312"/>
              </w:rPr>
              <w:t>7.合同签订方式中标方与海南体育职业技术学院（海南省训练竞赛管理中心）签订采购合同。</w:t>
            </w:r>
          </w:p>
          <w:p>
            <w:pPr>
              <w:pStyle w:val="null3"/>
              <w:jc w:val="both"/>
            </w:pPr>
            <w:r>
              <w:rPr>
                <w:rFonts w:ascii="仿宋_GB2312" w:hAnsi="仿宋_GB2312" w:cs="仿宋_GB2312" w:eastAsia="仿宋_GB2312"/>
              </w:rPr>
              <w:t>（五）竞赛组别</w:t>
            </w:r>
          </w:p>
          <w:p>
            <w:pPr>
              <w:pStyle w:val="null3"/>
              <w:jc w:val="both"/>
            </w:pPr>
            <w:r>
              <w:rPr>
                <w:rFonts w:ascii="仿宋_GB2312" w:hAnsi="仿宋_GB2312" w:cs="仿宋_GB2312" w:eastAsia="仿宋_GB2312"/>
              </w:rPr>
              <w:t>为吸引更多不同年龄段、不同人群的参与，本次赛事分为精英组和成人公开组和家庭亲子组三个类别进行：</w:t>
            </w:r>
          </w:p>
          <w:p>
            <w:pPr>
              <w:pStyle w:val="null3"/>
              <w:jc w:val="both"/>
            </w:pPr>
            <w:r>
              <w:rPr>
                <w:rFonts w:ascii="仿宋_GB2312" w:hAnsi="仿宋_GB2312" w:cs="仿宋_GB2312" w:eastAsia="仿宋_GB2312"/>
              </w:rPr>
              <w:t>1.精英组</w:t>
            </w:r>
          </w:p>
          <w:p>
            <w:pPr>
              <w:pStyle w:val="null3"/>
              <w:jc w:val="both"/>
            </w:pPr>
            <w:r>
              <w:rPr>
                <w:rFonts w:ascii="仿宋_GB2312" w:hAnsi="仿宋_GB2312" w:cs="仿宋_GB2312" w:eastAsia="仿宋_GB2312"/>
              </w:rPr>
              <w:t>参加精英组的运动员必须有两年以上训练时间，参赛经验且年龄限制</w:t>
            </w:r>
            <w:r>
              <w:rPr>
                <w:rFonts w:ascii="仿宋_GB2312" w:hAnsi="仿宋_GB2312" w:cs="仿宋_GB2312" w:eastAsia="仿宋_GB2312"/>
              </w:rPr>
              <w:t>18-60岁人群。</w:t>
            </w:r>
          </w:p>
          <w:p>
            <w:pPr>
              <w:pStyle w:val="null3"/>
              <w:jc w:val="both"/>
            </w:pPr>
            <w:r>
              <w:rPr>
                <w:rFonts w:ascii="仿宋_GB2312" w:hAnsi="仿宋_GB2312" w:cs="仿宋_GB2312" w:eastAsia="仿宋_GB2312"/>
              </w:rPr>
              <w:t>2.</w:t>
            </w:r>
            <w:r>
              <w:rPr>
                <w:rFonts w:ascii="仿宋_GB2312" w:hAnsi="仿宋_GB2312" w:cs="仿宋_GB2312" w:eastAsia="仿宋_GB2312"/>
              </w:rPr>
              <w:t>成人公开组</w:t>
            </w:r>
          </w:p>
          <w:p>
            <w:pPr>
              <w:pStyle w:val="null3"/>
              <w:jc w:val="both"/>
            </w:pPr>
            <w:r>
              <w:rPr>
                <w:rFonts w:ascii="仿宋_GB2312" w:hAnsi="仿宋_GB2312" w:cs="仿宋_GB2312" w:eastAsia="仿宋_GB2312"/>
              </w:rPr>
              <w:t>参加成年组的运动员必须有一年以上训练时间，参赛经验且年龄限制</w:t>
            </w:r>
            <w:r>
              <w:rPr>
                <w:rFonts w:ascii="仿宋_GB2312" w:hAnsi="仿宋_GB2312" w:cs="仿宋_GB2312" w:eastAsia="仿宋_GB2312"/>
              </w:rPr>
              <w:t>18-60岁人群。</w:t>
            </w:r>
          </w:p>
          <w:p>
            <w:pPr>
              <w:pStyle w:val="null3"/>
              <w:jc w:val="both"/>
            </w:pPr>
            <w:r>
              <w:rPr>
                <w:rFonts w:ascii="仿宋_GB2312" w:hAnsi="仿宋_GB2312" w:cs="仿宋_GB2312" w:eastAsia="仿宋_GB2312"/>
              </w:rPr>
              <w:t>3.家庭亲子组</w:t>
            </w:r>
          </w:p>
          <w:p>
            <w:pPr>
              <w:pStyle w:val="null3"/>
              <w:jc w:val="both"/>
            </w:pPr>
            <w:r>
              <w:rPr>
                <w:rFonts w:ascii="仿宋_GB2312" w:hAnsi="仿宋_GB2312" w:cs="仿宋_GB2312" w:eastAsia="仿宋_GB2312"/>
              </w:rPr>
              <w:t>体验组建议选取难度较小、路程较短、趣味性较高的参赛路段，参赛选手面向公众开放，年龄限制放宽至</w:t>
            </w:r>
            <w:r>
              <w:rPr>
                <w:rFonts w:ascii="仿宋_GB2312" w:hAnsi="仿宋_GB2312" w:cs="仿宋_GB2312" w:eastAsia="仿宋_GB2312"/>
              </w:rPr>
              <w:t>6-60岁人群，该组别不以竞技为目的，全程以参与和体验为主。</w:t>
            </w:r>
          </w:p>
          <w:p>
            <w:pPr>
              <w:pStyle w:val="null3"/>
              <w:jc w:val="both"/>
            </w:pPr>
            <w:r>
              <w:rPr>
                <w:rFonts w:ascii="仿宋_GB2312" w:hAnsi="仿宋_GB2312" w:cs="仿宋_GB2312" w:eastAsia="仿宋_GB2312"/>
              </w:rPr>
              <w:t>（六）配套活动</w:t>
            </w:r>
          </w:p>
          <w:p>
            <w:pPr>
              <w:pStyle w:val="null3"/>
              <w:jc w:val="both"/>
            </w:pPr>
            <w:r>
              <w:rPr>
                <w:rFonts w:ascii="仿宋_GB2312" w:hAnsi="仿宋_GB2312" w:cs="仿宋_GB2312" w:eastAsia="仿宋_GB2312"/>
              </w:rPr>
              <w:t>1.活动开幕式：</w:t>
            </w:r>
          </w:p>
          <w:p>
            <w:pPr>
              <w:pStyle w:val="null3"/>
              <w:jc w:val="both"/>
            </w:pPr>
            <w:r>
              <w:rPr>
                <w:rFonts w:ascii="仿宋_GB2312" w:hAnsi="仿宋_GB2312" w:cs="仿宋_GB2312" w:eastAsia="仿宋_GB2312"/>
              </w:rPr>
              <w:t>参与人员：海南省旅游和文化广电体育厅、海南体育职业技术学院</w:t>
            </w:r>
            <w:r>
              <w:rPr>
                <w:rFonts w:ascii="仿宋_GB2312" w:hAnsi="仿宋_GB2312" w:cs="仿宋_GB2312" w:eastAsia="仿宋_GB2312"/>
              </w:rPr>
              <w:t>(海南省训练竞赛管理中心)、东方市人民政府（拟定）、东方市旅游和文化广电体育局等相关单位主要领导（拟定）、运动员、裁判员、赞助商等。</w:t>
            </w:r>
          </w:p>
          <w:p>
            <w:pPr>
              <w:pStyle w:val="null3"/>
              <w:jc w:val="both"/>
            </w:pPr>
            <w:r>
              <w:rPr>
                <w:rFonts w:ascii="仿宋_GB2312" w:hAnsi="仿宋_GB2312" w:cs="仿宋_GB2312" w:eastAsia="仿宋_GB2312"/>
              </w:rPr>
              <w:t>主要议程</w:t>
            </w:r>
            <w:r>
              <w:rPr>
                <w:rFonts w:ascii="仿宋_GB2312" w:hAnsi="仿宋_GB2312" w:cs="仿宋_GB2312" w:eastAsia="仿宋_GB2312"/>
              </w:rPr>
              <w:t>:入场仪式、裁判员及运动员代表宣誓、领导嘉宾致辞等。</w:t>
            </w:r>
          </w:p>
          <w:p>
            <w:pPr>
              <w:pStyle w:val="null3"/>
              <w:jc w:val="both"/>
            </w:pPr>
            <w:r>
              <w:rPr>
                <w:rFonts w:ascii="仿宋_GB2312" w:hAnsi="仿宋_GB2312" w:cs="仿宋_GB2312" w:eastAsia="仿宋_GB2312"/>
              </w:rPr>
              <w:t>2.颁奖仪式：</w:t>
            </w:r>
          </w:p>
          <w:p>
            <w:pPr>
              <w:pStyle w:val="null3"/>
              <w:jc w:val="both"/>
            </w:pPr>
            <w:r>
              <w:rPr>
                <w:rFonts w:ascii="仿宋_GB2312" w:hAnsi="仿宋_GB2312" w:cs="仿宋_GB2312" w:eastAsia="仿宋_GB2312"/>
              </w:rPr>
              <w:t>参与人员：海南省旅游和文化广电体育厅、海南体育职业技术学院</w:t>
            </w:r>
            <w:r>
              <w:rPr>
                <w:rFonts w:ascii="仿宋_GB2312" w:hAnsi="仿宋_GB2312" w:cs="仿宋_GB2312" w:eastAsia="仿宋_GB2312"/>
              </w:rPr>
              <w:t>(海南省训练竞赛管理中心)、东方市人民政府（拟定）、东方市旅游和文化广电体育局等相关单位主要领导（拟定）、运动员、裁判员、赞助商等。</w:t>
            </w:r>
          </w:p>
          <w:p>
            <w:pPr>
              <w:pStyle w:val="null3"/>
              <w:jc w:val="both"/>
            </w:pPr>
            <w:r>
              <w:rPr>
                <w:rFonts w:ascii="仿宋_GB2312" w:hAnsi="仿宋_GB2312" w:cs="仿宋_GB2312" w:eastAsia="仿宋_GB2312"/>
              </w:rPr>
              <w:t>主要议程</w:t>
            </w:r>
            <w:r>
              <w:rPr>
                <w:rFonts w:ascii="仿宋_GB2312" w:hAnsi="仿宋_GB2312" w:cs="仿宋_GB2312" w:eastAsia="仿宋_GB2312"/>
              </w:rPr>
              <w:t>:宣布成绩、运动员颁奖及合影、宣布闭幕等。</w:t>
            </w:r>
          </w:p>
          <w:p>
            <w:pPr>
              <w:pStyle w:val="null3"/>
              <w:jc w:val="both"/>
            </w:pPr>
            <w:r>
              <w:rPr>
                <w:rFonts w:ascii="仿宋_GB2312" w:hAnsi="仿宋_GB2312" w:cs="仿宋_GB2312" w:eastAsia="仿宋_GB2312"/>
              </w:rPr>
              <w:t>（七）竞</w:t>
            </w:r>
            <w:r>
              <w:rPr>
                <w:rFonts w:ascii="仿宋_GB2312" w:hAnsi="仿宋_GB2312" w:cs="仿宋_GB2312" w:eastAsia="仿宋_GB2312"/>
                <w:sz w:val="21"/>
              </w:rPr>
              <w:t>赛办法录取名次及奖励</w:t>
            </w:r>
          </w:p>
          <w:p>
            <w:pPr>
              <w:pStyle w:val="null3"/>
              <w:jc w:val="both"/>
            </w:pPr>
            <w:r>
              <w:rPr>
                <w:rFonts w:ascii="仿宋_GB2312" w:hAnsi="仿宋_GB2312" w:cs="仿宋_GB2312" w:eastAsia="仿宋_GB2312"/>
                <w:sz w:val="21"/>
              </w:rPr>
              <w:t>(一)执行《中国徒步定向运</w:t>
            </w:r>
            <w:r>
              <w:rPr>
                <w:rFonts w:ascii="仿宋_GB2312" w:hAnsi="仿宋_GB2312" w:cs="仿宋_GB2312" w:eastAsia="仿宋_GB2312"/>
              </w:rPr>
              <w:t>动竞赛规则》</w:t>
            </w:r>
            <w:r>
              <w:rPr>
                <w:rFonts w:ascii="仿宋_GB2312" w:hAnsi="仿宋_GB2312" w:cs="仿宋_GB2312" w:eastAsia="仿宋_GB2312"/>
              </w:rPr>
              <w:t>(2016年修订)。</w:t>
            </w:r>
          </w:p>
          <w:p>
            <w:pPr>
              <w:pStyle w:val="null3"/>
              <w:jc w:val="both"/>
            </w:pPr>
            <w:r>
              <w:rPr>
                <w:rFonts w:ascii="仿宋_GB2312" w:hAnsi="仿宋_GB2312" w:cs="仿宋_GB2312" w:eastAsia="仿宋_GB2312"/>
              </w:rPr>
              <w:t>(二)竞赛规则下载链接</w:t>
            </w:r>
          </w:p>
          <w:p>
            <w:pPr>
              <w:pStyle w:val="null3"/>
              <w:jc w:val="both"/>
            </w:pPr>
            <w:r>
              <w:rPr>
                <w:rFonts w:ascii="仿宋_GB2312" w:hAnsi="仿宋_GB2312" w:cs="仿宋_GB2312" w:eastAsia="仿宋_GB2312"/>
              </w:rPr>
              <w:t>crsoa.sport.org.cn/download/2016/0512/298082.html</w:t>
            </w:r>
          </w:p>
          <w:p>
            <w:pPr>
              <w:pStyle w:val="null3"/>
              <w:jc w:val="both"/>
            </w:pPr>
            <w:r>
              <w:rPr>
                <w:rFonts w:ascii="仿宋_GB2312" w:hAnsi="仿宋_GB2312" w:cs="仿宋_GB2312" w:eastAsia="仿宋_GB2312"/>
              </w:rPr>
              <w:t>(三)</w:t>
            </w:r>
            <w:r>
              <w:rPr>
                <w:rFonts w:ascii="仿宋_GB2312" w:hAnsi="仿宋_GB2312" w:cs="仿宋_GB2312" w:eastAsia="仿宋_GB2312"/>
              </w:rPr>
              <w:t>精英组、成人公开组、家庭亲子组</w:t>
            </w:r>
            <w:r>
              <w:rPr>
                <w:rFonts w:ascii="仿宋_GB2312" w:hAnsi="仿宋_GB2312" w:cs="仿宋_GB2312" w:eastAsia="仿宋_GB2312"/>
              </w:rPr>
              <w:t>”</w:t>
            </w:r>
            <w:r>
              <w:rPr>
                <w:rFonts w:ascii="仿宋_GB2312" w:hAnsi="仿宋_GB2312" w:cs="仿宋_GB2312" w:eastAsia="仿宋_GB2312"/>
              </w:rPr>
              <w:t>分别录取前六名，颁发证书，前三名同时颁发奖牌。</w:t>
            </w:r>
          </w:p>
          <w:tbl>
            <w:tblPr>
              <w:tblInd w:type="dxa" w:w="360"/>
              <w:tblBorders>
                <w:top w:val="none" w:color="000000" w:sz="4"/>
                <w:left w:val="none" w:color="000000" w:sz="4"/>
                <w:bottom w:val="none" w:color="000000" w:sz="4"/>
                <w:right w:val="none" w:color="000000" w:sz="4"/>
                <w:insideH w:val="none"/>
                <w:insideV w:val="none"/>
              </w:tblBorders>
            </w:tblPr>
            <w:tblGrid>
              <w:gridCol w:w="504"/>
              <w:gridCol w:w="290"/>
              <w:gridCol w:w="275"/>
              <w:gridCol w:w="290"/>
              <w:gridCol w:w="290"/>
              <w:gridCol w:w="290"/>
              <w:gridCol w:w="290"/>
              <w:gridCol w:w="321"/>
            </w:tblGrid>
            <w:tr>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组别</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第一名</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第二名</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第三名</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第四名</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第五名</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第六名</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7-30名</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精英男子组</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400</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颁发奖品</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精英女子组</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400</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颁发奖品</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公开男子组</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400</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颁发奖品</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公开女子组</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400</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颁发奖品</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家庭亲子组</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颁发奖品</w:t>
                  </w:r>
                </w:p>
              </w:tc>
            </w:tr>
            <w:tr>
              <w:tc>
                <w:tcPr>
                  <w:tcW w:type="dxa" w:w="255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备注</w:t>
                  </w:r>
                  <w:r>
                    <w:rPr>
                      <w:rFonts w:ascii="仿宋_GB2312" w:hAnsi="仿宋_GB2312" w:cs="仿宋_GB2312" w:eastAsia="仿宋_GB2312"/>
                      <w:sz w:val="19"/>
                    </w:rPr>
                    <w:t>:奖金为税前金额，需根据我国现行的税收法律法规缴纳20%税费。</w:t>
                  </w:r>
                </w:p>
                <w:p>
                  <w:pPr>
                    <w:pStyle w:val="null3"/>
                    <w:jc w:val="both"/>
                  </w:pPr>
                  <w:r>
                    <w:rPr>
                      <w:rFonts w:ascii="仿宋_GB2312" w:hAnsi="仿宋_GB2312" w:cs="仿宋_GB2312" w:eastAsia="仿宋_GB2312"/>
                      <w:sz w:val="19"/>
                    </w:rPr>
                    <w:t>如出现名次并列则下一位名次顺推，名次并列奖金合并再平分。</w:t>
                  </w:r>
                </w:p>
              </w:tc>
            </w:tr>
          </w:tbl>
          <w:p>
            <w:pPr>
              <w:pStyle w:val="null3"/>
              <w:jc w:val="both"/>
            </w:pPr>
            <w:r>
              <w:rPr>
                <w:rFonts w:ascii="仿宋_GB2312" w:hAnsi="仿宋_GB2312" w:cs="仿宋_GB2312" w:eastAsia="仿宋_GB2312"/>
              </w:rPr>
              <w:t>(四)所有在规定时间内完成比赛的运动员均可获得完赛奖牌和完赛证书(亲子组每组一份)。</w:t>
            </w:r>
          </w:p>
          <w:p>
            <w:pPr>
              <w:pStyle w:val="null3"/>
              <w:jc w:val="both"/>
            </w:pPr>
            <w:r>
              <w:rPr>
                <w:rFonts w:ascii="仿宋_GB2312" w:hAnsi="仿宋_GB2312" w:cs="仿宋_GB2312" w:eastAsia="仿宋_GB2312"/>
              </w:rPr>
              <w:t>（八）活动策划统筹和组织</w:t>
            </w:r>
          </w:p>
          <w:p>
            <w:pPr>
              <w:pStyle w:val="null3"/>
              <w:jc w:val="both"/>
            </w:pPr>
            <w:r>
              <w:rPr>
                <w:rFonts w:ascii="仿宋_GB2312" w:hAnsi="仿宋_GB2312" w:cs="仿宋_GB2312" w:eastAsia="仿宋_GB2312"/>
              </w:rPr>
              <w:t>1.投标人需成立专项工作组，提供赛事策划及执行方案，组织执行赛事，保证负责赛事活动的安全有序执行。</w:t>
            </w:r>
          </w:p>
          <w:p>
            <w:pPr>
              <w:pStyle w:val="null3"/>
              <w:jc w:val="both"/>
            </w:pPr>
            <w:r>
              <w:rPr>
                <w:rFonts w:ascii="仿宋_GB2312" w:hAnsi="仿宋_GB2312" w:cs="仿宋_GB2312" w:eastAsia="仿宋_GB2312"/>
              </w:rPr>
              <w:t>2.在满足赛事可执行性的前提下，赛事策划执行方案需设计完整的徒步定向路线规划（总路线规划不少于10公里）和合理的赛事规程，确保路线选取充分展现海南特色，包括但不限于自然风光、人文景观、历史文化遗址等，旨在通过赛事对海南旅游景点起到积极的宣传作用。路线设计需兼顾安全性、趣味性和挑战性，同时符合海南省气候特点，确保参赛者在享受徒步乐趣的同时，能够深入了解海南的文化与美景，体现本省的竞赛水平和办赛特色。</w:t>
            </w:r>
          </w:p>
          <w:p>
            <w:pPr>
              <w:pStyle w:val="null3"/>
              <w:jc w:val="both"/>
            </w:pPr>
            <w:r>
              <w:rPr>
                <w:rFonts w:ascii="仿宋_GB2312" w:hAnsi="仿宋_GB2312" w:cs="仿宋_GB2312" w:eastAsia="仿宋_GB2312"/>
              </w:rPr>
              <w:t>3.促进沿线经济消费，赛事方案中还需包含如何通过体育赛事促进沿线经济消费的方案。投标人需提出具体可行的策略，如合作赞助商、设置补给站、特色商品展销区、文化体验区等，吸引参赛者和观众在赛事期间进行消费。</w:t>
            </w:r>
          </w:p>
          <w:p>
            <w:pPr>
              <w:pStyle w:val="null3"/>
              <w:jc w:val="both"/>
            </w:pPr>
            <w:r>
              <w:rPr>
                <w:rFonts w:ascii="仿宋_GB2312" w:hAnsi="仿宋_GB2312" w:cs="仿宋_GB2312" w:eastAsia="仿宋_GB2312"/>
              </w:rPr>
              <w:t>4.对赛事进行合理安排，并按采购要求执行赛事，投标人需提供清晰、简洁的报名流程，确保参赛者可通过线上、线下等多渠道进行报名，同时做好报名信息的保密工作。</w:t>
            </w:r>
          </w:p>
          <w:p>
            <w:pPr>
              <w:pStyle w:val="null3"/>
              <w:jc w:val="both"/>
            </w:pPr>
            <w:r>
              <w:rPr>
                <w:rFonts w:ascii="仿宋_GB2312" w:hAnsi="仿宋_GB2312" w:cs="仿宋_GB2312" w:eastAsia="仿宋_GB2312"/>
              </w:rPr>
              <w:t>5.有效对接主办方和各办赛组委会部门，将比赛筹备工作落实到位。</w:t>
            </w:r>
          </w:p>
          <w:p>
            <w:pPr>
              <w:pStyle w:val="null3"/>
              <w:jc w:val="both"/>
            </w:pPr>
            <w:r>
              <w:rPr>
                <w:rFonts w:ascii="仿宋_GB2312" w:hAnsi="仿宋_GB2312" w:cs="仿宋_GB2312" w:eastAsia="仿宋_GB2312"/>
              </w:rPr>
              <w:t>6.招募赛事相关工作人员：裁判、志愿者、急救人员、安保、网络宣传平台及其他赛事相关工作人员。安排竞赛组织人员用餐及饮用水，安排专人负责后勤保障工作。</w:t>
            </w:r>
          </w:p>
          <w:p>
            <w:pPr>
              <w:pStyle w:val="null3"/>
              <w:jc w:val="both"/>
            </w:pPr>
            <w:r>
              <w:rPr>
                <w:rFonts w:ascii="仿宋_GB2312" w:hAnsi="仿宋_GB2312" w:cs="仿宋_GB2312" w:eastAsia="仿宋_GB2312"/>
              </w:rPr>
              <w:t>7. 拥有丰富的赞助商品牌资源,负责对接主办方推介的赞助商资源，促成赛事赞助。负责落实各项赞助商权益工作，赞助商接待工作。</w:t>
            </w:r>
          </w:p>
          <w:p>
            <w:pPr>
              <w:pStyle w:val="null3"/>
              <w:jc w:val="both"/>
            </w:pPr>
            <w:r>
              <w:rPr>
                <w:rFonts w:ascii="仿宋_GB2312" w:hAnsi="仿宋_GB2312" w:cs="仿宋_GB2312" w:eastAsia="仿宋_GB2312"/>
              </w:rPr>
              <w:t>8.拥有丰富的赛事运营经验，负责赛事整体布局；规划及布置活动现场嘉宾观赛区、竞赛办公区、媒体区、医疗救护区等。</w:t>
            </w:r>
          </w:p>
          <w:p>
            <w:pPr>
              <w:pStyle w:val="null3"/>
              <w:jc w:val="both"/>
            </w:pPr>
            <w:r>
              <w:rPr>
                <w:rFonts w:ascii="仿宋_GB2312" w:hAnsi="仿宋_GB2312" w:cs="仿宋_GB2312" w:eastAsia="仿宋_GB2312"/>
              </w:rPr>
              <w:t>9.按时收集赛事相关材料及数据：比赛技术统计、照片视频等其他相关数据。</w:t>
            </w:r>
          </w:p>
          <w:p>
            <w:pPr>
              <w:pStyle w:val="null3"/>
              <w:jc w:val="both"/>
            </w:pPr>
            <w:r>
              <w:rPr>
                <w:rFonts w:ascii="仿宋_GB2312" w:hAnsi="仿宋_GB2312" w:cs="仿宋_GB2312" w:eastAsia="仿宋_GB2312"/>
              </w:rPr>
              <w:t>10.按照项目比赛规则的标准要求进行比赛场地布置，包含起终点门头、导引指示牌、各类宣传牌等，制定比赛场地布置方案，包含项目视觉识别系统(VI)、各类平面布置图、效果图。比赛场地布置方案须经采购人同意后组织实施。</w:t>
            </w:r>
          </w:p>
          <w:p>
            <w:pPr>
              <w:pStyle w:val="null3"/>
              <w:jc w:val="both"/>
            </w:pPr>
            <w:r>
              <w:rPr>
                <w:rFonts w:ascii="仿宋_GB2312" w:hAnsi="仿宋_GB2312" w:cs="仿宋_GB2312" w:eastAsia="仿宋_GB2312"/>
              </w:rPr>
              <w:t>11.负责采购制作赛事相关物资，包含各类比赛器材、执裁器材、各类奖牌、证书、以及组委会应向参赛人员提供的参赛包、参赛号码牌等赛事用品。</w:t>
            </w:r>
          </w:p>
          <w:p>
            <w:pPr>
              <w:pStyle w:val="null3"/>
              <w:jc w:val="both"/>
            </w:pPr>
            <w:r>
              <w:rPr>
                <w:rFonts w:ascii="仿宋_GB2312" w:hAnsi="仿宋_GB2312" w:cs="仿宋_GB2312" w:eastAsia="仿宋_GB2312"/>
              </w:rPr>
              <w:t>12.负责活动前期、举办期间及撤场的各项工作统筹执行。</w:t>
            </w:r>
          </w:p>
          <w:p>
            <w:pPr>
              <w:pStyle w:val="null3"/>
              <w:jc w:val="both"/>
            </w:pPr>
            <w:r>
              <w:rPr>
                <w:rFonts w:ascii="仿宋_GB2312" w:hAnsi="仿宋_GB2312" w:cs="仿宋_GB2312" w:eastAsia="仿宋_GB2312"/>
              </w:rPr>
              <w:t>13.对比赛有整体的设计，负责赛事的全套视觉海报设计创作、宣传资料的独家设计（含且不限于赛事仪式舞台，赛事拱门，道旗，广告板，赞助商广告板，赛道指示牌，公里牌，选手服装，奖牌，工作人员服装等）。</w:t>
            </w:r>
          </w:p>
          <w:p>
            <w:pPr>
              <w:pStyle w:val="null3"/>
              <w:jc w:val="both"/>
            </w:pPr>
            <w:r>
              <w:rPr>
                <w:rFonts w:ascii="仿宋_GB2312" w:hAnsi="仿宋_GB2312" w:cs="仿宋_GB2312" w:eastAsia="仿宋_GB2312"/>
              </w:rPr>
              <w:t>14.负责赛事赛后奖励、奖杯及奖牌发放。</w:t>
            </w:r>
          </w:p>
          <w:p>
            <w:pPr>
              <w:pStyle w:val="null3"/>
              <w:jc w:val="both"/>
            </w:pPr>
            <w:r>
              <w:rPr>
                <w:rFonts w:ascii="仿宋_GB2312" w:hAnsi="仿宋_GB2312" w:cs="仿宋_GB2312" w:eastAsia="仿宋_GB2312"/>
              </w:rPr>
              <w:t>15.负责主办方交办的其他事项。</w:t>
            </w:r>
          </w:p>
          <w:p>
            <w:pPr>
              <w:pStyle w:val="null3"/>
              <w:jc w:val="both"/>
            </w:pPr>
            <w:r>
              <w:rPr>
                <w:rFonts w:ascii="仿宋_GB2312" w:hAnsi="仿宋_GB2312" w:cs="仿宋_GB2312" w:eastAsia="仿宋_GB2312"/>
              </w:rPr>
              <w:t>16.赛事活动应在赛事活动现场体现“中国体育彩票”LOGO并在显著位置设置展示“中国体育彩票资助”宣传内容，包括但不限于背景板、赛事拱门、横幅、路旗、广告牌、资助标牌等。</w:t>
            </w:r>
          </w:p>
          <w:p>
            <w:pPr>
              <w:pStyle w:val="null3"/>
              <w:jc w:val="both"/>
            </w:pPr>
            <w:r>
              <w:rPr>
                <w:rFonts w:ascii="仿宋_GB2312" w:hAnsi="仿宋_GB2312" w:cs="仿宋_GB2312" w:eastAsia="仿宋_GB2312"/>
              </w:rPr>
              <w:t>17.对赛事热点事件的策划及传播可通过今日头条、抖音、小红书等媒体平台，以及海南日报、南海网等官方媒体进行广泛宣传，吸引线上观众。</w:t>
            </w:r>
          </w:p>
          <w:p>
            <w:pPr>
              <w:pStyle w:val="null3"/>
              <w:jc w:val="both"/>
            </w:pPr>
            <w:r>
              <w:rPr>
                <w:rFonts w:ascii="仿宋_GB2312" w:hAnsi="仿宋_GB2312" w:cs="仿宋_GB2312" w:eastAsia="仿宋_GB2312"/>
              </w:rPr>
              <w:t>（九）宣传推广</w:t>
            </w:r>
          </w:p>
          <w:p>
            <w:pPr>
              <w:pStyle w:val="null3"/>
              <w:jc w:val="both"/>
            </w:pPr>
            <w:r>
              <w:rPr>
                <w:rFonts w:ascii="仿宋_GB2312" w:hAnsi="仿宋_GB2312" w:cs="仿宋_GB2312" w:eastAsia="仿宋_GB2312"/>
              </w:rPr>
              <w:t>1.宣传报道：围绕赛事特点策划赛事传播主题，拟定赛事宣传方案，策划热点传播事件。邀请不少于15家媒体现场报道、总播报超过20次(含20次)，网络、手机端等新媒体报道不少于20篇。</w:t>
            </w:r>
          </w:p>
          <w:p>
            <w:pPr>
              <w:pStyle w:val="null3"/>
              <w:jc w:val="both"/>
            </w:pPr>
            <w:r>
              <w:rPr>
                <w:rFonts w:ascii="仿宋_GB2312" w:hAnsi="仿宋_GB2312" w:cs="仿宋_GB2312" w:eastAsia="仿宋_GB2312"/>
              </w:rPr>
              <w:t>2.拍摄宣传：比赛期间通过视频、图文等形式进行多维度报道，需提供不少于2个航拍机位。</w:t>
            </w:r>
          </w:p>
          <w:p>
            <w:pPr>
              <w:pStyle w:val="null3"/>
              <w:jc w:val="both"/>
            </w:pPr>
            <w:r>
              <w:rPr>
                <w:rFonts w:ascii="仿宋_GB2312" w:hAnsi="仿宋_GB2312" w:cs="仿宋_GB2312" w:eastAsia="仿宋_GB2312"/>
              </w:rPr>
              <w:t>3.网络直播：比赛期间提供网络直播渠道（图片或视频直播）。</w:t>
            </w:r>
          </w:p>
          <w:p>
            <w:pPr>
              <w:pStyle w:val="null3"/>
              <w:jc w:val="both"/>
            </w:pPr>
            <w:r>
              <w:rPr>
                <w:rFonts w:ascii="仿宋_GB2312" w:hAnsi="仿宋_GB2312" w:cs="仿宋_GB2312" w:eastAsia="仿宋_GB2312"/>
              </w:rPr>
              <w:t>（十）项目预算</w:t>
            </w:r>
          </w:p>
          <w:p>
            <w:pPr>
              <w:pStyle w:val="null3"/>
              <w:jc w:val="both"/>
            </w:pPr>
            <w:r>
              <w:rPr>
                <w:rFonts w:ascii="仿宋_GB2312" w:hAnsi="仿宋_GB2312" w:cs="仿宋_GB2312" w:eastAsia="仿宋_GB2312"/>
              </w:rPr>
              <w:t>在项目预算内，按以下需求表和方案中提及的其他活动要求细化各细项描述、规格、数量等信息。同时，鼓励从做好活动、提升效果的角度出发，增加服务内容、数量等。</w:t>
            </w:r>
          </w:p>
          <w:tbl>
            <w:tblPr>
              <w:tblInd w:type="dxa" w:w="360"/>
              <w:tblBorders>
                <w:top w:val="none" w:color="000000" w:sz="4"/>
                <w:left w:val="none" w:color="000000" w:sz="4"/>
                <w:bottom w:val="none" w:color="000000" w:sz="4"/>
                <w:right w:val="none" w:color="000000" w:sz="4"/>
                <w:insideH w:val="none"/>
                <w:insideV w:val="none"/>
              </w:tblBorders>
            </w:tblPr>
            <w:tblGrid>
              <w:gridCol w:w="199"/>
              <w:gridCol w:w="214"/>
              <w:gridCol w:w="749"/>
              <w:gridCol w:w="214"/>
              <w:gridCol w:w="183"/>
              <w:gridCol w:w="229"/>
              <w:gridCol w:w="321"/>
              <w:gridCol w:w="443"/>
            </w:tblGrid>
            <w:tr>
              <w:tc>
                <w:tcPr>
                  <w:tcW w:type="dxa" w:w="2552"/>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2025年海南坐标·热带雨林国家公园定向越野挑战赛</w:t>
                  </w:r>
                </w:p>
              </w:tc>
            </w:tr>
            <w:tr>
              <w:tc>
                <w:tcPr>
                  <w:tcW w:type="dxa" w:w="2552"/>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单位：元</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w:t>
                  </w:r>
                </w:p>
              </w:tc>
              <w:tc>
                <w:tcPr>
                  <w:tcW w:type="dxa" w:w="7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项目内容细化说明</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单位</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单价</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小计</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备注</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宣传</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开闭幕式媒体邀约</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赛事全程宣推</w:t>
                  </w:r>
                </w:p>
              </w:tc>
              <w:tc>
                <w:tcPr>
                  <w:tcW w:type="dxa" w:w="214"/>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229"/>
                  <w:vMerge/>
                  <w:tcBorders>
                    <w:top w:val="none" w:color="000000" w:sz="4"/>
                    <w:left w:val="non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443"/>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赛事直播（图片或视频，二选一）</w:t>
                  </w:r>
                </w:p>
              </w:tc>
              <w:tc>
                <w:tcPr>
                  <w:tcW w:type="dxa" w:w="214"/>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229"/>
                  <w:vMerge/>
                  <w:tcBorders>
                    <w:top w:val="none" w:color="000000" w:sz="4"/>
                    <w:left w:val="non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443"/>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视频拍摄</w:t>
                  </w:r>
                </w:p>
              </w:tc>
              <w:tc>
                <w:tcPr>
                  <w:tcW w:type="dxa" w:w="214"/>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229"/>
                  <w:vMerge/>
                  <w:tcBorders>
                    <w:top w:val="none" w:color="000000" w:sz="4"/>
                    <w:left w:val="non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443"/>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赛事活动多平台招募合作</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起终点物料（开幕、闭幕）</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赛事换项区及沿途补给点布置</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赛道路标及指示</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赛事主视觉</w:t>
                  </w:r>
                  <w:r>
                    <w:rPr>
                      <w:rFonts w:ascii="仿宋_GB2312" w:hAnsi="仿宋_GB2312" w:cs="仿宋_GB2312" w:eastAsia="仿宋_GB2312"/>
                      <w:sz w:val="19"/>
                    </w:rPr>
                    <w:t>logo、服装、奖牌、及相关制作物设计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奖项设置</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完赛奖牌、奖杯、成绩证书</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赛事奖金</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竞赛保障</w:t>
                  </w:r>
                  <w:r>
                    <w:br/>
                  </w:r>
                  <w:r>
                    <w:rPr>
                      <w:rFonts w:ascii="仿宋_GB2312" w:hAnsi="仿宋_GB2312" w:cs="仿宋_GB2312" w:eastAsia="仿宋_GB2312"/>
                      <w:sz w:val="19"/>
                    </w:rPr>
                    <w:t>物资采购</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赛事包</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秩序册</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电子计时设备租赁</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参赛运动员照片服务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裁判、工作人员、志愿者服装</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对讲机租赁</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裁判物料及其他相关竞赛保障器材</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代理费</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保险</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人员意外险</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组织者保险</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安保、医疗</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赛事安保、应急（大型活动审批、申报及评估）</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23</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急救车、医疗保障人员及物资等（</w:t>
                  </w:r>
                  <w:r>
                    <w:rPr>
                      <w:rFonts w:ascii="仿宋_GB2312" w:hAnsi="仿宋_GB2312" w:cs="仿宋_GB2312" w:eastAsia="仿宋_GB2312"/>
                      <w:sz w:val="19"/>
                    </w:rPr>
                    <w:t>1辆）</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24</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后勤保障</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工作人员交通</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工作人员食宿</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26</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裁判员交通</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27</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裁判员食宿</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赛时补给点食品、功能饮料、矿泉水</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裁判、工作人员摆渡车（大巴</w:t>
                  </w:r>
                  <w:r>
                    <w:rPr>
                      <w:rFonts w:ascii="仿宋_GB2312" w:hAnsi="仿宋_GB2312" w:cs="仿宋_GB2312" w:eastAsia="仿宋_GB2312"/>
                      <w:sz w:val="19"/>
                    </w:rPr>
                    <w:t>*2）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31</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赛时裁判巡查车（摩托）</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32</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运动员摆渡车（</w:t>
                  </w:r>
                  <w:r>
                    <w:rPr>
                      <w:rFonts w:ascii="仿宋_GB2312" w:hAnsi="仿宋_GB2312" w:cs="仿宋_GB2312" w:eastAsia="仿宋_GB2312"/>
                      <w:sz w:val="19"/>
                    </w:rPr>
                    <w:t>50座大巴）</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34</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其他后勤保障用车（含媒体用车</w:t>
                  </w:r>
                  <w:r>
                    <w:rPr>
                      <w:rFonts w:ascii="仿宋_GB2312" w:hAnsi="仿宋_GB2312" w:cs="仿宋_GB2312" w:eastAsia="仿宋_GB2312"/>
                      <w:sz w:val="19"/>
                    </w:rPr>
                    <w:t>*2、物资用车*4、其他工作车）</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35</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人员劳务</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救援队员劳务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36</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志愿者交通食宿补贴</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37</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安保护卫劳务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38</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赛事执行工作人员</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39</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赛事裁判员</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专业主持人（开闭幕式及彩排）</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41</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礼仪（开闭幕式及彩排）</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42</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清洁员</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合计预算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rPr>
              <w:t>（十一）赛事保障</w:t>
            </w:r>
          </w:p>
          <w:p>
            <w:pPr>
              <w:pStyle w:val="null3"/>
              <w:jc w:val="both"/>
            </w:pPr>
            <w:r>
              <w:rPr>
                <w:rFonts w:ascii="仿宋_GB2312" w:hAnsi="仿宋_GB2312" w:cs="仿宋_GB2312" w:eastAsia="仿宋_GB2312"/>
              </w:rPr>
              <w:t>1.申请单位需承诺为本次比赛购买选手意外身故，猝死保险不低于30万元，赛事组织责任保险不低于100万元。</w:t>
            </w:r>
            <w:r>
              <w:rPr>
                <w:rFonts w:ascii="仿宋_GB2312" w:hAnsi="仿宋_GB2312" w:cs="仿宋_GB2312" w:eastAsia="仿宋_GB2312"/>
              </w:rPr>
              <w:t>（</w:t>
            </w:r>
            <w:r>
              <w:rPr>
                <w:rFonts w:ascii="仿宋_GB2312" w:hAnsi="仿宋_GB2312" w:cs="仿宋_GB2312" w:eastAsia="仿宋_GB2312"/>
              </w:rPr>
              <w:t>提供承诺，格式自拟</w:t>
            </w:r>
            <w:r>
              <w:rPr>
                <w:rFonts w:ascii="仿宋_GB2312" w:hAnsi="仿宋_GB2312" w:cs="仿宋_GB2312" w:eastAsia="仿宋_GB2312"/>
              </w:rPr>
              <w:t>）</w:t>
            </w:r>
          </w:p>
          <w:p>
            <w:pPr>
              <w:pStyle w:val="null3"/>
              <w:jc w:val="both"/>
            </w:pPr>
            <w:r>
              <w:rPr>
                <w:rFonts w:ascii="仿宋_GB2312" w:hAnsi="仿宋_GB2312" w:cs="仿宋_GB2312" w:eastAsia="仿宋_GB2312"/>
              </w:rPr>
              <w:t>2.为保障赛事顺利举办，申请单位应按主办单位要求聘请不少于5名裁判员。</w:t>
            </w:r>
            <w:r>
              <w:rPr>
                <w:rFonts w:ascii="仿宋_GB2312" w:hAnsi="仿宋_GB2312" w:cs="仿宋_GB2312" w:eastAsia="仿宋_GB2312"/>
                <w:sz w:val="20"/>
              </w:rPr>
              <w:t>（</w:t>
            </w:r>
            <w:r>
              <w:rPr>
                <w:rFonts w:ascii="仿宋_GB2312" w:hAnsi="仿宋_GB2312" w:cs="仿宋_GB2312" w:eastAsia="仿宋_GB2312"/>
                <w:sz w:val="20"/>
              </w:rPr>
              <w:t>可中标后配备相关人员</w:t>
            </w:r>
            <w:r>
              <w:rPr>
                <w:rFonts w:ascii="仿宋_GB2312" w:hAnsi="仿宋_GB2312" w:cs="仿宋_GB2312" w:eastAsia="仿宋_GB2312"/>
                <w:sz w:val="20"/>
              </w:rPr>
              <w:t>）</w:t>
            </w:r>
          </w:p>
          <w:p>
            <w:pPr>
              <w:pStyle w:val="null3"/>
              <w:jc w:val="both"/>
            </w:pPr>
            <w:r>
              <w:rPr>
                <w:rFonts w:ascii="仿宋_GB2312" w:hAnsi="仿宋_GB2312" w:cs="仿宋_GB2312" w:eastAsia="仿宋_GB2312"/>
              </w:rPr>
              <w:t>3.项目实施能力：申请单位承诺有能力补足赛事不足经费以保障赛事顺利进行。</w:t>
            </w:r>
            <w:r>
              <w:rPr>
                <w:rFonts w:ascii="仿宋_GB2312" w:hAnsi="仿宋_GB2312" w:cs="仿宋_GB2312" w:eastAsia="仿宋_GB2312"/>
              </w:rPr>
              <w:t>（</w:t>
            </w:r>
            <w:r>
              <w:rPr>
                <w:rFonts w:ascii="仿宋_GB2312" w:hAnsi="仿宋_GB2312" w:cs="仿宋_GB2312" w:eastAsia="仿宋_GB2312"/>
              </w:rPr>
              <w:t>提供承诺，格式自拟</w:t>
            </w:r>
            <w:r>
              <w:rPr>
                <w:rFonts w:ascii="仿宋_GB2312" w:hAnsi="仿宋_GB2312" w:cs="仿宋_GB2312" w:eastAsia="仿宋_GB2312"/>
              </w:rPr>
              <w:t>）</w:t>
            </w:r>
          </w:p>
          <w:p>
            <w:pPr>
              <w:pStyle w:val="null3"/>
              <w:jc w:val="both"/>
            </w:pPr>
            <w:r>
              <w:rPr>
                <w:rFonts w:ascii="仿宋_GB2312" w:hAnsi="仿宋_GB2312" w:cs="仿宋_GB2312" w:eastAsia="仿宋_GB2312"/>
              </w:rPr>
              <w:t>4.绩效目标达成承诺书</w:t>
            </w:r>
            <w:r>
              <w:rPr>
                <w:rFonts w:ascii="仿宋_GB2312" w:hAnsi="仿宋_GB2312" w:cs="仿宋_GB2312" w:eastAsia="仿宋_GB2312"/>
              </w:rPr>
              <w:t>（</w:t>
            </w:r>
            <w:r>
              <w:rPr>
                <w:rFonts w:ascii="仿宋_GB2312" w:hAnsi="仿宋_GB2312" w:cs="仿宋_GB2312" w:eastAsia="仿宋_GB2312"/>
              </w:rPr>
              <w:t>提供承诺，格式自拟</w:t>
            </w:r>
            <w:r>
              <w:rPr>
                <w:rFonts w:ascii="仿宋_GB2312" w:hAnsi="仿宋_GB2312" w:cs="仿宋_GB2312" w:eastAsia="仿宋_GB2312"/>
              </w:rPr>
              <w:t>）</w:t>
            </w:r>
          </w:p>
          <w:p>
            <w:pPr>
              <w:pStyle w:val="null3"/>
              <w:jc w:val="both"/>
            </w:pPr>
            <w:r>
              <w:rPr>
                <w:rFonts w:ascii="仿宋_GB2312" w:hAnsi="仿宋_GB2312" w:cs="仿宋_GB2312" w:eastAsia="仿宋_GB2312"/>
              </w:rPr>
              <w:t>5.投标人以完成赛事目标为准，负责对接落实赛事举办场地，场地需满足赛事策划方案的具体要求，搭建符合要求的比赛场景。中标人需承担包含竞赛设备租赁，赛事搭建，赛事宣传，赛事装备，配速员招募，医师跑者招募，裁判员聘请等与赛事举办有关的成本费用（包括但不限于人员成本、耗材成本、设施设备维护保养等）。</w:t>
            </w:r>
          </w:p>
          <w:p>
            <w:pPr>
              <w:pStyle w:val="null3"/>
              <w:jc w:val="both"/>
            </w:pPr>
            <w:r>
              <w:rPr>
                <w:rFonts w:ascii="仿宋_GB2312" w:hAnsi="仿宋_GB2312" w:cs="仿宋_GB2312" w:eastAsia="仿宋_GB2312"/>
              </w:rPr>
              <w:t>6.安全责任：中标人承担运行赛事举办过程中的安全责任，并承担由此产生的一切费用，甲方不承担任何连带责任。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rPr>
              <w:t>7.中标人需确保赛事活动举办过程中涉及相关场地（其中开幕式、闭幕式场地需确保能容纳不少于1000人集合）、器材、技术工具等功能完好，能保障赛事活动期间正常顺利使用，涉及费用由中标人承担。</w:t>
            </w:r>
          </w:p>
          <w:p>
            <w:pPr>
              <w:pStyle w:val="null3"/>
              <w:jc w:val="both"/>
            </w:pPr>
            <w:r>
              <w:rPr>
                <w:rFonts w:ascii="仿宋_GB2312" w:hAnsi="仿宋_GB2312" w:cs="仿宋_GB2312" w:eastAsia="仿宋_GB2312"/>
              </w:rPr>
              <w:t>8.中标人应在签订合同后7天内完成项目管理团队配备及相关准备工作，具体时间以招标人要求时间为准。</w:t>
            </w:r>
          </w:p>
          <w:p>
            <w:pPr>
              <w:pStyle w:val="null3"/>
              <w:jc w:val="both"/>
            </w:pPr>
            <w:r>
              <w:rPr>
                <w:rFonts w:ascii="仿宋_GB2312" w:hAnsi="仿宋_GB2312" w:cs="仿宋_GB2312" w:eastAsia="仿宋_GB2312"/>
              </w:rPr>
              <w:t>9.中标人不得将赛事活动相关权益委托、转包给第三方。</w:t>
            </w:r>
          </w:p>
          <w:p>
            <w:pPr>
              <w:pStyle w:val="null3"/>
              <w:jc w:val="both"/>
            </w:pPr>
            <w:r>
              <w:rPr>
                <w:rFonts w:ascii="仿宋_GB2312" w:hAnsi="仿宋_GB2312" w:cs="仿宋_GB2312" w:eastAsia="仿宋_GB2312"/>
              </w:rPr>
              <w:t>10.投标人应严格按照已确认的服务方案和工作流程提供服务，无条件地接受采购人对其工作质量的监督检查。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rPr>
              <w:t>11.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rPr>
              <w:t>12.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sz w:val="21"/>
              </w:rPr>
              <w:t>13.付款方式：协议签订后,甲方根据乙方提供的有效发票,支付合同总金额的50%作为首期款,赛事活动结束后,乙方提供赛事活动总结、有效发票、服务内容及数量的佐证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支付合同款项剩余50%。</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标包名称：</w:t>
            </w:r>
            <w:r>
              <w:rPr>
                <w:rFonts w:ascii="仿宋_GB2312" w:hAnsi="仿宋_GB2312" w:cs="仿宋_GB2312" w:eastAsia="仿宋_GB2312"/>
              </w:rPr>
              <w:t>2025年海南省青少年田径（U18组）锦标赛</w:t>
            </w:r>
          </w:p>
          <w:p>
            <w:pPr>
              <w:pStyle w:val="null3"/>
              <w:jc w:val="left"/>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0"/>
              </w:rPr>
              <w:t>根据《海南省国家体育旅游示范区发展规划</w:t>
            </w:r>
            <w:r>
              <w:rPr>
                <w:rFonts w:ascii="仿宋_GB2312" w:hAnsi="仿宋_GB2312" w:cs="仿宋_GB2312" w:eastAsia="仿宋_GB2312"/>
                <w:sz w:val="20"/>
              </w:rPr>
              <w:t>(2020-2025)》、《海南省“十四五”旅游文化广电体育发展规划》等文件要求，近年来，海南通过强化体育旅游赛事引领，全力打造国家体育旅游示范区。</w:t>
            </w:r>
          </w:p>
          <w:p>
            <w:pPr>
              <w:pStyle w:val="null3"/>
              <w:ind w:firstLine="400"/>
              <w:jc w:val="left"/>
            </w:pPr>
            <w:r>
              <w:rPr>
                <w:rFonts w:ascii="仿宋_GB2312" w:hAnsi="仿宋_GB2312" w:cs="仿宋_GB2312" w:eastAsia="仿宋_GB2312"/>
                <w:sz w:val="20"/>
              </w:rPr>
              <w:t>同时为深入贯彻冯飞书记关于</w:t>
            </w:r>
            <w:r>
              <w:rPr>
                <w:rFonts w:ascii="仿宋_GB2312" w:hAnsi="仿宋_GB2312" w:cs="仿宋_GB2312" w:eastAsia="仿宋_GB2312"/>
                <w:sz w:val="20"/>
              </w:rPr>
              <w:t>“开发淡季旅游产品，打造‘清凉城市’”的重要指示，以及省委省政府在经济工作会议上强调的“引客入岛”战略，我院积极响应，计划在2025年下半年推出  2025年海南省青少年田径（U18组）锦标赛。</w:t>
            </w:r>
          </w:p>
          <w:p>
            <w:pPr>
              <w:pStyle w:val="null3"/>
              <w:ind w:firstLine="400"/>
              <w:jc w:val="left"/>
            </w:pPr>
            <w:r>
              <w:rPr>
                <w:rFonts w:ascii="仿宋_GB2312" w:hAnsi="仿宋_GB2312" w:cs="仿宋_GB2312" w:eastAsia="仿宋_GB2312"/>
                <w:sz w:val="20"/>
              </w:rPr>
              <w:t>为确保赛事的专业性、安全性和影响力，现决定通过公开招标的方式，严格筛选并确定一家具备丰富体育赛事运营经验、良好市场口碑及专业执行能力的赛事活动运营管理单位。</w:t>
            </w:r>
          </w:p>
          <w:p>
            <w:pPr>
              <w:pStyle w:val="null3"/>
              <w:jc w:val="left"/>
            </w:pPr>
            <w:r>
              <w:rPr>
                <w:rFonts w:ascii="仿宋_GB2312" w:hAnsi="仿宋_GB2312" w:cs="仿宋_GB2312" w:eastAsia="仿宋_GB2312"/>
                <w:sz w:val="20"/>
              </w:rPr>
              <w:t>二、办赛单位</w:t>
            </w:r>
          </w:p>
          <w:p>
            <w:pPr>
              <w:pStyle w:val="null3"/>
              <w:jc w:val="left"/>
            </w:pPr>
            <w:r>
              <w:rPr>
                <w:rFonts w:ascii="仿宋_GB2312" w:hAnsi="仿宋_GB2312" w:cs="仿宋_GB2312" w:eastAsia="仿宋_GB2312"/>
                <w:sz w:val="20"/>
              </w:rPr>
              <w:t>（一）主办单位</w:t>
            </w:r>
          </w:p>
          <w:p>
            <w:pPr>
              <w:pStyle w:val="null3"/>
              <w:jc w:val="left"/>
            </w:pPr>
            <w:r>
              <w:rPr>
                <w:rFonts w:ascii="仿宋_GB2312" w:hAnsi="仿宋_GB2312" w:cs="仿宋_GB2312" w:eastAsia="仿宋_GB2312"/>
                <w:sz w:val="20"/>
              </w:rPr>
              <w:t>海南省旅游和文化广电体育厅</w:t>
            </w:r>
          </w:p>
          <w:p>
            <w:pPr>
              <w:pStyle w:val="null3"/>
              <w:jc w:val="left"/>
            </w:pPr>
            <w:r>
              <w:rPr>
                <w:rFonts w:ascii="仿宋_GB2312" w:hAnsi="仿宋_GB2312" w:cs="仿宋_GB2312" w:eastAsia="仿宋_GB2312"/>
                <w:sz w:val="20"/>
              </w:rPr>
              <w:t>（二）承办单位</w:t>
            </w:r>
          </w:p>
          <w:p>
            <w:pPr>
              <w:pStyle w:val="null3"/>
              <w:jc w:val="left"/>
            </w:pPr>
            <w:r>
              <w:rPr>
                <w:rFonts w:ascii="仿宋_GB2312" w:hAnsi="仿宋_GB2312" w:cs="仿宋_GB2312" w:eastAsia="仿宋_GB2312"/>
                <w:sz w:val="20"/>
              </w:rPr>
              <w:t>海南体育职业技术学院（海南省训练竞赛管理中心）</w:t>
            </w:r>
          </w:p>
          <w:p>
            <w:pPr>
              <w:pStyle w:val="null3"/>
              <w:jc w:val="left"/>
            </w:pPr>
            <w:r>
              <w:rPr>
                <w:rFonts w:ascii="仿宋_GB2312" w:hAnsi="仿宋_GB2312" w:cs="仿宋_GB2312" w:eastAsia="仿宋_GB2312"/>
                <w:sz w:val="20"/>
              </w:rPr>
              <w:t>（三）协办单位</w:t>
            </w:r>
          </w:p>
          <w:p>
            <w:pPr>
              <w:pStyle w:val="null3"/>
              <w:jc w:val="left"/>
            </w:pPr>
            <w:r>
              <w:rPr>
                <w:rFonts w:ascii="仿宋_GB2312" w:hAnsi="仿宋_GB2312" w:cs="仿宋_GB2312" w:eastAsia="仿宋_GB2312"/>
                <w:sz w:val="20"/>
              </w:rPr>
              <w:t>待定</w:t>
            </w:r>
          </w:p>
          <w:p>
            <w:pPr>
              <w:pStyle w:val="null3"/>
              <w:jc w:val="left"/>
            </w:pPr>
            <w:r>
              <w:rPr>
                <w:rFonts w:ascii="仿宋_GB2312" w:hAnsi="仿宋_GB2312" w:cs="仿宋_GB2312" w:eastAsia="仿宋_GB2312"/>
                <w:sz w:val="20"/>
              </w:rPr>
              <w:t>（四）运营单位</w:t>
            </w:r>
          </w:p>
          <w:p>
            <w:pPr>
              <w:pStyle w:val="null3"/>
              <w:jc w:val="left"/>
            </w:pPr>
            <w:r>
              <w:rPr>
                <w:rFonts w:ascii="仿宋_GB2312" w:hAnsi="仿宋_GB2312" w:cs="仿宋_GB2312" w:eastAsia="仿宋_GB2312"/>
                <w:sz w:val="20"/>
              </w:rPr>
              <w:t>通过公开招标确定</w:t>
            </w:r>
          </w:p>
          <w:p>
            <w:pPr>
              <w:pStyle w:val="null3"/>
              <w:jc w:val="left"/>
            </w:pPr>
            <w:r>
              <w:rPr>
                <w:rFonts w:ascii="仿宋_GB2312" w:hAnsi="仿宋_GB2312" w:cs="仿宋_GB2312" w:eastAsia="仿宋_GB2312"/>
                <w:sz w:val="20"/>
              </w:rPr>
              <w:t>三、项目内容及要求</w:t>
            </w:r>
          </w:p>
          <w:p>
            <w:pPr>
              <w:pStyle w:val="null3"/>
              <w:jc w:val="left"/>
            </w:pPr>
            <w:r>
              <w:rPr>
                <w:rFonts w:ascii="仿宋_GB2312" w:hAnsi="仿宋_GB2312" w:cs="仿宋_GB2312" w:eastAsia="仿宋_GB2312"/>
                <w:sz w:val="20"/>
              </w:rPr>
              <w:t>（一）赛事名称</w:t>
            </w:r>
          </w:p>
          <w:p>
            <w:pPr>
              <w:pStyle w:val="null3"/>
              <w:jc w:val="left"/>
            </w:pPr>
            <w:r>
              <w:rPr>
                <w:rFonts w:ascii="仿宋_GB2312" w:hAnsi="仿宋_GB2312" w:cs="仿宋_GB2312" w:eastAsia="仿宋_GB2312"/>
                <w:sz w:val="20"/>
              </w:rPr>
              <w:t>2025年海南省青少年田径（U18组）锦标赛</w:t>
            </w:r>
          </w:p>
          <w:p>
            <w:pPr>
              <w:pStyle w:val="null3"/>
              <w:jc w:val="left"/>
            </w:pPr>
            <w:r>
              <w:rPr>
                <w:rFonts w:ascii="仿宋_GB2312" w:hAnsi="仿宋_GB2312" w:cs="仿宋_GB2312" w:eastAsia="仿宋_GB2312"/>
                <w:sz w:val="20"/>
              </w:rPr>
              <w:t>（二）活动时间</w:t>
            </w:r>
          </w:p>
          <w:p>
            <w:pPr>
              <w:pStyle w:val="null3"/>
              <w:jc w:val="left"/>
            </w:pPr>
            <w:r>
              <w:rPr>
                <w:rFonts w:ascii="仿宋_GB2312" w:hAnsi="仿宋_GB2312" w:cs="仿宋_GB2312" w:eastAsia="仿宋_GB2312"/>
                <w:sz w:val="20"/>
              </w:rPr>
              <w:t>2025年7月-8月，具体比赛时间另行通知。</w:t>
            </w:r>
          </w:p>
          <w:p>
            <w:pPr>
              <w:pStyle w:val="null3"/>
              <w:jc w:val="left"/>
            </w:pPr>
            <w:r>
              <w:rPr>
                <w:rFonts w:ascii="仿宋_GB2312" w:hAnsi="仿宋_GB2312" w:cs="仿宋_GB2312" w:eastAsia="仿宋_GB2312"/>
                <w:sz w:val="20"/>
              </w:rPr>
              <w:t>（三）活动地点</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海南体育职业技术学院</w:t>
            </w:r>
          </w:p>
          <w:p>
            <w:pPr>
              <w:pStyle w:val="null3"/>
              <w:jc w:val="left"/>
            </w:pPr>
            <w:r>
              <w:rPr>
                <w:rFonts w:ascii="仿宋_GB2312" w:hAnsi="仿宋_GB2312" w:cs="仿宋_GB2312" w:eastAsia="仿宋_GB2312"/>
                <w:sz w:val="20"/>
              </w:rPr>
              <w:t>（四）项目预算</w:t>
            </w:r>
          </w:p>
          <w:p>
            <w:pPr>
              <w:pStyle w:val="null3"/>
              <w:jc w:val="left"/>
            </w:pPr>
            <w:r>
              <w:rPr>
                <w:rFonts w:ascii="仿宋_GB2312" w:hAnsi="仿宋_GB2312" w:cs="仿宋_GB2312" w:eastAsia="仿宋_GB2312"/>
                <w:sz w:val="20"/>
              </w:rPr>
              <w:t>最高</w:t>
            </w:r>
            <w:r>
              <w:rPr>
                <w:rFonts w:ascii="仿宋_GB2312" w:hAnsi="仿宋_GB2312" w:cs="仿宋_GB2312" w:eastAsia="仿宋_GB2312"/>
                <w:sz w:val="20"/>
              </w:rPr>
              <w:t>35万元</w:t>
            </w:r>
          </w:p>
          <w:p>
            <w:pPr>
              <w:pStyle w:val="null3"/>
              <w:jc w:val="left"/>
            </w:pPr>
            <w:r>
              <w:rPr>
                <w:rFonts w:ascii="仿宋_GB2312" w:hAnsi="仿宋_GB2312" w:cs="仿宋_GB2312" w:eastAsia="仿宋_GB2312"/>
                <w:sz w:val="20"/>
              </w:rPr>
              <w:t>（五）参赛人数</w:t>
            </w:r>
          </w:p>
          <w:p>
            <w:pPr>
              <w:pStyle w:val="null3"/>
              <w:jc w:val="left"/>
            </w:pPr>
            <w:r>
              <w:rPr>
                <w:rFonts w:ascii="仿宋_GB2312" w:hAnsi="仿宋_GB2312" w:cs="仿宋_GB2312" w:eastAsia="仿宋_GB2312"/>
                <w:sz w:val="20"/>
              </w:rPr>
              <w:t>参赛人数约</w:t>
            </w:r>
            <w:r>
              <w:rPr>
                <w:rFonts w:ascii="仿宋_GB2312" w:hAnsi="仿宋_GB2312" w:cs="仿宋_GB2312" w:eastAsia="仿宋_GB2312"/>
                <w:sz w:val="20"/>
              </w:rPr>
              <w:t>290人</w:t>
            </w:r>
          </w:p>
          <w:p>
            <w:pPr>
              <w:pStyle w:val="null3"/>
              <w:jc w:val="left"/>
            </w:pPr>
            <w:r>
              <w:rPr>
                <w:rFonts w:ascii="仿宋_GB2312" w:hAnsi="仿宋_GB2312" w:cs="仿宋_GB2312" w:eastAsia="仿宋_GB2312"/>
                <w:sz w:val="20"/>
              </w:rPr>
              <w:t>（六）最高限价</w:t>
            </w:r>
          </w:p>
          <w:p>
            <w:pPr>
              <w:pStyle w:val="null3"/>
              <w:jc w:val="left"/>
            </w:pPr>
            <w:r>
              <w:rPr>
                <w:rFonts w:ascii="仿宋_GB2312" w:hAnsi="仿宋_GB2312" w:cs="仿宋_GB2312" w:eastAsia="仿宋_GB2312"/>
                <w:sz w:val="20"/>
              </w:rPr>
              <w:t>最高限价</w:t>
            </w:r>
            <w:r>
              <w:rPr>
                <w:rFonts w:ascii="仿宋_GB2312" w:hAnsi="仿宋_GB2312" w:cs="仿宋_GB2312" w:eastAsia="仿宋_GB2312"/>
                <w:sz w:val="20"/>
              </w:rPr>
              <w:t>35万元</w:t>
            </w:r>
          </w:p>
          <w:p>
            <w:pPr>
              <w:pStyle w:val="null3"/>
              <w:jc w:val="left"/>
            </w:pPr>
            <w:r>
              <w:rPr>
                <w:rFonts w:ascii="仿宋_GB2312" w:hAnsi="仿宋_GB2312" w:cs="仿宋_GB2312" w:eastAsia="仿宋_GB2312"/>
                <w:sz w:val="20"/>
              </w:rPr>
              <w:t>（七）合同签订方式中标方与海南体育职业技术学院（海南省训练竞赛管理中心）签订采购合同。</w:t>
            </w:r>
          </w:p>
          <w:p>
            <w:pPr>
              <w:pStyle w:val="null3"/>
              <w:jc w:val="left"/>
            </w:pPr>
            <w:r>
              <w:rPr>
                <w:rFonts w:ascii="仿宋_GB2312" w:hAnsi="仿宋_GB2312" w:cs="仿宋_GB2312" w:eastAsia="仿宋_GB2312"/>
                <w:sz w:val="20"/>
              </w:rPr>
              <w:t>四、招标需求</w:t>
            </w:r>
          </w:p>
          <w:p>
            <w:pPr>
              <w:pStyle w:val="null3"/>
              <w:jc w:val="left"/>
            </w:pPr>
            <w:r>
              <w:rPr>
                <w:rFonts w:ascii="仿宋_GB2312" w:hAnsi="仿宋_GB2312" w:cs="仿宋_GB2312" w:eastAsia="仿宋_GB2312"/>
                <w:sz w:val="20"/>
              </w:rPr>
              <w:t>（一）活动策划统筹和组织</w:t>
            </w:r>
          </w:p>
          <w:p>
            <w:pPr>
              <w:pStyle w:val="null3"/>
              <w:jc w:val="left"/>
            </w:pPr>
            <w:r>
              <w:rPr>
                <w:rFonts w:ascii="仿宋_GB2312" w:hAnsi="仿宋_GB2312" w:cs="仿宋_GB2312" w:eastAsia="仿宋_GB2312"/>
                <w:sz w:val="20"/>
              </w:rPr>
              <w:t>1.投标人需成立专项工作组，提供赛事策划及执行方案，组织执行 2025年海南省青少年田径（U18组）锦标赛，保证负责赛事活动的安全有序执行。</w:t>
            </w:r>
          </w:p>
          <w:p>
            <w:pPr>
              <w:pStyle w:val="null3"/>
              <w:jc w:val="left"/>
            </w:pPr>
            <w:r>
              <w:rPr>
                <w:rFonts w:ascii="仿宋_GB2312" w:hAnsi="仿宋_GB2312" w:cs="仿宋_GB2312" w:eastAsia="仿宋_GB2312"/>
                <w:sz w:val="20"/>
              </w:rPr>
              <w:t>2.在满足赛事可执行性的前提下，赛事策划执行方案需设计完整的合理的赛事规程，确保比赛顺利进行，并体现本省的竞赛水平和办赛特色。</w:t>
            </w:r>
          </w:p>
          <w:p>
            <w:pPr>
              <w:pStyle w:val="null3"/>
              <w:jc w:val="left"/>
            </w:pPr>
            <w:r>
              <w:rPr>
                <w:rFonts w:ascii="仿宋_GB2312" w:hAnsi="仿宋_GB2312" w:cs="仿宋_GB2312" w:eastAsia="仿宋_GB2312"/>
                <w:sz w:val="20"/>
              </w:rPr>
              <w:t>3.促进比赛场周边经济消费，如合作赞助商、酒店、特色商品展销区等，吸引参赛者和观众在赛事期间进行消费。</w:t>
            </w:r>
          </w:p>
          <w:p>
            <w:pPr>
              <w:pStyle w:val="null3"/>
              <w:jc w:val="left"/>
            </w:pPr>
            <w:r>
              <w:rPr>
                <w:rFonts w:ascii="仿宋_GB2312" w:hAnsi="仿宋_GB2312" w:cs="仿宋_GB2312" w:eastAsia="仿宋_GB2312"/>
                <w:sz w:val="20"/>
              </w:rPr>
              <w:t>4.对赛事进行合理安排，并按采购要求执行赛事，投标人需提供清晰、简洁的报名流程，确保参赛者可通过线下等多渠道进行报名，同时做好报名信息的保密工作。</w:t>
            </w:r>
          </w:p>
          <w:p>
            <w:pPr>
              <w:pStyle w:val="null3"/>
              <w:jc w:val="left"/>
            </w:pPr>
            <w:r>
              <w:rPr>
                <w:rFonts w:ascii="仿宋_GB2312" w:hAnsi="仿宋_GB2312" w:cs="仿宋_GB2312" w:eastAsia="仿宋_GB2312"/>
                <w:sz w:val="20"/>
              </w:rPr>
              <w:t>5.有效对接主办方和各办赛组委会部门，将比赛筹备工作落实到位。</w:t>
            </w:r>
          </w:p>
          <w:p>
            <w:pPr>
              <w:pStyle w:val="null3"/>
              <w:jc w:val="left"/>
            </w:pPr>
            <w:r>
              <w:rPr>
                <w:rFonts w:ascii="仿宋_GB2312" w:hAnsi="仿宋_GB2312" w:cs="仿宋_GB2312" w:eastAsia="仿宋_GB2312"/>
                <w:sz w:val="20"/>
              </w:rPr>
              <w:t>6.招募赛事相关工作人员：裁判、志愿者、急救人员、安保、网络宣传平台及其他赛事相关工作人员。安排竞赛组织人员用餐及饮用水，安排专人负责后勤保障工作。</w:t>
            </w:r>
          </w:p>
          <w:p>
            <w:pPr>
              <w:pStyle w:val="null3"/>
              <w:jc w:val="left"/>
            </w:pPr>
            <w:r>
              <w:rPr>
                <w:rFonts w:ascii="仿宋_GB2312" w:hAnsi="仿宋_GB2312" w:cs="仿宋_GB2312" w:eastAsia="仿宋_GB2312"/>
                <w:sz w:val="20"/>
              </w:rPr>
              <w:t>7. 拥有丰富的赞助商品牌资源,负责对接主办方推介的赞助商资源，促成赛事赞助。负责落实各项赞助商权益工作，赞助商接待工作。</w:t>
            </w:r>
          </w:p>
          <w:p>
            <w:pPr>
              <w:pStyle w:val="null3"/>
              <w:jc w:val="left"/>
            </w:pPr>
            <w:r>
              <w:rPr>
                <w:rFonts w:ascii="仿宋_GB2312" w:hAnsi="仿宋_GB2312" w:cs="仿宋_GB2312" w:eastAsia="仿宋_GB2312"/>
                <w:sz w:val="20"/>
              </w:rPr>
              <w:t>8.拥有丰富的赛事运营经验，负责赛事整体布局；规划及布置活动现场嘉宾观赛区、竞赛办公区、媒体区、医疗救护区等。</w:t>
            </w:r>
          </w:p>
          <w:p>
            <w:pPr>
              <w:pStyle w:val="null3"/>
              <w:jc w:val="left"/>
            </w:pPr>
            <w:r>
              <w:rPr>
                <w:rFonts w:ascii="仿宋_GB2312" w:hAnsi="仿宋_GB2312" w:cs="仿宋_GB2312" w:eastAsia="仿宋_GB2312"/>
                <w:sz w:val="20"/>
              </w:rPr>
              <w:t>9.按时收集赛事相关材料及数据：比赛技术统计、照片视频等其他相关数据。</w:t>
            </w:r>
          </w:p>
          <w:p>
            <w:pPr>
              <w:pStyle w:val="null3"/>
              <w:jc w:val="left"/>
            </w:pPr>
            <w:r>
              <w:rPr>
                <w:rFonts w:ascii="仿宋_GB2312" w:hAnsi="仿宋_GB2312" w:cs="仿宋_GB2312" w:eastAsia="仿宋_GB2312"/>
                <w:sz w:val="20"/>
              </w:rPr>
              <w:t>10.按照项目比赛规则的标准要求进行比赛场地布置，包含导引指示牌、各类宣传牌等，制定比赛场地布置方案，各类平面布置图、效果图。比赛场地布置方案须经采购人同意后组织实施。</w:t>
            </w:r>
          </w:p>
          <w:p>
            <w:pPr>
              <w:pStyle w:val="null3"/>
              <w:jc w:val="left"/>
            </w:pPr>
            <w:r>
              <w:rPr>
                <w:rFonts w:ascii="仿宋_GB2312" w:hAnsi="仿宋_GB2312" w:cs="仿宋_GB2312" w:eastAsia="仿宋_GB2312"/>
                <w:sz w:val="20"/>
              </w:rPr>
              <w:t>11.负责采购制作赛事相关物资，包含各类比赛器材、执裁器材、各类奖牌、证书、以及主办方应向参赛人员提供的参赛包、参赛号码牌等赛事用品。</w:t>
            </w:r>
          </w:p>
          <w:p>
            <w:pPr>
              <w:pStyle w:val="null3"/>
              <w:jc w:val="left"/>
            </w:pPr>
            <w:r>
              <w:rPr>
                <w:rFonts w:ascii="仿宋_GB2312" w:hAnsi="仿宋_GB2312" w:cs="仿宋_GB2312" w:eastAsia="仿宋_GB2312"/>
                <w:sz w:val="20"/>
              </w:rPr>
              <w:t>12.负责活动前期、举办期间及撤场的各项工作统筹执行。</w:t>
            </w:r>
          </w:p>
          <w:p>
            <w:pPr>
              <w:pStyle w:val="null3"/>
              <w:jc w:val="left"/>
            </w:pPr>
            <w:r>
              <w:rPr>
                <w:rFonts w:ascii="仿宋_GB2312" w:hAnsi="仿宋_GB2312" w:cs="仿宋_GB2312" w:eastAsia="仿宋_GB2312"/>
                <w:sz w:val="20"/>
              </w:rPr>
              <w:t>13.运营团队成员不低于5人。运营团队中应有不少于4人持有田径项目二级以上专业裁判员等专业资质证书。</w:t>
            </w:r>
            <w:r>
              <w:rPr>
                <w:rFonts w:ascii="仿宋_GB2312" w:hAnsi="仿宋_GB2312" w:cs="仿宋_GB2312" w:eastAsia="仿宋_GB2312"/>
                <w:sz w:val="20"/>
              </w:rPr>
              <w:t>（</w:t>
            </w:r>
            <w:r>
              <w:rPr>
                <w:rFonts w:ascii="仿宋_GB2312" w:hAnsi="仿宋_GB2312" w:cs="仿宋_GB2312" w:eastAsia="仿宋_GB2312"/>
                <w:sz w:val="20"/>
              </w:rPr>
              <w:t>可中标后配备相关人员</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14.若接受体育彩票公益金资助，则赛事活动应在赛事活动现场体现“中国体育彩票”LOGO并在显著位置设置展示“中国体育彩票资助”宣传内容，包括但不限于赛事仪式舞台、道旗、背景板、赛事拱门、横幅、路旗、广告牌、资助标牌、赛道指示牌、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left"/>
            </w:pPr>
            <w:r>
              <w:rPr>
                <w:rFonts w:ascii="仿宋_GB2312" w:hAnsi="仿宋_GB2312" w:cs="仿宋_GB2312" w:eastAsia="仿宋_GB2312"/>
                <w:sz w:val="20"/>
              </w:rPr>
              <w:t>15.对赛事热点事件的策划及传播可通过今日头条、抖音、小红书等媒体平台，以及海南日报、南海网等官方媒体进行广泛宣传，吸引线上观众。</w:t>
            </w:r>
          </w:p>
          <w:p>
            <w:pPr>
              <w:pStyle w:val="null3"/>
              <w:jc w:val="left"/>
            </w:pPr>
            <w:r>
              <w:rPr>
                <w:rFonts w:ascii="仿宋_GB2312" w:hAnsi="仿宋_GB2312" w:cs="仿宋_GB2312" w:eastAsia="仿宋_GB2312"/>
                <w:sz w:val="20"/>
              </w:rPr>
              <w:t>16.负责赛事赛后奖品、奖杯及奖牌发放。</w:t>
            </w:r>
          </w:p>
          <w:p>
            <w:pPr>
              <w:pStyle w:val="null3"/>
              <w:jc w:val="left"/>
            </w:pPr>
            <w:r>
              <w:rPr>
                <w:rFonts w:ascii="仿宋_GB2312" w:hAnsi="仿宋_GB2312" w:cs="仿宋_GB2312" w:eastAsia="仿宋_GB2312"/>
                <w:sz w:val="20"/>
              </w:rPr>
              <w:t>17.负责主办方交办的其他事项。</w:t>
            </w:r>
          </w:p>
          <w:p>
            <w:pPr>
              <w:pStyle w:val="null3"/>
              <w:jc w:val="left"/>
            </w:pPr>
            <w:r>
              <w:rPr>
                <w:rFonts w:ascii="仿宋_GB2312" w:hAnsi="仿宋_GB2312" w:cs="仿宋_GB2312" w:eastAsia="仿宋_GB2312"/>
                <w:sz w:val="20"/>
              </w:rPr>
              <w:t>（二）宣传推广</w:t>
            </w:r>
          </w:p>
          <w:p>
            <w:pPr>
              <w:pStyle w:val="null3"/>
              <w:jc w:val="left"/>
            </w:pPr>
            <w:r>
              <w:rPr>
                <w:rFonts w:ascii="仿宋_GB2312" w:hAnsi="仿宋_GB2312" w:cs="仿宋_GB2312" w:eastAsia="仿宋_GB2312"/>
                <w:sz w:val="20"/>
              </w:rPr>
              <w:t>1.宣传报道：围绕赛事特点策划赛事传播主题，拟定赛事宣传方案，策划热点传播事件。邀请不少于1家媒体现场报道，网络、手机端等新媒体报道不少于3篇。</w:t>
            </w:r>
          </w:p>
          <w:p>
            <w:pPr>
              <w:pStyle w:val="null3"/>
              <w:jc w:val="left"/>
            </w:pPr>
            <w:r>
              <w:rPr>
                <w:rFonts w:ascii="仿宋_GB2312" w:hAnsi="仿宋_GB2312" w:cs="仿宋_GB2312" w:eastAsia="仿宋_GB2312"/>
                <w:sz w:val="20"/>
              </w:rPr>
              <w:t>2.拍摄宣传：比赛期间通过视频、图文等形式进行多维度报道，需提供不少于1个航拍机位。</w:t>
            </w:r>
          </w:p>
          <w:p>
            <w:pPr>
              <w:pStyle w:val="null3"/>
              <w:jc w:val="left"/>
            </w:pPr>
            <w:r>
              <w:rPr>
                <w:rFonts w:ascii="仿宋_GB2312" w:hAnsi="仿宋_GB2312" w:cs="仿宋_GB2312" w:eastAsia="仿宋_GB2312"/>
                <w:sz w:val="20"/>
              </w:rPr>
              <w:t>3.网络直播：比赛期间提供网络直播渠道（图片或视频直播）。</w:t>
            </w:r>
          </w:p>
          <w:p>
            <w:pPr>
              <w:pStyle w:val="null3"/>
              <w:jc w:val="left"/>
            </w:pPr>
            <w:r>
              <w:rPr>
                <w:rFonts w:ascii="仿宋_GB2312" w:hAnsi="仿宋_GB2312" w:cs="仿宋_GB2312" w:eastAsia="仿宋_GB2312"/>
                <w:sz w:val="20"/>
              </w:rPr>
              <w:t>五、投标要求</w:t>
            </w:r>
          </w:p>
          <w:p>
            <w:pPr>
              <w:pStyle w:val="null3"/>
              <w:jc w:val="left"/>
            </w:pPr>
            <w:r>
              <w:rPr>
                <w:rFonts w:ascii="仿宋_GB2312" w:hAnsi="仿宋_GB2312" w:cs="仿宋_GB2312" w:eastAsia="仿宋_GB2312"/>
                <w:sz w:val="20"/>
              </w:rPr>
              <w:t>（一）服务方案</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包括总体方案、后勤保障方案、安保方案、医疗保障方案、风险防控和应急预案、媒体宣传方案、宣传舆情监控方案、赛事搭建规划方案、赛事人员分工配置方案等方面的材料。（要求材料具有完整性、合理性、可操作性、竞赛规模等方面）</w:t>
            </w:r>
          </w:p>
          <w:p>
            <w:pPr>
              <w:pStyle w:val="null3"/>
              <w:jc w:val="left"/>
            </w:pPr>
            <w:r>
              <w:rPr>
                <w:rFonts w:ascii="仿宋_GB2312" w:hAnsi="仿宋_GB2312" w:cs="仿宋_GB2312" w:eastAsia="仿宋_GB2312"/>
                <w:sz w:val="20"/>
              </w:rPr>
              <w:t>（二）赛事保障</w:t>
            </w:r>
          </w:p>
          <w:p>
            <w:pPr>
              <w:pStyle w:val="null3"/>
              <w:jc w:val="left"/>
            </w:pPr>
            <w:r>
              <w:rPr>
                <w:rFonts w:ascii="仿宋_GB2312" w:hAnsi="仿宋_GB2312" w:cs="仿宋_GB2312" w:eastAsia="仿宋_GB2312"/>
                <w:sz w:val="20"/>
              </w:rPr>
              <w:t>1.申请单位需承诺为本次比赛购买选手意外身故，猝死保险不低于30万元，赛事组织责任保险不低于100万元。</w:t>
            </w:r>
            <w:r>
              <w:rPr>
                <w:rFonts w:ascii="仿宋_GB2312" w:hAnsi="仿宋_GB2312" w:cs="仿宋_GB2312" w:eastAsia="仿宋_GB2312"/>
              </w:rPr>
              <w:t>（</w:t>
            </w:r>
            <w:r>
              <w:rPr>
                <w:rFonts w:ascii="仿宋_GB2312" w:hAnsi="仿宋_GB2312" w:cs="仿宋_GB2312" w:eastAsia="仿宋_GB2312"/>
              </w:rPr>
              <w:t>提供承诺，格式自拟</w:t>
            </w:r>
            <w:r>
              <w:rPr>
                <w:rFonts w:ascii="仿宋_GB2312" w:hAnsi="仿宋_GB2312" w:cs="仿宋_GB2312" w:eastAsia="仿宋_GB2312"/>
              </w:rPr>
              <w:t>）</w:t>
            </w:r>
          </w:p>
          <w:p>
            <w:pPr>
              <w:pStyle w:val="null3"/>
              <w:jc w:val="left"/>
            </w:pPr>
            <w:r>
              <w:rPr>
                <w:rFonts w:ascii="仿宋_GB2312" w:hAnsi="仿宋_GB2312" w:cs="仿宋_GB2312" w:eastAsia="仿宋_GB2312"/>
                <w:sz w:val="20"/>
              </w:rPr>
              <w:t>2.为保障赛事顺利举办，申请单位应按主办单位要求聘请裁判员和工作人员不少于120名，其中不少于5名该项目国家级裁判员。</w:t>
            </w:r>
            <w:r>
              <w:rPr>
                <w:rFonts w:ascii="仿宋_GB2312" w:hAnsi="仿宋_GB2312" w:cs="仿宋_GB2312" w:eastAsia="仿宋_GB2312"/>
                <w:sz w:val="20"/>
              </w:rPr>
              <w:t>（</w:t>
            </w:r>
            <w:r>
              <w:rPr>
                <w:rFonts w:ascii="仿宋_GB2312" w:hAnsi="仿宋_GB2312" w:cs="仿宋_GB2312" w:eastAsia="仿宋_GB2312"/>
                <w:sz w:val="20"/>
              </w:rPr>
              <w:t>可中标后配备相关人员</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（四）项目实施能力</w:t>
            </w:r>
          </w:p>
          <w:p>
            <w:pPr>
              <w:pStyle w:val="null3"/>
              <w:jc w:val="left"/>
            </w:pPr>
            <w:r>
              <w:rPr>
                <w:rFonts w:ascii="仿宋_GB2312" w:hAnsi="仿宋_GB2312" w:cs="仿宋_GB2312" w:eastAsia="仿宋_GB2312"/>
                <w:sz w:val="20"/>
              </w:rPr>
              <w:t>申请单位承诺有能力补足赛事不足经费以保障赛事顺利进行。</w:t>
            </w:r>
            <w:r>
              <w:rPr>
                <w:rFonts w:ascii="仿宋_GB2312" w:hAnsi="仿宋_GB2312" w:cs="仿宋_GB2312" w:eastAsia="仿宋_GB2312"/>
              </w:rPr>
              <w:t>（</w:t>
            </w:r>
            <w:r>
              <w:rPr>
                <w:rFonts w:ascii="仿宋_GB2312" w:hAnsi="仿宋_GB2312" w:cs="仿宋_GB2312" w:eastAsia="仿宋_GB2312"/>
              </w:rPr>
              <w:t>提供承诺，格式自拟</w:t>
            </w:r>
            <w:r>
              <w:rPr>
                <w:rFonts w:ascii="仿宋_GB2312" w:hAnsi="仿宋_GB2312" w:cs="仿宋_GB2312" w:eastAsia="仿宋_GB2312"/>
              </w:rPr>
              <w:t>）</w:t>
            </w:r>
          </w:p>
          <w:p>
            <w:pPr>
              <w:pStyle w:val="null3"/>
              <w:jc w:val="left"/>
            </w:pPr>
            <w:r>
              <w:rPr>
                <w:rFonts w:ascii="仿宋_GB2312" w:hAnsi="仿宋_GB2312" w:cs="仿宋_GB2312" w:eastAsia="仿宋_GB2312"/>
                <w:sz w:val="20"/>
              </w:rPr>
              <w:t>（五）绩效目标达成承诺书</w:t>
            </w:r>
            <w:r>
              <w:rPr>
                <w:rFonts w:ascii="仿宋_GB2312" w:hAnsi="仿宋_GB2312" w:cs="仿宋_GB2312" w:eastAsia="仿宋_GB2312"/>
              </w:rPr>
              <w:t>（</w:t>
            </w:r>
            <w:r>
              <w:rPr>
                <w:rFonts w:ascii="仿宋_GB2312" w:hAnsi="仿宋_GB2312" w:cs="仿宋_GB2312" w:eastAsia="仿宋_GB2312"/>
              </w:rPr>
              <w:t>提供承诺，格式自拟</w:t>
            </w:r>
            <w:r>
              <w:rPr>
                <w:rFonts w:ascii="仿宋_GB2312" w:hAnsi="仿宋_GB2312" w:cs="仿宋_GB2312" w:eastAsia="仿宋_GB2312"/>
              </w:rPr>
              <w:t>）</w:t>
            </w:r>
          </w:p>
          <w:p>
            <w:pPr>
              <w:pStyle w:val="null3"/>
              <w:jc w:val="left"/>
            </w:pPr>
            <w:r>
              <w:rPr>
                <w:rFonts w:ascii="仿宋_GB2312" w:hAnsi="仿宋_GB2312" w:cs="仿宋_GB2312" w:eastAsia="仿宋_GB2312"/>
                <w:sz w:val="20"/>
              </w:rPr>
              <w:t>（六）投标人以完成赛事目标为准，负责对接落实赛事举办场地，场地需满足赛事策划方案的具体要求，搭建符合要求的比赛场景。中标人需承担包含竞赛设备租赁，赛事搭建，赛事宣传，赛事装备，配速员招募，医师跑者招募，裁判员聘请等与赛事举办有关的成本费用（包括但不限于人员成本、耗材成本、设施设备维护保养等）。</w:t>
            </w:r>
          </w:p>
          <w:p>
            <w:pPr>
              <w:pStyle w:val="null3"/>
              <w:jc w:val="left"/>
            </w:pPr>
            <w:r>
              <w:rPr>
                <w:rFonts w:ascii="仿宋_GB2312" w:hAnsi="仿宋_GB2312" w:cs="仿宋_GB2312" w:eastAsia="仿宋_GB2312"/>
                <w:sz w:val="20"/>
              </w:rPr>
              <w:t>（七）安全责任：中标人承担运行赛事举办过程中的安全责任，并承担由此产生的一切费用，甲方不承担任何连带责任。</w:t>
            </w:r>
          </w:p>
          <w:p>
            <w:pPr>
              <w:pStyle w:val="null3"/>
              <w:jc w:val="left"/>
            </w:pPr>
            <w:r>
              <w:rPr>
                <w:rFonts w:ascii="仿宋_GB2312" w:hAnsi="仿宋_GB2312" w:cs="仿宋_GB2312" w:eastAsia="仿宋_GB2312"/>
                <w:sz w:val="20"/>
              </w:rPr>
              <w:t>（八）中标人需确保赛事活动举办过程中涉及相关场地（其中开幕式、闭幕式场地需确保能容纳不少于</w:t>
            </w:r>
            <w:r>
              <w:rPr>
                <w:rFonts w:ascii="仿宋_GB2312" w:hAnsi="仿宋_GB2312" w:cs="仿宋_GB2312" w:eastAsia="仿宋_GB2312"/>
                <w:sz w:val="20"/>
              </w:rPr>
              <w:t>1000人集合）、器材、技术工具等功能完好，能保障赛事活动期间正常顺利使用，涉及费用由中标人承担。</w:t>
            </w:r>
          </w:p>
          <w:p>
            <w:pPr>
              <w:pStyle w:val="null3"/>
              <w:jc w:val="left"/>
            </w:pPr>
            <w:r>
              <w:rPr>
                <w:rFonts w:ascii="仿宋_GB2312" w:hAnsi="仿宋_GB2312" w:cs="仿宋_GB2312" w:eastAsia="仿宋_GB2312"/>
                <w:sz w:val="20"/>
              </w:rPr>
              <w:t>（九）中标人应在签订合同后</w:t>
            </w:r>
            <w:r>
              <w:rPr>
                <w:rFonts w:ascii="仿宋_GB2312" w:hAnsi="仿宋_GB2312" w:cs="仿宋_GB2312" w:eastAsia="仿宋_GB2312"/>
                <w:sz w:val="20"/>
              </w:rPr>
              <w:t>7天内完成项目管理团队配备及相关准备工作，具体时间以招标人要求时间为准。</w:t>
            </w:r>
          </w:p>
          <w:p>
            <w:pPr>
              <w:pStyle w:val="null3"/>
              <w:jc w:val="left"/>
            </w:pPr>
            <w:r>
              <w:rPr>
                <w:rFonts w:ascii="仿宋_GB2312" w:hAnsi="仿宋_GB2312" w:cs="仿宋_GB2312" w:eastAsia="仿宋_GB2312"/>
                <w:sz w:val="20"/>
              </w:rPr>
              <w:t>（十）中标人不得将赛事活动相关权益委托、转包给第三方。</w:t>
            </w:r>
          </w:p>
          <w:p>
            <w:pPr>
              <w:pStyle w:val="null3"/>
              <w:jc w:val="left"/>
            </w:pPr>
            <w:r>
              <w:rPr>
                <w:rFonts w:ascii="仿宋_GB2312" w:hAnsi="仿宋_GB2312" w:cs="仿宋_GB2312" w:eastAsia="仿宋_GB2312"/>
                <w:sz w:val="20"/>
              </w:rPr>
              <w:t>六、其它服务内容及需求</w:t>
            </w:r>
          </w:p>
          <w:p>
            <w:pPr>
              <w:pStyle w:val="null3"/>
              <w:jc w:val="left"/>
            </w:pPr>
            <w:r>
              <w:rPr>
                <w:rFonts w:ascii="仿宋_GB2312" w:hAnsi="仿宋_GB2312" w:cs="仿宋_GB2312" w:eastAsia="仿宋_GB2312"/>
                <w:sz w:val="20"/>
              </w:rPr>
              <w:t>（一）投标人应严格按照已确认的服务方案和工作流程提供服务，无条件地接受采购人对其工作质量的监督检查。</w:t>
            </w:r>
          </w:p>
          <w:p>
            <w:pPr>
              <w:pStyle w:val="null3"/>
              <w:jc w:val="left"/>
            </w:pPr>
            <w:r>
              <w:rPr>
                <w:rFonts w:ascii="仿宋_GB2312" w:hAnsi="仿宋_GB2312" w:cs="仿宋_GB2312" w:eastAsia="仿宋_GB2312"/>
                <w:sz w:val="20"/>
              </w:rPr>
              <w:t>（二）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left"/>
            </w:pPr>
            <w:r>
              <w:rPr>
                <w:rFonts w:ascii="仿宋_GB2312" w:hAnsi="仿宋_GB2312" w:cs="仿宋_GB2312" w:eastAsia="仿宋_GB2312"/>
                <w:sz w:val="20"/>
              </w:rPr>
              <w:t>（三）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left"/>
            </w:pPr>
            <w:r>
              <w:rPr>
                <w:rFonts w:ascii="仿宋_GB2312" w:hAnsi="仿宋_GB2312" w:cs="仿宋_GB2312" w:eastAsia="仿宋_GB2312"/>
                <w:sz w:val="20"/>
              </w:rPr>
              <w:t>七、赛事活动费用</w:t>
            </w:r>
          </w:p>
          <w:p>
            <w:pPr>
              <w:pStyle w:val="null3"/>
              <w:jc w:val="left"/>
            </w:pPr>
            <w:r>
              <w:rPr>
                <w:rFonts w:ascii="仿宋_GB2312" w:hAnsi="仿宋_GB2312" w:cs="仿宋_GB2312" w:eastAsia="仿宋_GB2312"/>
                <w:sz w:val="20"/>
              </w:rPr>
              <w:t>本次赛事活动经费</w:t>
            </w:r>
            <w:r>
              <w:rPr>
                <w:rFonts w:ascii="仿宋_GB2312" w:hAnsi="仿宋_GB2312" w:cs="仿宋_GB2312" w:eastAsia="仿宋_GB2312"/>
                <w:sz w:val="20"/>
              </w:rPr>
              <w:t>35万元由政府支持，主要用于招标代理费、赛事保险、赛事宣传、背景板、赛事所需物料、裁判员和工作人员的食宿与后勤保障、比赛设备租赁、奖牌证书、以及赛事人员劳务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left"/>
            </w:pPr>
            <w:r>
              <w:rPr>
                <w:rFonts w:ascii="仿宋_GB2312" w:hAnsi="仿宋_GB2312" w:cs="仿宋_GB2312" w:eastAsia="仿宋_GB2312"/>
                <w:sz w:val="20"/>
              </w:rPr>
              <w:t>八、付款方式</w:t>
            </w:r>
          </w:p>
          <w:p>
            <w:pPr>
              <w:pStyle w:val="null3"/>
              <w:jc w:val="left"/>
            </w:pPr>
            <w:r>
              <w:rPr>
                <w:rFonts w:ascii="仿宋_GB2312" w:hAnsi="仿宋_GB2312" w:cs="仿宋_GB2312" w:eastAsia="仿宋_GB2312"/>
                <w:sz w:val="20"/>
              </w:rPr>
              <w:t>合同签订后凭中标人出具的有效发票支付合同金额的</w:t>
            </w:r>
            <w:r>
              <w:rPr>
                <w:rFonts w:ascii="仿宋_GB2312" w:hAnsi="仿宋_GB2312" w:cs="仿宋_GB2312" w:eastAsia="仿宋_GB2312"/>
                <w:sz w:val="20"/>
              </w:rPr>
              <w:t>50%，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pPr>
              <w:pStyle w:val="null3"/>
              <w:jc w:val="left"/>
            </w:pPr>
            <w:r>
              <w:rPr>
                <w:rFonts w:ascii="仿宋_GB2312" w:hAnsi="仿宋_GB2312" w:cs="仿宋_GB2312" w:eastAsia="仿宋_GB2312"/>
                <w:sz w:val="20"/>
              </w:rPr>
              <w:t>九、其他要求</w:t>
            </w:r>
          </w:p>
          <w:p>
            <w:pPr>
              <w:pStyle w:val="null3"/>
              <w:jc w:val="left"/>
            </w:pPr>
            <w:r>
              <w:rPr>
                <w:rFonts w:ascii="仿宋_GB2312" w:hAnsi="仿宋_GB2312" w:cs="仿宋_GB2312" w:eastAsia="仿宋_GB2312"/>
                <w:sz w:val="20"/>
              </w:rPr>
              <w:t>（一）投标人需提供针对本项目的需求理解分析及合理化建议。</w:t>
            </w:r>
          </w:p>
          <w:p>
            <w:pPr>
              <w:pStyle w:val="null3"/>
              <w:jc w:val="left"/>
            </w:pPr>
            <w:r>
              <w:rPr>
                <w:rFonts w:ascii="仿宋_GB2312" w:hAnsi="仿宋_GB2312" w:cs="仿宋_GB2312" w:eastAsia="仿宋_GB2312"/>
                <w:sz w:val="20"/>
              </w:rPr>
              <w:t>（二）投标人需提供实施方案，包含工作目标、工作计划及协调工作。</w:t>
            </w:r>
          </w:p>
          <w:p>
            <w:pPr>
              <w:pStyle w:val="null3"/>
              <w:jc w:val="left"/>
            </w:pPr>
            <w:r>
              <w:rPr>
                <w:rFonts w:ascii="仿宋_GB2312" w:hAnsi="仿宋_GB2312" w:cs="仿宋_GB2312" w:eastAsia="仿宋_GB2312"/>
                <w:sz w:val="20"/>
              </w:rPr>
              <w:t>（三）针对本项目提供应急响应预案、应急响应时间。</w:t>
            </w:r>
          </w:p>
          <w:p>
            <w:pPr>
              <w:pStyle w:val="null3"/>
              <w:jc w:val="left"/>
            </w:pPr>
            <w:r>
              <w:rPr>
                <w:rFonts w:ascii="仿宋_GB2312" w:hAnsi="仿宋_GB2312" w:cs="仿宋_GB2312" w:eastAsia="仿宋_GB2312"/>
                <w:sz w:val="20"/>
              </w:rPr>
              <w:t>（四）赞助事项要求等。（对赞助金额、赞助物品设置科学合理要求，符合赛事级别和赛事所需）</w:t>
            </w:r>
          </w:p>
          <w:p>
            <w:pPr>
              <w:pStyle w:val="null3"/>
              <w:jc w:val="left"/>
            </w:pPr>
            <w:r>
              <w:rPr>
                <w:rFonts w:ascii="仿宋_GB2312" w:hAnsi="仿宋_GB2312" w:cs="仿宋_GB2312" w:eastAsia="仿宋_GB2312"/>
                <w:sz w:val="20"/>
              </w:rPr>
              <w:t>（五）项目执行中，采购人可根据项目的实际情况对部分服务内容进行调整。项目执行中，成交供应商如确有需要对项目计划实施内容进行调整，应得到采购人同意，并向采购人提供包括活动详细策划与各阶段活动组织实施方案及活动预算等，具体由双方协商。</w:t>
            </w:r>
          </w:p>
          <w:p>
            <w:pPr>
              <w:pStyle w:val="null3"/>
              <w:jc w:val="left"/>
            </w:pPr>
            <w:r>
              <w:rPr>
                <w:rFonts w:ascii="仿宋_GB2312" w:hAnsi="仿宋_GB2312" w:cs="仿宋_GB2312" w:eastAsia="仿宋_GB2312"/>
                <w:sz w:val="20"/>
              </w:rPr>
              <w:t>（六）成交供应商要保持同采购人的密切联系，遇有重大事项及时报告和反馈信息，尊重采购人的意见，接受采购人的提议、监督和指导。、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0"/>
              </w:rPr>
              <w:t>（七）赛事完成后</w:t>
            </w:r>
            <w:r>
              <w:rPr>
                <w:rFonts w:ascii="仿宋_GB2312" w:hAnsi="仿宋_GB2312" w:cs="仿宋_GB2312" w:eastAsia="仿宋_GB2312"/>
                <w:sz w:val="20"/>
              </w:rPr>
              <w:t>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；（2）秩序册、成绩册（一式两份原件，纸质版和电子版）；（3）赛事期间的图片和视频两套（优盘）；（4）赛事总结（纸质版和电子版）；（5）赛事物料验收单（纸质版和电子版）。</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服务期：签订合同之日起至委托业务结束之日止（具体以合同签订为准）。</w:t>
            </w:r>
          </w:p>
          <w:p>
            <w:pPr>
              <w:pStyle w:val="null3"/>
              <w:jc w:val="both"/>
            </w:pPr>
            <w:r>
              <w:rPr>
                <w:rFonts w:ascii="仿宋_GB2312" w:hAnsi="仿宋_GB2312" w:cs="仿宋_GB2312" w:eastAsia="仿宋_GB2312"/>
                <w:sz w:val="21"/>
              </w:rPr>
              <w:t>验收：赛事活动结束后，中标人发起正式书面验收申请，并委托第三方机构按照履约验收相关规定及合同约定内容组织实施验收，委托第三方机构履约验收费用由中标人支付。中标人须提供赛事活动总结、宣传证明材料、有效发票、赛事服务内容及数量的佐证材料等，采购人收到供应商项目验收申请之日起</w:t>
            </w:r>
            <w:r>
              <w:rPr>
                <w:rFonts w:ascii="仿宋_GB2312" w:hAnsi="仿宋_GB2312" w:cs="仿宋_GB2312" w:eastAsia="仿宋_GB2312"/>
                <w:sz w:val="21"/>
              </w:rPr>
              <w:t>7日内按照合同的约定对履约情况进行验收，对每一项技术、服务、安全标准的履约情况进行确认。验收合格后,予以支付尾款。</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服务期：签订合同之日起至委托业务结束之日止（具体以合同签订为准）。</w:t>
            </w:r>
          </w:p>
          <w:p>
            <w:pPr>
              <w:pStyle w:val="null3"/>
              <w:jc w:val="both"/>
            </w:pPr>
            <w:r>
              <w:rPr>
                <w:rFonts w:ascii="仿宋_GB2312" w:hAnsi="仿宋_GB2312" w:cs="仿宋_GB2312" w:eastAsia="仿宋_GB2312"/>
                <w:sz w:val="21"/>
              </w:rPr>
              <w:t>验收：赛事活动结束后，中标人发起正式书面验收申请，并委托第三方机构按照履约验收相关规定及合同约定内容组织实施验收，委托第三方机构履约验收费用由中标人支付。中标人须提供赛事活动总结、宣传证明材料、有效发票、赛事服务内容及数量的佐证材料等，采购人收到供应商项目验收申请之日起</w:t>
            </w:r>
            <w:r>
              <w:rPr>
                <w:rFonts w:ascii="仿宋_GB2312" w:hAnsi="仿宋_GB2312" w:cs="仿宋_GB2312" w:eastAsia="仿宋_GB2312"/>
                <w:sz w:val="21"/>
              </w:rPr>
              <w:t>7日内按照合同的约定对履约情况进行验收，对每一项技术、服务、安全标准的履约情况进行确认。验收合格后,予以支付尾款。</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符合法律、行政法规规定的声明函 投标人承诺函 投标函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符合法律、行政法规规定的声明函 具有独立承担民事责任的能力证明文件 投标人承诺函 其他材料 投标函 残疾人福利性单位声明函 供应商应提交的相关证明材料 无不良信用记录承诺函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1、总体实施方案完全涵盖以上内容、且高于项目采购需求、科学合理、可操作性强，赛事组织工作科学安全，环节设置顺畅合理，符合赛事相关标准的得19分； 2、总体实施方案能够满足项目采购需求、具有可操作性强，赛事组织工作及环节设置能够保证赛事顺利举办，符合赛事相关标准的得14分； 3、总体实施方案基本满足项目采购需求、可操作一般，赛事组织工作及环节设置能够保证赛事举办，基本符合赛事相关标准的得10分； 4、方案虽然存在缺陷，但具有一定的可实施性的得7分； 5、方案存在严重缺陷，不能够满足采购需求，或者不提供的得0分。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根据投标人编制的后勤保障方案进行综合评审，内容包括但不限于：基础服务保障、安全与秩序维护、设施与物资管理、人员管理与服务、其他专项服务等。 1、后勤保障方案完全涵盖以上内容、且高于项目采购需求，方案科学合理，可操作性强，符合赛事特点，能够保证赛事顺利举办的得9分； 2、后勤保障方案能够满足项目采购需求、较科学合理，可操作性较强，较符合赛事特点的得7分； 3、后勤保障方案基本满足项目采购需求、基本符合赛事特点，方案可操作性一般，基本够保证赛事举办的得5分； 4、方案虽然存在缺陷，但具有一定的可实施性的得3分； 5、方案存在严重缺陷，不能够满足采购需求，或者不提供的得0分。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2、活动应急预案基本内容完整，具有可操作的处置流程，可实施的应对方法的得5分；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2、安全保卫方案及对应措施一般，职责划分基本清晰，具有基本的物资、人力配置的得5分；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2、活动运营团队组织管理机构设置基本完整全面，分工合理，人员配置能够满足采购需求的得5分；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赛事搭建规划方案</w:t>
            </w:r>
          </w:p>
        </w:tc>
        <w:tc>
          <w:tcPr>
            <w:tcW w:type="dxa" w:w="2492"/>
          </w:tcPr>
          <w:p>
            <w:pPr>
              <w:pStyle w:val="null3"/>
              <w:jc w:val="both"/>
            </w:pPr>
            <w:r>
              <w:rPr>
                <w:rFonts w:ascii="仿宋_GB2312" w:hAnsi="仿宋_GB2312" w:cs="仿宋_GB2312" w:eastAsia="仿宋_GB2312"/>
              </w:rPr>
              <w:t>根据投标人对该赛事搭建规划方案进行综合评审，包含但不限于：场地搭建规划、赛事目标与主题、技术支持与平台建设等。 1、方案完全涵盖以上内容、且高于项目采购需求，搭建规划科学合理，可操作性强，符合赛事特点，能够保证赛事顺利举办的得5分； 2、方案基本涵盖以上内容能满足项目采购需求、较科学合理，可操作性较强，较符合赛事特点的得3分； 3、方案虽然存在缺陷，但具有一定的可实施性的得1分； 4、方案存在严重缺陷，不能够满足采购需求，或者不提供的得0分。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2022年1月1日以来（以合同签订时间为准），投标人有体育赛事或者活动合同业绩的每份得2.5分，最多得10分。 证明材料：投标文件中须提供合同关键页复印件（包括但不限于合同名称页、合同主要内容页、合同签订日期页、合同双方签字盖章页），并加盖投标人公章，否则不得分。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1、总体实施方案完全涵盖以上内容、且高于项目采购需求、科学合理、可操作性强，赛事组织工作科学安全，环节设置顺畅合理，符合赛事相关标准的得19分； 2、总体实施方案能够满足项目采购需求、具有可操作性强，赛事组织工作及环节设置能够保证赛事顺利举办，符合赛事相关标准的得14分； 3、总体实施方案基本满足项目采购需求、可操作一般，赛事组织工作及环节设置能够保证赛事举办，基本符合赛事相关标准的得10分； 4、方案虽然存在缺陷，但具有一定的可实施性的得7分； 5、方案存在严重缺陷，不能够满足采购需求，或者不提供的得0分。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根据投标人编制的后勤保障方案进行综合评审，内容包括但不限于：基础服务保障、安全与秩序维护、设施与物资管理、人员管理与服务、其他专项服务等。 1、后勤保障方案完全涵盖以上内容、且高于项目采购需求，方案科学合理，可操作性强，符合赛事特点，能够保证赛事顺利举办的得9分； 2、后勤保障方案能够满足项目采购需求、较科学合理，可操作性较强，较符合赛事特点的得7分； 3、后勤保障方案基本满足项目采购需求、基本符合赛事特点，方案可操作性一般，基本够保证赛事举办的得5分； 4、方案虽然存在缺陷，但具有一定的可实施性的得3分； 5、方案存在严重缺陷，不能够满足采购需求，或者不提供的得0分。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2、活动应急预案基本内容完整，具有可操作的处置流程，可实施的应对方法的得5分；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2、安全保卫方案及对应措施一般，职责划分基本清晰，具有基本的物资、人力配置的得5分；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2、活动运营团队组织管理机构设置基本完整全面，分工合理，人员配置能够满足采购需求的得5分；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赛事搭建规划方案</w:t>
            </w:r>
          </w:p>
        </w:tc>
        <w:tc>
          <w:tcPr>
            <w:tcW w:type="dxa" w:w="2492"/>
          </w:tcPr>
          <w:p>
            <w:pPr>
              <w:pStyle w:val="null3"/>
              <w:jc w:val="both"/>
            </w:pPr>
            <w:r>
              <w:rPr>
                <w:rFonts w:ascii="仿宋_GB2312" w:hAnsi="仿宋_GB2312" w:cs="仿宋_GB2312" w:eastAsia="仿宋_GB2312"/>
              </w:rPr>
              <w:t>根据投标人对该赛事搭建规划方案进行综合评审，包含但不限于：场地搭建规划、赛事目标与主题、技术支持与平台建设等。 1、方案完全涵盖以上内容、且高于项目采购需求，搭建规划科学合理，可操作性强，符合赛事特点，能够保证赛事顺利举办的得5分； 2、方案基本涵盖以上内容能满足项目采购需求、较科学合理，可操作性较强，较符合赛事特点的得3分； 3、方案虽然存在缺陷，但具有一定的可实施性的得1分； 4、方案存在严重缺陷，不能够满足采购需求，或者不提供的得0分。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2022年1月1日以来（以合同签订时间为准），投标人有体育赛事或者活动合同业绩的每份得2.5分，最多得10分。 证明材料：投标文件中须提供合同关键页复印件（包括但不限于合同名称页、合同主要内容页、合同签订日期页、合同双方签字盖章页），并加盖投标人公章，否则不得分。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详见附件：采购合同【模版】-举办四项2025年体育赛事活动项目.docx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[HNHS]20250500001[GK]-1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举办四项2025年体育赛事活动项目(二次)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2025年海南坐标·热带雨林国家公园定向越野挑战赛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C06040100-体育组织服务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650000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[HNHS]20250500001[GK]-1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举办四项2025年体育赛事活动项目(二次)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2025年海南省青少年田径（U18组）锦标赛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C06040100-体育组织服务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