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新药筛选及评价平台设备购置第七批(二次)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HD2025-1-020R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新药筛选及评价平台设备购置第七批(二次)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HD2025-1-020R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新药筛选及评价平台设备购置第七批(二次)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5,182,515.00元</w:t>
      </w:r>
      <w:r>
        <w:rPr>
          <w:rFonts w:ascii="仿宋_GB2312" w:hAnsi="仿宋_GB2312" w:cs="仿宋_GB2312" w:eastAsia="仿宋_GB2312"/>
        </w:rPr>
        <w:t>伍佰壹拾捌万贰仟伍佰壹拾伍元整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 智慧云技术支持电话：4001691288。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郭工、何工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采购包1：5,182,515.00元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采购包1保证金金额：25,000.00元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开户行名称：海南省教学仪器设备招标中心有限公司</w:t>
            </w:r>
          </w:p>
          <w:p>
            <w:pPr>
              <w:pStyle w:val="null3"/>
              <w:jc w:val="left"/>
            </w:pPr>
            <w:r>
              <w:rPr>
                <w:rFonts w:ascii="仿宋_GB2312" w:hAnsi="仿宋_GB2312" w:cs="仿宋_GB2312" w:eastAsia="仿宋_GB2312"/>
              </w:rPr>
              <w:t>开户银行：建设银行海口国兴大道支行</w:t>
            </w:r>
          </w:p>
          <w:p>
            <w:pPr>
              <w:pStyle w:val="null3"/>
              <w:jc w:val="left"/>
            </w:pPr>
            <w:r>
              <w:rPr>
                <w:rFonts w:ascii="仿宋_GB2312" w:hAnsi="仿宋_GB2312" w:cs="仿宋_GB2312" w:eastAsia="仿宋_GB2312"/>
              </w:rPr>
              <w:t>银行账号：46001002537052500288</w:t>
            </w:r>
          </w:p>
          <w:p>
            <w:pPr>
              <w:pStyle w:val="null3"/>
              <w:jc w:val="left"/>
            </w:pPr>
            <w:r>
              <w:rPr>
                <w:rFonts w:ascii="仿宋_GB2312" w:hAnsi="仿宋_GB2312" w:cs="仿宋_GB2312" w:eastAsia="仿宋_GB2312"/>
              </w:rPr>
              <w:t>汇票、本票提取方式：非现金方式提交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号”之规定的50%支付。中标供应商应在中标公告发布之日起3个工作日内，向招标代理机构缴纳招标代理服务费。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预付款：本项目在合同生效后，乙方向甲方提供有效期至少涵盖本合同指定到货时间点的预付款等额银行保函或者保险保函后，甲方应在5个工作日内向乙方支付合同总金额的70 %的预付款； 合同：以上传的附件合同模为准。 如投标人在非开标现场上传的电子标书的IP地址相同，则IP地址相同的投标按无效标处理。 16.1述标和/或产（样）品演（展）示：有 16.2采购需求：（1）采购需求中未列明偏差的除特殊订制类货物以外，列明的尺寸、重量及体积允许±5%偏差。（需求中技术参数已有要求的除外）（2）采购标的物需按照国家相关标准、行业标准、地方标准或者其他标准、规范执行。 16.3是否允许选择性报价：不接受选择性报价 16.4本项目所属行业：根据《统计上大中小微型企业划分办法（2017）》，本项目所属行业为工业。 16.5充分、公平竞争保障措施：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（3）注:带“★”条款为实质性条款，必须完全响应，不允许负偏离，否则作无效响应处理。带“▲”表示重要参数，负偏离扣分。 16.6 （一）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（二）本项目中要求提供的有关证书、文件等证明材料均以扫描件加盖公章为准，如涉及的证书、证件正在办理延期、换证、变更和年审等无法提供的，应提供相关部门办理事项的证明材料。 （三）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具体代理进口服务费率见合同。备注：代理进口服务费应当包含在投标人所投进口产品货物报价中，投标人应当充分考虑报价。采购人后续不承担任何费用。（四）中标人如有违背下列情形之一的，责令限期改正，情节严重的，列入不良行为记录名单，在1至3年内禁止参加采购活动并承担法律责任和违约责任： （1）成交（中标）后无正当理由不与采购人签订合同的，不履行招标项目合同，承担法律责任和违约责任，包括承担诉讼费、律师费、顺延标价差额、误工损失等；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（五）招标文件中所有的技术参数及其性能（配置）仅起参考作用，目的是为了满足采购人工作的基本要求，投标产品满足（实质相当于）或优于招标文件的采购需求均可。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六）安全标准：符合国家、地方和行业的相关政策、法规。除招标文件另有规定外，若出现有关法律、法规和规章有强制性规定但招标文件未列明的情形，则投标人应按照有关法律、法规和规章强制性规定执行。 （七）本项目的质保期从设备验收合格之日起计算。（采购需求中免费保修期有特殊要求的按照采购需求中的为准。若厂家有超过期限免费保修期的按厂家方案执行。） （八） 除招标文件明确外，未经业主同意，中标供应商不得以任何方式转包或分包本项目。</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地址：海南省海口市蓝天路2-8号</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HD2025-1-020R</w:t>
      </w:r>
    </w:p>
    <w:p>
      <w:pPr>
        <w:pStyle w:val="null3"/>
        <w:jc w:val="both"/>
      </w:pPr>
      <w:r>
        <w:rPr>
          <w:rFonts w:ascii="仿宋_GB2312" w:hAnsi="仿宋_GB2312" w:cs="仿宋_GB2312" w:eastAsia="仿宋_GB2312"/>
          <w:sz w:val="21"/>
        </w:rPr>
        <w:t>2.项目名称：</w:t>
      </w:r>
      <w:r>
        <w:rPr>
          <w:rFonts w:ascii="仿宋_GB2312" w:hAnsi="仿宋_GB2312" w:cs="仿宋_GB2312" w:eastAsia="仿宋_GB2312"/>
          <w:sz w:val="21"/>
        </w:rPr>
        <w:t>新药筛选及评价平台设备购置第七批(二次)</w:t>
      </w:r>
    </w:p>
    <w:p>
      <w:pPr>
        <w:pStyle w:val="null3"/>
        <w:jc w:val="both"/>
      </w:pPr>
      <w:r>
        <w:rPr>
          <w:rFonts w:ascii="仿宋_GB2312" w:hAnsi="仿宋_GB2312" w:cs="仿宋_GB2312" w:eastAsia="仿宋_GB2312"/>
          <w:sz w:val="21"/>
        </w:rPr>
        <w:t>3.预算金额：</w:t>
      </w:r>
      <w:r>
        <w:rPr>
          <w:rFonts w:ascii="仿宋_GB2312" w:hAnsi="仿宋_GB2312" w:cs="仿宋_GB2312" w:eastAsia="仿宋_GB2312"/>
          <w:sz w:val="21"/>
        </w:rPr>
        <w:t>C包：</w:t>
      </w:r>
      <w:r>
        <w:rPr>
          <w:rFonts w:ascii="仿宋_GB2312" w:hAnsi="仿宋_GB2312" w:cs="仿宋_GB2312" w:eastAsia="仿宋_GB2312"/>
          <w:sz w:val="21"/>
        </w:rPr>
        <w:t>518.2515</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C包：</w:t>
      </w:r>
      <w:r>
        <w:rPr>
          <w:rFonts w:ascii="仿宋_GB2312" w:hAnsi="仿宋_GB2312" w:cs="仿宋_GB2312" w:eastAsia="仿宋_GB2312"/>
          <w:sz w:val="21"/>
        </w:rPr>
        <w:t>518.2515</w:t>
      </w:r>
      <w:r>
        <w:rPr>
          <w:rFonts w:ascii="仿宋_GB2312" w:hAnsi="仿宋_GB2312" w:cs="仿宋_GB2312" w:eastAsia="仿宋_GB2312"/>
          <w:sz w:val="21"/>
        </w:rPr>
        <w:t>万元。（报价超过最高限价，按无效响应文件处理）</w:t>
      </w:r>
    </w:p>
    <w:p>
      <w:pPr>
        <w:pStyle w:val="null3"/>
        <w:jc w:val="both"/>
      </w:pPr>
      <w:r>
        <w:rPr>
          <w:rFonts w:ascii="仿宋_GB2312" w:hAnsi="仿宋_GB2312" w:cs="仿宋_GB2312" w:eastAsia="仿宋_GB2312"/>
          <w:sz w:val="21"/>
        </w:rPr>
        <w:t>5.交货期：</w:t>
      </w:r>
    </w:p>
    <w:p>
      <w:pPr>
        <w:pStyle w:val="null3"/>
        <w:jc w:val="both"/>
      </w:pPr>
      <w:r>
        <w:rPr>
          <w:rFonts w:ascii="仿宋_GB2312" w:hAnsi="仿宋_GB2312" w:cs="仿宋_GB2312" w:eastAsia="仿宋_GB2312"/>
          <w:sz w:val="21"/>
        </w:rPr>
        <w:t>C包：合同签订后</w:t>
      </w:r>
      <w:r>
        <w:rPr>
          <w:rFonts w:ascii="仿宋_GB2312" w:hAnsi="仿宋_GB2312" w:cs="仿宋_GB2312" w:eastAsia="仿宋_GB2312"/>
          <w:sz w:val="21"/>
        </w:rPr>
        <w:t>30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各包项目概况（采购标的）核心产品：</w:t>
      </w:r>
    </w:p>
    <w:p>
      <w:pPr>
        <w:pStyle w:val="null3"/>
        <w:jc w:val="center"/>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C包</w:t>
      </w:r>
    </w:p>
    <w:tbl>
      <w:tblPr>
        <w:tblW w:w="0" w:type="auto"/>
        <w:tblBorders>
          <w:top w:val="none" w:color="000000" w:sz="4"/>
          <w:left w:val="none" w:color="000000" w:sz="4"/>
          <w:bottom w:val="none" w:color="000000" w:sz="4"/>
          <w:right w:val="none" w:color="000000" w:sz="4"/>
          <w:insideH w:val="none"/>
          <w:insideV w:val="none"/>
        </w:tblBorders>
      </w:tblPr>
      <w:tblGrid>
        <w:gridCol w:w="589"/>
        <w:gridCol w:w="1694"/>
        <w:gridCol w:w="589"/>
        <w:gridCol w:w="589"/>
        <w:gridCol w:w="1237"/>
        <w:gridCol w:w="1237"/>
        <w:gridCol w:w="781"/>
        <w:gridCol w:w="825"/>
        <w:gridCol w:w="766"/>
      </w:tblGrid>
      <w:tr>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单价限价（元）</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最高限价（元）</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质保期（不少于）</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是否允许进口产品投标</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是否核心</w:t>
            </w:r>
            <w:r>
              <w:rPr>
                <w:rFonts w:ascii="仿宋_GB2312" w:hAnsi="仿宋_GB2312" w:cs="仿宋_GB2312" w:eastAsia="仿宋_GB2312"/>
                <w:sz w:val="21"/>
                <w:b/>
              </w:rPr>
              <w:t>产品</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高性能计算</w:t>
            </w:r>
            <w:r>
              <w:rPr>
                <w:rFonts w:ascii="仿宋_GB2312" w:hAnsi="仿宋_GB2312" w:cs="仿宋_GB2312" w:eastAsia="仿宋_GB2312"/>
                <w:sz w:val="21"/>
              </w:rPr>
              <w:t>AI</w:t>
            </w:r>
            <w:r>
              <w:rPr>
                <w:rFonts w:ascii="仿宋_GB2312" w:hAnsi="仿宋_GB2312" w:cs="仿宋_GB2312" w:eastAsia="仿宋_GB2312"/>
                <w:sz w:val="21"/>
              </w:rPr>
              <w:t>服务器主机机组</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5182515.00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5182515.00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年</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否</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bl>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5,182,515.00</w:t>
      </w:r>
    </w:p>
    <w:p>
      <w:pPr>
        <w:pStyle w:val="null3"/>
        <w:jc w:val="left"/>
      </w:pPr>
      <w:r>
        <w:rPr>
          <w:rFonts w:ascii="仿宋_GB2312" w:hAnsi="仿宋_GB2312" w:cs="仿宋_GB2312" w:eastAsia="仿宋_GB2312"/>
        </w:rPr>
        <w:t>采购包最高限价（元）: 5,182,515.00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5,182,515.00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A02100699-其他试验仪器及装置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5,182,515.00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高性能计算AI服务器主机机组（1套） 1、 主节点（1台）： （1） ▲设备规格：2U机架式服务器，兼容TPM/TCM安全控件模块；</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CPU（单颗主频2.4GHz、16核及以上）；</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内存（RAM）: 不低于16条64GB DDR4 ECC RDIMM；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▲数据盘：不低于5块12TB SAS 企业级硬盘（Raid5）；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Raid卡：配置1块独立RAID卡，支持RAID0,1,10,5,6,50,60；</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电源：配置1300W（1+1）服务器热插拔冗余电源。</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功能：提供人工智能应用及HPC应用功能授权，用户可以自定义所需功能模块，提供用户管理，支持用户组创建、删除，角色设定，将用户加入或移出用户组等。支持对用户和分区设置资源的配额，包括CPU、GPU、Mem，用户使用的资源总和不能超过配额，分区任务消耗的资源总和不能超过配额；提供监控服务器设备节点的状态，提供实时异常与否的状态展示，具备后期集群快速新增计算节点可实现集群管理，自动化部署、监控警告以及自动导出巡检报告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其他：导轨套件。</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IO节点（1台）： （1） ▲设备规格：2U机架式服务器，兼容TPM/TCM安全控件模块；</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 （单颗主频2.4GHz、16核及以上）；</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 内存（RAM）：不低于4条32GB DDR4 ECC RDIMM；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（5） Raid卡：配置1*独立RAID卡，支持RAID0,1,10,5,6,50,60；</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▲HBA卡：配置1块4 x 12Gb/s SAS HBA 直通卡；</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（8） 电源：配置1300W（1+1）服务器热插拔冗余电源.</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▲其他： 导轨套件、SAS线 × 4。</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高性能统一存储磁盘阵列柜（1台） （1） ▲设备规格：4U 不少于90盘位，提供专用客户端软件，提供自动侦测，自动挂载，可排程自动全量，增量，差异备份客户端数据，user设定档自动迁移功能；支持QoS功能，可以根据各种服务协议分别设置各数据端口带宽上下限制；</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▲主机通道：配置4 x 25Gb/s iSCSI (SFP28)光口+4 x 12Gb/s SAS端口; 4x12Gb/s SAS EXP. ports；</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▲存储控制器：双控冗余控制器 含Turbo芯片Symmetric A-A controller 对称双活 双活控制器配置NAS双活SAN双活；</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▲缓存：配置双控384GB 一级缓存，带超级电容及备份模块；</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▲RAID功能：1RAID级别支持 : RAID 0, 1 (0+1), 3, 5, 6, 10, 30, 50, 60; 支持全局热备或箱体热备、专属热备盘；能够智能监控磁盘状态，将疑似故障盘的数据迁移到热备盘，预防或降低硬盘失效引起的数据损坏风险。</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▲磁盘通道：标准12Gb/s SAS 3.0；</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数据服务功能：支持块级，文件级本地数据快照：配置每个系统快照数量≥128，最大支持≥4096,快照间隔不大于10分钟。支持集群快照，透过挂载方式获取集群数据，支持从集群内任意一台成员设备备份集群配置，用于后续配置导入；持远程复制功能，支持异步复制和同步复制，可实现基于存储的异地容灾，最大支持卷复制数量≥64对；配置自动精简功能，包含Thin Provisioning，full Provisioning两种模式。</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▲硬盘配置：本次配置4颗1.92TB SAS SSD ，56颗16TB SAS硬盘；双控支持最大硬盘数≥896颗，集群支持≥3584颗硬盘，支持SAS SSD、SAS、NL-SAS类型硬盘扩展，支持热拔插和在线更换故障硬盘。</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▲其他： 导轨套件。</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GPU节点1（4台）： （1） ▲设备规格：4U机架式服务器，兼容TPM/TCM安全控件模块；</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CPU（单颗主频2.4GHz、48核及以上，96线程，采用LGA4677接口）；</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▲内存（RAM）：不低于32条96GB DDR5 ECC RDIMM；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▲GPU: 配置4块加速卡，单卡性能：显存容量不低于48GB，显存带宽不低于1008GB/s ，FP32算力不低于82TFLOPS，最大支持8块全高全长双宽GPU加速卡；</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（7） 电源：配置2600W（2+2）服务器热插拔冗余电源.</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（8） 其他：导轨套件。</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GPU节点2（3台）： （1） ▲设备规格：4U机架式服务器，兼容TPM/TCM安全控件模块；</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CPU（单颗主频2.4GHz、48核及以上，96线程，采用LGA4677接口）；</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▲内存（RAM）：不低于32条96GB DDR5 ECC RDIMM；</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▲GPU: 配置8块加速卡，单卡性能：显存容量不低于48GB, 显存带宽不低于1008GB/s ，FP32算力不低于82TFLOPS；</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（7） 电源：配置2600W（2+2）服务器热插拔冗余电源.</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（8） 其他：导轨套件。</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GPU节点3（2台）： （1） ▲设备规格：2U机架式服务器，兼容TPM/TCM安全控件模块；</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CPU（单颗主频2.4GHz、48核及以上，96线程，采用LGA4677接口）；</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▲内存（RAM）：不低于32条96GB DDR5 ECC RDIMM；</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▲GPU: 配置4块加速卡，单卡性能：显存容量不低于80GB，显存带宽不低于2TB/s ，FP64算力不低于25TFLOPS，单卡功耗不高于350W；</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（7） 电源：配置2600W（2+2）服务器热插拔冗余电源.</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（8） 其他：导轨套件。</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7、 交换机（1台）： （1） 24口千兆电口，4千兆光口三层网管企业级网络核心交换机</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（2）产品类型：千兆以太网交换机，企业级交换机；</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（3）应用层级：三层；</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（4）传输速率：10/100/1000Mbps；交换方式：存储-转发；</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（5）背板带宽：336Gbps/3.36Tbps；包转发率：108Mpps；</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（6）端口数量：28个；</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（7）端口描述：24个10/100/1000TX端口，4个SFP端口纠错；</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（8）控制端口：1个console口；</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（9） 其他：导轨套件。</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IB交换机（1台）： （1） ▲40个HDR 200Gb/s 端口，16Tb/s 聚合交换机吞吐量.</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 其他：导轨套件。</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UPS不间断电源（1台）： （1） ▲输入相数：单相三线（1Φ+N+PE）；</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 输出额定电压：208Vac /220Vac /230Vac/240Vac；</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▲并机数量6台；</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▲保护功能：输出短路保护，输出过载保护，过温度保护，电池低压保护，输出过欠压保护，风扇故障保护等；</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▲总功率: 10kVA；</w:t>
            </w:r>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▲蓄电池：16节12V100AH;</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（7） 电池柜：1个.</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▲安装服务：含安装调试。</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其他要求： ▲1.为确保售后服务质量，需提供生产厂家或总代理或区域代理针对本项目的售后服务承诺函。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3.1.4交货地点：采购人指定地点</w:t>
            </w:r>
          </w:p>
          <w:p>
            <w:pPr>
              <w:pStyle w:val="null3"/>
              <w:ind w:firstLine="482"/>
              <w:jc w:val="both"/>
            </w:pPr>
            <w:r>
              <w:rPr>
                <w:rFonts w:ascii="仿宋_GB2312" w:hAnsi="仿宋_GB2312" w:cs="仿宋_GB2312" w:eastAsia="仿宋_GB2312"/>
                <w:sz w:val="21"/>
                <w:b/>
              </w:rPr>
              <w:t>3.2工具、备件、易损件</w:t>
            </w:r>
          </w:p>
          <w:p>
            <w:pPr>
              <w:pStyle w:val="null3"/>
              <w:ind w:firstLine="480"/>
              <w:jc w:val="both"/>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1"/>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1"/>
                <w:b/>
              </w:rPr>
              <w:t>3.3售后服务</w:t>
            </w:r>
          </w:p>
          <w:p>
            <w:pPr>
              <w:pStyle w:val="null3"/>
              <w:ind w:firstLine="480"/>
              <w:jc w:val="both"/>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3.3.2质保期至少3年（采购清单中免费保修期有特殊要求的按照采购清单中的为准。若厂家有超过期限免费保修期的按厂家方案执行），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left"/>
            </w:pPr>
            <w:r>
              <w:rPr>
                <w:rFonts w:ascii="仿宋_GB2312" w:hAnsi="仿宋_GB2312" w:cs="仿宋_GB2312" w:eastAsia="仿宋_GB2312"/>
                <w:sz w:val="21"/>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没有环保类行政处罚记录承诺函 其他承诺函 投标人诚信守法承诺书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投标保证金缴纳证明材料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提供投标函，内容完整无缺漏。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高性能计算AI服务器主机机组（1套） 1、 主节点（1台）： （1） ▲设备规格：2U机架式服务器，兼容TPM/TCM安全控件模块；</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CPU（单颗主频2.4GHz、16核及以上）；</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 不低于16条64GB DDR4 ECC RDIMM；</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▲数据盘：不低于5块12TB SAS 企业级硬盘（Raid5）；</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Raid卡：配置1块独立RAID卡，支持RAID0,1,10,5,6,50,60；</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电源：配置1300W（1+1）服务器热插拔冗余电源。</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功能：提供人工智能应用及HPC应用功能授权，用户可以自定义所需功能模块，提供用户管理，支持用户组创建、删除，角色设定，将用户加入或移出用户组等。支持对用户和分区设置资源的配额，包括CPU、GPU、Mem，用户使用的资源总和不能超过配额，分区任务消耗的资源总和不能超过配额；提供监控服务器设备节点的状态，提供实时异常与否的状态展示，具备后期集群快速新增计算节点可实现集群管理，自动化部署、监控警告以及自动导出巡检报告功能。</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其他：导轨套件。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IO节点（1台）： （1） ▲设备规格：2U机架式服务器，兼容TPM/TCM安全控件模块；</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 （单颗主频2.4GHz、16核及以上）；</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内存（RAM）：不低于4条32GB DDR4 ECC RDIMM；</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Raid卡：配置1*独立RAID卡，支持RAID0,1,10,5,6,50,60；</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▲HBA卡：配置1块4 x 12Gb/s SAS HBA 直通卡；</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电源：配置1300W（1+1）服务器热插拔冗余电源.</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▲其他： 导轨套件、SAS线 × 4。</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高性能统一存储磁盘阵列柜（1台） （1） ▲设备规格：4U 不少于90盘位，提供专用客户端软件，提供自动侦测，自动挂载，可排程自动全量，增量，差异备份客户端数据，user设定档自动迁移功能；支持QoS功能，可以根据各种服务协议分别设置各数据端口带宽上下限制；</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▲主机通道：配置4 x 25Gb/s iSCSI (SFP28)光口+4 x 12Gb/s SAS端口; 4x12Gb/s SAS EXP. ports；</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▲存储控制器：双控冗余控制器 含Turbo芯片Symmetric A-A controller 对称双活 双活控制器配置NAS双活SAN双活；</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▲缓存：配置双控384GB 一级缓存，带超级电容及备份模块；</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▲RAID功能：1RAID级别支持 : RAID 0, 1 (0+1), 3, 5, 6, 10, 30, 50, 60; 支持全局热备或箱体热备、专属热备盘；能够智能监控磁盘状态，将疑似故障盘的数据迁移到热备盘，预防或降低硬盘失效引起的数据损坏风险。</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▲磁盘通道：标准12Gb/s SAS 3.0；</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数据服务功能：支持块级，文件级本地数据快照：配置每个系统快照数量≥128，最大支持≥4096,快照间隔不大于10分钟。支持集群快照，透过挂载方式获取集群数据，支持从集群内任意一台成员设备备份集群配置，用于后续配置导入；持远程复制功能，支持异步复制和同步复制，可实现基于存储的异地容灾，最大支持卷复制数量≥64对；配置自动精简功能，包含Thin Provisioning，full Provisioning两种模式。</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▲硬盘配置：本次配置4颗1.92TB SAS SSD ，56颗16TB SAS硬盘；双控支持最大硬盘数≥896颗，集群支持≥3584颗硬盘，支持SAS SSD、SAS、NL-SAS类型硬盘扩展，支持热拔插和在线更换故障硬盘。</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▲其他： 导轨套件。</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GPU节点1（4台）： （1） ▲设备规格：4U机架式服务器，兼容TPM/TCM安全控件模块；</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CPU（单颗主频2.4GHz、48核及以上，96线程，采用LGA4677接口）；</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▲内存（RAM）：不低于32条96GB DDR5 ECC RDIMM；</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▲GPU: 配置4块加速卡，单卡性能：显存容量不低于48GB，显存带宽不低于1008GB/s ，FP32算力不低于82TFLOPS，最大支持8块全高全长双宽GPU加速卡；</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电源：配置2600W（2+2）服务器热插拔冗余电源.</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其他：导轨套件。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GPU节点2（3台）： （1） ▲设备规格：4U机架式服务器，兼容TPM/TCM安全控件模块；</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CPU（单颗主频2.4GHz、48核及以上，96线程，采用LGA4677接口）；</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▲内存（RAM）：不低于32条96GB DDR5 ECC RDIMM；</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▲GPU: 配置8块加速卡，单卡性能：显存容量不低于48GB, 显存带宽不低于1008GB/s ，FP32算力不低于82TFLOPS；</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电源：配置2600W（2+2）服务器热插拔冗余电源.</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其他：导轨套件。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GPU节点3（2台）： （1） ▲设备规格：2U机架式服务器，兼容TPM/TCM安全控件模块；</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CPU（单颗主频2.4GHz、48核及以上，96线程，采用LGA4677接口）；</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▲内存（RAM）：不低于32条96GB DDR5 ECC RDIMM；</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▲GPU: 配置4块加速卡，单卡性能：显存容量不低于80GB，显存带宽不低于2TB/s ，FP64算力不低于25TFLOPS，单卡功耗不高于350W；</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电源：配置2600W（2+2）服务器热插拔冗余电源.</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其他：导轨套件。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交换机（1台）： （1） 24口千兆电口，4千兆光口三层网管企业级网络核心交换机</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（2）产品类型：千兆以太网交换机，企业级交换机；</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（3）应用层级：三层；</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（4）传输速率：10/100/1000Mbps；交换方式：存储-转发；</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（5）背板带宽：336Gbps/3.36Tbps；包转发率：108Mpps；</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（6）端口数量：28个；</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（7）端口描述：24个10/100/1000TX端口，4个SFP端口纠错；</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（8）控制端口：1个console口；</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其他：导轨套件。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IB交换机（1台）： （1） ▲40个HDR 200Gb/s 端口，16Tb/s 聚合交换机吞吐量.</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其他：导轨套件。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UPS不间断电源（1台）： （1） ▲输入相数：单相三线（1Φ+N+PE）；</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输出额定电压：208Vac /220Vac /230Vac/240Vac；</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▲并机数量6台；</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▲保护功能：输出短路保护，输出过载保护，过温度保护，电池低压保护，输出过欠压保护，风扇故障保护等；</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▲总功率: 10kVA；</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▲蓄电池：16节12V100AH;</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电池柜：1个.</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▲安装服务：含安装调试。</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其他要求： ▲1.为确保售后服务质量，需提供生产厂家或总代理或区域代理针对本项目的售后服务承诺函。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HD2025-1-020R</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新药筛选及评价平台设备购置第七批(二次)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A02100699-其他试验仪器及装置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5182515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详见附件：没有环保类行政处罚记录承诺函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