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新药筛选及评价平台设备购置第七批(二次)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HD2025-1-020R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新药筛选及评价平台设备购置第七批(二次)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HD2025-1-020R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新药筛选及评价平台设备购置第七批(二次)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5,182,515.00元</w:t>
      </w:r>
      <w:r>
        <w:rPr>
          <w:rFonts w:ascii="仿宋_GB2312" w:hAnsi="仿宋_GB2312" w:cs="仿宋_GB2312" w:eastAsia="仿宋_GB2312"/>
        </w:rPr>
        <w:t>伍佰壹拾捌万贰仟伍佰壹拾伍元整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请投标人（供应商）自行在海南省政府采购智慧云平台-办事指南查看相应的系统操作指南，严格按照操作指南要求进行系统操作。 智慧云技术支持电话：4001691288。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海南省海口市人民大道58号海南大学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66279030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郭工、何工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采购包1：5,182,515.00元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采购包1保证金金额：25,000.00元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开户行名称：海南省教学仪器设备招标中心有限公司</w:t>
            </w:r>
          </w:p>
          <w:p>
            <w:pPr>
              <w:pStyle w:val="null3"/>
              <w:jc w:val="left"/>
            </w:pPr>
            <w:r>
              <w:rPr>
                <w:rFonts w:ascii="仿宋_GB2312" w:hAnsi="仿宋_GB2312" w:cs="仿宋_GB2312" w:eastAsia="仿宋_GB2312"/>
              </w:rPr>
              <w:t>开户银行：建设银行海口国兴大道支行</w:t>
            </w:r>
          </w:p>
          <w:p>
            <w:pPr>
              <w:pStyle w:val="null3"/>
              <w:jc w:val="left"/>
            </w:pPr>
            <w:r>
              <w:rPr>
                <w:rFonts w:ascii="仿宋_GB2312" w:hAnsi="仿宋_GB2312" w:cs="仿宋_GB2312" w:eastAsia="仿宋_GB2312"/>
              </w:rPr>
              <w:t>银行账号：46001002537052500288</w:t>
            </w:r>
          </w:p>
          <w:p>
            <w:pPr>
              <w:pStyle w:val="null3"/>
              <w:jc w:val="left"/>
            </w:pPr>
            <w:r>
              <w:rPr>
                <w:rFonts w:ascii="仿宋_GB2312" w:hAnsi="仿宋_GB2312" w:cs="仿宋_GB2312" w:eastAsia="仿宋_GB2312"/>
              </w:rPr>
              <w:t>汇票、本票提取方式：非现金方式提交</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说明：履约担保金额：签订合同价金额的3% 履约保证金汇至采购人账户 单位名称：海南大学 账号：21150001040000040 开户行：中国农业银行海口海大支行 行号：103641015005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号”之规定的50%支付。中标供应商应在中标公告发布之日起3个工作日内，向招标代理机构缴纳招标代理服务费。 开户行名称：海南省教学仪器设备招标中心有限公司 开户银行：建设银行海口国兴大道支行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预付款：本项目在合同生效后，乙方向甲方提供有效期至少涵盖本合同指定到货时间点的预付款等额银行保函或者保险保函后，甲方应在5个工作日内向乙方支付合同总金额的70 %的预付款； 合同：以上传的附件合同模为准。 如投标人在非开标现场上传的电子标书的IP地址相同，则IP地址相同的投标按无效标处理。 16.1述标和/或产（样）品演（展）示：有 16.2采购需求：（1）采购需求中未列明偏差的除特殊订制类货物以外，列明的尺寸、重量及体积允许±5%偏差。（需求中技术参数已有要求的除外）（2）采购标的物需按照国家相关标准、行业标准、地方标准或者其他标准、规范执行。 16.3是否允许选择性报价：不接受选择性报价 16.4本项目所属行业：根据《统计上大中小微型企业划分办法（2017）》，本项目所属行业为工业。 16.5充分、公平竞争保障措施：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（3）注:带“★”条款为实质性条款，必须完全响应，不允许负偏离，否则作无效响应处理。带“▲”表示重要参数，负偏离扣分。 16.6 （一）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（二）本项目中要求提供的有关证书、文件等证明材料均以扫描件加盖公章为准，如涉及的证书、证件正在办理延期、换证、变更和年审等无法提供的，应提供相关部门办理事项的证明材料。 （三）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具体代理进口服务费率见合同。备注：代理进口服务费应当包含在投标人所投进口产品货物报价中，投标人应当充分考虑报价。采购人后续不承担任何费用。（四）中标人如有违背下列情形之一的，责令限期改正，情节严重的，列入不良行为记录名单，在1至3年内禁止参加采购活动并承担法律责任和违约责任： （1）成交（中标）后无正当理由不与采购人签订合同的，不履行招标项目合同，承担法律责任和违约责任，包括承担诉讼费、律师费、顺延标价差额、误工损失等；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（五）招标文件中所有的技术参数及其性能（配置）仅起参考作用，目的是为了满足采购人工作的基本要求，投标产品满足（实质相当于）或优于招标文件的采购需求均可。 供应商需对响应的“技术参数、规格、功能及其他要求”内容真实性负责，如虚假响应谋取中标资格，经核实发现，取消中标资格。 （六）安全标准：符合国家、地方和行业的相关政策、法规。除招标文件另有规定外，若出现有关法律、法规和规章有强制性规定但招标文件未列明的情形，则投标人应按照有关法律、法规和规章强制性规定执行。 （七）本项目的质保期从设备验收合格之日起计算。（采购需求中免费保修期有特殊要求的按照采购需求中的为准。若厂家有超过期限免费保修期的按厂家方案执行。） （八） 除招标文件明确外，未经业主同意，中标供应商不得以任何方式转包或分包本项目。</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联系人：郭工</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地址：海南省海口市蓝天路2-8号</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w:t>
      </w:r>
      <w:r>
        <w:rPr>
          <w:rFonts w:ascii="仿宋_GB2312" w:hAnsi="仿宋_GB2312" w:cs="仿宋_GB2312" w:eastAsia="仿宋_GB2312"/>
          <w:sz w:val="21"/>
        </w:rPr>
        <w:t>HD2025-1-020R</w:t>
      </w:r>
    </w:p>
    <w:p>
      <w:pPr>
        <w:pStyle w:val="null3"/>
        <w:jc w:val="both"/>
      </w:pPr>
      <w:r>
        <w:rPr>
          <w:rFonts w:ascii="仿宋_GB2312" w:hAnsi="仿宋_GB2312" w:cs="仿宋_GB2312" w:eastAsia="仿宋_GB2312"/>
          <w:sz w:val="21"/>
        </w:rPr>
        <w:t>2.项目名称：</w:t>
      </w:r>
      <w:r>
        <w:rPr>
          <w:rFonts w:ascii="仿宋_GB2312" w:hAnsi="仿宋_GB2312" w:cs="仿宋_GB2312" w:eastAsia="仿宋_GB2312"/>
          <w:sz w:val="21"/>
        </w:rPr>
        <w:t>新药筛选及评价平台设备购置第七批(二次)</w:t>
      </w:r>
    </w:p>
    <w:p>
      <w:pPr>
        <w:pStyle w:val="null3"/>
        <w:jc w:val="both"/>
      </w:pPr>
      <w:r>
        <w:rPr>
          <w:rFonts w:ascii="仿宋_GB2312" w:hAnsi="仿宋_GB2312" w:cs="仿宋_GB2312" w:eastAsia="仿宋_GB2312"/>
          <w:sz w:val="21"/>
        </w:rPr>
        <w:t>3.预算金额：</w:t>
      </w:r>
      <w:r>
        <w:rPr>
          <w:rFonts w:ascii="仿宋_GB2312" w:hAnsi="仿宋_GB2312" w:cs="仿宋_GB2312" w:eastAsia="仿宋_GB2312"/>
          <w:sz w:val="21"/>
        </w:rPr>
        <w:t>C包：</w:t>
      </w:r>
      <w:r>
        <w:rPr>
          <w:rFonts w:ascii="仿宋_GB2312" w:hAnsi="仿宋_GB2312" w:cs="仿宋_GB2312" w:eastAsia="仿宋_GB2312"/>
          <w:sz w:val="21"/>
        </w:rPr>
        <w:t>518.2515</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4.最高限价：</w:t>
      </w:r>
      <w:r>
        <w:rPr>
          <w:rFonts w:ascii="仿宋_GB2312" w:hAnsi="仿宋_GB2312" w:cs="仿宋_GB2312" w:eastAsia="仿宋_GB2312"/>
          <w:sz w:val="21"/>
        </w:rPr>
        <w:t>C包：</w:t>
      </w:r>
      <w:r>
        <w:rPr>
          <w:rFonts w:ascii="仿宋_GB2312" w:hAnsi="仿宋_GB2312" w:cs="仿宋_GB2312" w:eastAsia="仿宋_GB2312"/>
          <w:sz w:val="21"/>
        </w:rPr>
        <w:t>518.2515</w:t>
      </w:r>
      <w:r>
        <w:rPr>
          <w:rFonts w:ascii="仿宋_GB2312" w:hAnsi="仿宋_GB2312" w:cs="仿宋_GB2312" w:eastAsia="仿宋_GB2312"/>
          <w:sz w:val="21"/>
        </w:rPr>
        <w:t>万元。（报价超过最高限价，按无效响应文件处理）</w:t>
      </w:r>
    </w:p>
    <w:p>
      <w:pPr>
        <w:pStyle w:val="null3"/>
        <w:jc w:val="both"/>
      </w:pPr>
      <w:r>
        <w:rPr>
          <w:rFonts w:ascii="仿宋_GB2312" w:hAnsi="仿宋_GB2312" w:cs="仿宋_GB2312" w:eastAsia="仿宋_GB2312"/>
          <w:sz w:val="21"/>
        </w:rPr>
        <w:t>5.交货期：</w:t>
      </w:r>
    </w:p>
    <w:p>
      <w:pPr>
        <w:pStyle w:val="null3"/>
        <w:jc w:val="both"/>
      </w:pPr>
      <w:r>
        <w:rPr>
          <w:rFonts w:ascii="仿宋_GB2312" w:hAnsi="仿宋_GB2312" w:cs="仿宋_GB2312" w:eastAsia="仿宋_GB2312"/>
          <w:sz w:val="21"/>
        </w:rPr>
        <w:t>C包：合同签订后</w:t>
      </w:r>
      <w:r>
        <w:rPr>
          <w:rFonts w:ascii="仿宋_GB2312" w:hAnsi="仿宋_GB2312" w:cs="仿宋_GB2312" w:eastAsia="仿宋_GB2312"/>
          <w:sz w:val="21"/>
        </w:rPr>
        <w:t>30</w:t>
      </w:r>
      <w:r>
        <w:rPr>
          <w:rFonts w:ascii="仿宋_GB2312" w:hAnsi="仿宋_GB2312" w:cs="仿宋_GB2312" w:eastAsia="仿宋_GB2312"/>
          <w:sz w:val="21"/>
        </w:rPr>
        <w:t>天内交货且安装调试完毕交付使用。</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各包项目概况（采购标的）核心产品：</w:t>
      </w:r>
    </w:p>
    <w:p>
      <w:pPr>
        <w:pStyle w:val="null3"/>
        <w:jc w:val="center"/>
      </w:pP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C包</w:t>
      </w:r>
    </w:p>
    <w:tbl>
      <w:tblPr>
        <w:tblW w:w="0" w:type="auto"/>
        <w:tblBorders>
          <w:top w:val="none" w:color="000000" w:sz="4"/>
          <w:left w:val="none" w:color="000000" w:sz="4"/>
          <w:bottom w:val="none" w:color="000000" w:sz="4"/>
          <w:right w:val="none" w:color="000000" w:sz="4"/>
          <w:insideH w:val="none"/>
          <w:insideV w:val="none"/>
        </w:tblBorders>
      </w:tblPr>
      <w:tblGrid>
        <w:gridCol w:w="589"/>
        <w:gridCol w:w="1694"/>
        <w:gridCol w:w="589"/>
        <w:gridCol w:w="589"/>
        <w:gridCol w:w="1237"/>
        <w:gridCol w:w="1237"/>
        <w:gridCol w:w="781"/>
        <w:gridCol w:w="825"/>
        <w:gridCol w:w="766"/>
      </w:tblGrid>
      <w:tr>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单价限价（元）</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最高限价（元）</w:t>
            </w:r>
          </w:p>
        </w:tc>
        <w:tc>
          <w:tcPr>
            <w:tcW w:type="dxa" w:w="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质保期（不少于）</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是否允许进口产品投标</w:t>
            </w:r>
          </w:p>
        </w:tc>
        <w:tc>
          <w:tcPr>
            <w:tcW w:type="dxa" w:w="7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是否核心</w:t>
            </w:r>
            <w:r>
              <w:rPr>
                <w:rFonts w:ascii="仿宋_GB2312" w:hAnsi="仿宋_GB2312" w:cs="仿宋_GB2312" w:eastAsia="仿宋_GB2312"/>
                <w:sz w:val="21"/>
                <w:b/>
              </w:rPr>
              <w:t>产品</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高性能计算</w:t>
            </w:r>
            <w:r>
              <w:rPr>
                <w:rFonts w:ascii="仿宋_GB2312" w:hAnsi="仿宋_GB2312" w:cs="仿宋_GB2312" w:eastAsia="仿宋_GB2312"/>
                <w:sz w:val="21"/>
              </w:rPr>
              <w:t>AI</w:t>
            </w:r>
            <w:r>
              <w:rPr>
                <w:rFonts w:ascii="仿宋_GB2312" w:hAnsi="仿宋_GB2312" w:cs="仿宋_GB2312" w:eastAsia="仿宋_GB2312"/>
                <w:sz w:val="21"/>
              </w:rPr>
              <w:t>服务器主机机组</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5182515.00</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5182515.00</w:t>
            </w:r>
          </w:p>
        </w:tc>
        <w:tc>
          <w:tcPr>
            <w:tcW w:type="dxa" w:w="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年</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否</w:t>
            </w:r>
          </w:p>
        </w:tc>
        <w:tc>
          <w:tcPr>
            <w:tcW w:type="dxa" w:w="7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r>
    </w:tbl>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5,182,515.00</w:t>
      </w:r>
    </w:p>
    <w:p>
      <w:pPr>
        <w:pStyle w:val="null3"/>
        <w:jc w:val="left"/>
      </w:pPr>
      <w:r>
        <w:rPr>
          <w:rFonts w:ascii="仿宋_GB2312" w:hAnsi="仿宋_GB2312" w:cs="仿宋_GB2312" w:eastAsia="仿宋_GB2312"/>
        </w:rPr>
        <w:t>采购包最高限价（元）: 5,182,515.00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A02100699-其他试验仪器及装置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5,182,515.00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A02100699-其他试验仪器及装置</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5,182,515.00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标的名称：A02100699-其他试验仪器及装置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高性能计算AI服务器主机机组（1套） 1、 主节点（1台）： （1） ▲设备规格：2U机架式服务器，兼容TPM/TCM安全控件模块；</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▲处理器（CPU）：不低于2颗Intel Xeon CPU（单颗主频2.4GHz、16核及以上）；</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内存（RAM）: 不低于16条64GB DDR4 ECC RDIMM；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▲数据盘：不低于5块12TB SAS 企业级硬盘（Raid5）；</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Raid卡：配置1块独立RAID卡，支持RAID0,1,10,5,6,50,60；</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电源：配置1300W（1+1）服务器热插拔冗余电源。</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功能：提供人工智能应用及HPC应用功能授权，用户可以自定义所需功能模块，提供用户管理，支持用户组创建、删除，角色设定，将用户加入或移出用户组等。支持对用户和分区设置资源的配额，包括CPU、GPU、Mem，用户使用的资源总和不能超过配额，分区任务消耗的资源总和不能超过配额；提供监控服务器设备节点的状态，提供实时异常与否的状态展示，具备后期集群快速新增计算节点可实现集群管理，自动化部署、监控警告以及自动导出巡检报告功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其他：导轨套件。</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IO节点（1台）： （1） ▲设备规格：2U机架式服务器，兼容TPM/TCM安全控件模块；</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▲处理器（CPU）：不低于2颗Intel Xeon CPU （单颗主频2.4GHz、16核及以上）；</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 内存（RAM）：不低于4条32GB DDR4 ECC RDIMM；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（5） Raid卡：配置1*独立RAID卡，支持RAID0,1,10,5,6,50,60；</w:t>
            </w:r>
          </w:p>
        </w:tc>
      </w:tr>
      <w:tr>
        <w:tc>
          <w:tcPr>
            <w:tcW w:type="dxa" w:w="2769"/>
          </w:tcPr>
          <w:p>
            <w:pPr>
              <w:pStyle w:val="null3"/>
              <w:jc w:val="left"/>
            </w:pPr>
            <w:r>
              <w:rPr>
                <w:rFonts w:ascii="仿宋_GB2312" w:hAnsi="仿宋_GB2312" w:cs="仿宋_GB2312" w:eastAsia="仿宋_GB2312"/>
              </w:rPr>
              <w:t>16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17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▲HBA卡：配置1块4 x 12Gb/s SAS HBA 直通卡；</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（8） 电源：配置1300W（1+1）服务器热插拔冗余电源.</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▲其他： 导轨套件、SAS线 × 4。</w:t>
            </w:r>
          </w:p>
        </w:tc>
      </w:tr>
      <w:tr>
        <w:tc>
          <w:tcPr>
            <w:tcW w:type="dxa" w:w="2769"/>
          </w:tcPr>
          <w:p>
            <w:pPr>
              <w:pStyle w:val="null3"/>
              <w:jc w:val="left"/>
            </w:pPr>
            <w:r>
              <w:rPr>
                <w:rFonts w:ascii="仿宋_GB2312" w:hAnsi="仿宋_GB2312" w:cs="仿宋_GB2312" w:eastAsia="仿宋_GB2312"/>
              </w:rPr>
              <w:t>20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高性能统一存储磁盘阵列柜（1台） （1） ▲设备规格：4U 不少于90盘位，提供专用客户端软件，提供自动侦测，自动挂载，可排程自动全量，增量，差异备份客户端数据，user设定档自动迁移功能；支持QoS功能，可以根据各种服务协议分别设置各数据端口带宽上下限制；</w:t>
            </w:r>
          </w:p>
        </w:tc>
      </w:tr>
      <w:tr>
        <w:tc>
          <w:tcPr>
            <w:tcW w:type="dxa" w:w="2769"/>
          </w:tcPr>
          <w:p>
            <w:pPr>
              <w:pStyle w:val="null3"/>
              <w:jc w:val="left"/>
            </w:pPr>
            <w:r>
              <w:rPr>
                <w:rFonts w:ascii="仿宋_GB2312" w:hAnsi="仿宋_GB2312" w:cs="仿宋_GB2312" w:eastAsia="仿宋_GB2312"/>
              </w:rPr>
              <w:t>21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▲主机通道：配置4 x 25Gb/s iSCSI (SFP28)光口+4 x 12Gb/s SAS端口; 4x12Gb/s SAS EXP. ports；</w:t>
            </w:r>
          </w:p>
        </w:tc>
      </w:tr>
      <w:tr>
        <w:tc>
          <w:tcPr>
            <w:tcW w:type="dxa" w:w="2769"/>
          </w:tcPr>
          <w:p>
            <w:pPr>
              <w:pStyle w:val="null3"/>
              <w:jc w:val="left"/>
            </w:pPr>
            <w:r>
              <w:rPr>
                <w:rFonts w:ascii="仿宋_GB2312" w:hAnsi="仿宋_GB2312" w:cs="仿宋_GB2312" w:eastAsia="仿宋_GB2312"/>
              </w:rPr>
              <w:t>22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▲存储控制器：双控冗余控制器 含Turbo芯片Symmetric A-A controller 对称双活 双活控制器配置NAS双活SAN双活；</w:t>
            </w:r>
          </w:p>
        </w:tc>
      </w:tr>
      <w:tr>
        <w:tc>
          <w:tcPr>
            <w:tcW w:type="dxa" w:w="2769"/>
          </w:tcPr>
          <w:p>
            <w:pPr>
              <w:pStyle w:val="null3"/>
              <w:jc w:val="left"/>
            </w:pPr>
            <w:r>
              <w:rPr>
                <w:rFonts w:ascii="仿宋_GB2312" w:hAnsi="仿宋_GB2312" w:cs="仿宋_GB2312" w:eastAsia="仿宋_GB2312"/>
              </w:rPr>
              <w:t>23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▲缓存：配置双控384GB 一级缓存，带超级电容及备份模块；</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▲RAID功能：1RAID级别支持 : RAID 0, 1 (0+1), 3, 5, 6, 10, 30, 50, 60; 支持全局热备或箱体热备、专属热备盘；能够智能监控磁盘状态，将疑似故障盘的数据迁移到热备盘，预防或降低硬盘失效引起的数据损坏风险。</w:t>
            </w:r>
          </w:p>
        </w:tc>
      </w:tr>
      <w:tr>
        <w:tc>
          <w:tcPr>
            <w:tcW w:type="dxa" w:w="2769"/>
          </w:tcPr>
          <w:p>
            <w:pPr>
              <w:pStyle w:val="null3"/>
              <w:jc w:val="left"/>
            </w:pPr>
            <w:r>
              <w:rPr>
                <w:rFonts w:ascii="仿宋_GB2312" w:hAnsi="仿宋_GB2312" w:cs="仿宋_GB2312" w:eastAsia="仿宋_GB2312"/>
              </w:rPr>
              <w:t>25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▲磁盘通道：标准12Gb/s SAS 3.0；</w:t>
            </w:r>
          </w:p>
        </w:tc>
      </w:tr>
      <w:tr>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数据服务功能：支持块级，文件级本地数据快照：配置每个系统快照数量≥128，最大支持≥4096,快照间隔不大于10分钟。支持集群快照，透过挂载方式获取集群数据，支持从集群内任意一台成员设备备份集群配置，用于后续配置导入；持远程复制功能，支持异步复制和同步复制，可实现基于存储的异地容灾，最大支持卷复制数量≥64对；配置自动精简功能，包含Thin Provisioning，full Provisioning两种模式。</w:t>
            </w:r>
          </w:p>
        </w:tc>
      </w:tr>
      <w:tr>
        <w:tc>
          <w:tcPr>
            <w:tcW w:type="dxa" w:w="2769"/>
          </w:tcPr>
          <w:p>
            <w:pPr>
              <w:pStyle w:val="null3"/>
              <w:jc w:val="left"/>
            </w:pPr>
            <w:r>
              <w:rPr>
                <w:rFonts w:ascii="仿宋_GB2312" w:hAnsi="仿宋_GB2312" w:cs="仿宋_GB2312" w:eastAsia="仿宋_GB2312"/>
              </w:rPr>
              <w:t>27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 ▲硬盘配置：本次配置4颗1.92TB SAS SSD ，56颗16TB SAS硬盘；双控支持最大硬盘数≥896颗，集群支持≥3584颗硬盘，支持SAS SSD、SAS、NL-SAS类型硬盘扩展，支持热拔插和在线更换故障硬盘。</w:t>
            </w:r>
          </w:p>
        </w:tc>
      </w:tr>
      <w:tr>
        <w:tc>
          <w:tcPr>
            <w:tcW w:type="dxa" w:w="2769"/>
          </w:tcPr>
          <w:p>
            <w:pPr>
              <w:pStyle w:val="null3"/>
              <w:jc w:val="left"/>
            </w:pPr>
            <w:r>
              <w:rPr>
                <w:rFonts w:ascii="仿宋_GB2312" w:hAnsi="仿宋_GB2312" w:cs="仿宋_GB2312" w:eastAsia="仿宋_GB2312"/>
              </w:rPr>
              <w:t>28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▲其他： 导轨套件。</w:t>
            </w:r>
          </w:p>
        </w:tc>
      </w:tr>
      <w:tr>
        <w:tc>
          <w:tcPr>
            <w:tcW w:type="dxa" w:w="2769"/>
          </w:tcPr>
          <w:p>
            <w:pPr>
              <w:pStyle w:val="null3"/>
              <w:jc w:val="left"/>
            </w:pPr>
            <w:r>
              <w:rPr>
                <w:rFonts w:ascii="仿宋_GB2312" w:hAnsi="仿宋_GB2312" w:cs="仿宋_GB2312" w:eastAsia="仿宋_GB2312"/>
              </w:rPr>
              <w:t>29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GPU节点1（4台）： （1） ▲设备规格：4U机架式服务器，兼容TPM/TCM安全控件模块；</w:t>
            </w:r>
          </w:p>
        </w:tc>
      </w:tr>
      <w:tr>
        <w:tc>
          <w:tcPr>
            <w:tcW w:type="dxa" w:w="2769"/>
          </w:tcPr>
          <w:p>
            <w:pPr>
              <w:pStyle w:val="null3"/>
              <w:jc w:val="left"/>
            </w:pPr>
            <w:r>
              <w:rPr>
                <w:rFonts w:ascii="仿宋_GB2312" w:hAnsi="仿宋_GB2312" w:cs="仿宋_GB2312" w:eastAsia="仿宋_GB2312"/>
              </w:rPr>
              <w:t>30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▲处理器（CPU）：不低于2颗Intel Xeon CPU（单颗主频2.4GHz、48核及以上，96线程，采用LGA4677接口）；</w:t>
            </w:r>
          </w:p>
        </w:tc>
      </w:tr>
      <w:tr>
        <w:tc>
          <w:tcPr>
            <w:tcW w:type="dxa" w:w="2769"/>
          </w:tcPr>
          <w:p>
            <w:pPr>
              <w:pStyle w:val="null3"/>
              <w:jc w:val="left"/>
            </w:pPr>
            <w:r>
              <w:rPr>
                <w:rFonts w:ascii="仿宋_GB2312" w:hAnsi="仿宋_GB2312" w:cs="仿宋_GB2312" w:eastAsia="仿宋_GB2312"/>
              </w:rPr>
              <w:t>31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▲内存（RAM）：不低于32条96GB DDR5 ECC RDIMM；</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33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▲GPU: 配置4块加速卡，单卡性能：显存容量不低于48GB，显存带宽不低于1008GB/s ，FP32算力不低于82TFLOPS，最大支持8块全高全长双宽GPU加速卡；</w:t>
            </w:r>
          </w:p>
        </w:tc>
      </w:tr>
      <w:tr>
        <w:tc>
          <w:tcPr>
            <w:tcW w:type="dxa" w:w="2769"/>
          </w:tcPr>
          <w:p>
            <w:pPr>
              <w:pStyle w:val="null3"/>
              <w:jc w:val="left"/>
            </w:pPr>
            <w:r>
              <w:rPr>
                <w:rFonts w:ascii="仿宋_GB2312" w:hAnsi="仿宋_GB2312" w:cs="仿宋_GB2312" w:eastAsia="仿宋_GB2312"/>
              </w:rPr>
              <w:t>34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（7） 电源：配置2600W（2+2）服务器热插拔冗余电源.</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（8） 其他：导轨套件。</w:t>
            </w:r>
          </w:p>
        </w:tc>
      </w:tr>
      <w:tr>
        <w:tc>
          <w:tcPr>
            <w:tcW w:type="dxa" w:w="2769"/>
          </w:tcPr>
          <w:p>
            <w:pPr>
              <w:pStyle w:val="null3"/>
              <w:jc w:val="left"/>
            </w:pPr>
            <w:r>
              <w:rPr>
                <w:rFonts w:ascii="仿宋_GB2312" w:hAnsi="仿宋_GB2312" w:cs="仿宋_GB2312" w:eastAsia="仿宋_GB2312"/>
              </w:rPr>
              <w:t>37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GPU节点2（3台）： （1） ▲设备规格：4U机架式服务器，兼容TPM/TCM安全控件模块；</w:t>
            </w:r>
          </w:p>
        </w:tc>
      </w:tr>
      <w:tr>
        <w:tc>
          <w:tcPr>
            <w:tcW w:type="dxa" w:w="2769"/>
          </w:tcPr>
          <w:p>
            <w:pPr>
              <w:pStyle w:val="null3"/>
              <w:jc w:val="left"/>
            </w:pPr>
            <w:r>
              <w:rPr>
                <w:rFonts w:ascii="仿宋_GB2312" w:hAnsi="仿宋_GB2312" w:cs="仿宋_GB2312" w:eastAsia="仿宋_GB2312"/>
              </w:rPr>
              <w:t>38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▲处理器（CPU）：不低于2颗Intel Xeon CPU（单颗主频2.4GHz、48核及以上，96线程，采用LGA4677接口）；</w:t>
            </w:r>
          </w:p>
        </w:tc>
      </w:tr>
      <w:tr>
        <w:tc>
          <w:tcPr>
            <w:tcW w:type="dxa" w:w="2769"/>
          </w:tcPr>
          <w:p>
            <w:pPr>
              <w:pStyle w:val="null3"/>
              <w:jc w:val="left"/>
            </w:pPr>
            <w:r>
              <w:rPr>
                <w:rFonts w:ascii="仿宋_GB2312" w:hAnsi="仿宋_GB2312" w:cs="仿宋_GB2312" w:eastAsia="仿宋_GB2312"/>
              </w:rPr>
              <w:t>39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▲内存（RAM）：不低于32条96GB DDR5 ECC RDIMM；</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41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▲GPU: 配置8块加速卡，单卡性能：显存容量不低于48GB, 显存带宽不低于1008GB/s ，FP32算力不低于82TFLOPS；</w:t>
            </w:r>
          </w:p>
        </w:tc>
      </w:tr>
      <w:tr>
        <w:tc>
          <w:tcPr>
            <w:tcW w:type="dxa" w:w="2769"/>
          </w:tcPr>
          <w:p>
            <w:pPr>
              <w:pStyle w:val="null3"/>
              <w:jc w:val="left"/>
            </w:pPr>
            <w:r>
              <w:rPr>
                <w:rFonts w:ascii="仿宋_GB2312" w:hAnsi="仿宋_GB2312" w:cs="仿宋_GB2312" w:eastAsia="仿宋_GB2312"/>
              </w:rPr>
              <w:t>42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rPr>
              <w:t>（7） 电源：配置2600W（2+2）服务器热插拔冗余电源.</w:t>
            </w:r>
          </w:p>
        </w:tc>
      </w:tr>
      <w:tr>
        <w:tc>
          <w:tcPr>
            <w:tcW w:type="dxa" w:w="2769"/>
          </w:tcPr>
          <w:p>
            <w:pPr>
              <w:pStyle w:val="null3"/>
              <w:jc w:val="left"/>
            </w:pPr>
            <w:r>
              <w:rPr>
                <w:rFonts w:ascii="仿宋_GB2312" w:hAnsi="仿宋_GB2312" w:cs="仿宋_GB2312" w:eastAsia="仿宋_GB2312"/>
              </w:rPr>
              <w:t>44</w:t>
            </w:r>
          </w:p>
        </w:tc>
        <w:tc>
          <w:tcPr>
            <w:tcW w:type="dxa" w:w="2769"/>
          </w:tcPr>
          <w:p/>
        </w:tc>
        <w:tc>
          <w:tcPr>
            <w:tcW w:type="dxa" w:w="2769"/>
          </w:tcPr>
          <w:p>
            <w:pPr>
              <w:pStyle w:val="null3"/>
              <w:jc w:val="left"/>
            </w:pPr>
            <w:r>
              <w:rPr>
                <w:rFonts w:ascii="仿宋_GB2312" w:hAnsi="仿宋_GB2312" w:cs="仿宋_GB2312" w:eastAsia="仿宋_GB2312"/>
              </w:rPr>
              <w:t>（8） 其他：导轨套件。</w:t>
            </w:r>
          </w:p>
        </w:tc>
      </w:tr>
      <w:tr>
        <w:tc>
          <w:tcPr>
            <w:tcW w:type="dxa" w:w="2769"/>
          </w:tcPr>
          <w:p>
            <w:pPr>
              <w:pStyle w:val="null3"/>
              <w:jc w:val="left"/>
            </w:pPr>
            <w:r>
              <w:rPr>
                <w:rFonts w:ascii="仿宋_GB2312" w:hAnsi="仿宋_GB2312" w:cs="仿宋_GB2312" w:eastAsia="仿宋_GB2312"/>
              </w:rPr>
              <w:t>45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GPU节点3（2台）： （1） ▲设备规格：2U机架式服务器，兼容TPM/TCM安全控件模块；</w:t>
            </w:r>
          </w:p>
        </w:tc>
      </w:tr>
      <w:tr>
        <w:tc>
          <w:tcPr>
            <w:tcW w:type="dxa" w:w="2769"/>
          </w:tcPr>
          <w:p>
            <w:pPr>
              <w:pStyle w:val="null3"/>
              <w:jc w:val="left"/>
            </w:pPr>
            <w:r>
              <w:rPr>
                <w:rFonts w:ascii="仿宋_GB2312" w:hAnsi="仿宋_GB2312" w:cs="仿宋_GB2312" w:eastAsia="仿宋_GB2312"/>
              </w:rPr>
              <w:t>46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 ▲处理器（CPU）：不低于2颗Intel Xeon CPU（单颗主频2.4GHz、48核及以上，96线程，采用LGA4677接口）；</w:t>
            </w:r>
          </w:p>
        </w:tc>
      </w:tr>
      <w:tr>
        <w:tc>
          <w:tcPr>
            <w:tcW w:type="dxa" w:w="2769"/>
          </w:tcPr>
          <w:p>
            <w:pPr>
              <w:pStyle w:val="null3"/>
              <w:jc w:val="left"/>
            </w:pPr>
            <w:r>
              <w:rPr>
                <w:rFonts w:ascii="仿宋_GB2312" w:hAnsi="仿宋_GB2312" w:cs="仿宋_GB2312" w:eastAsia="仿宋_GB2312"/>
              </w:rPr>
              <w:t>47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▲内存（RAM）：不低于32条96GB DDR5 ECC RDIMM；</w:t>
            </w:r>
          </w:p>
        </w:tc>
      </w:tr>
      <w:tr>
        <w:tc>
          <w:tcPr>
            <w:tcW w:type="dxa" w:w="2769"/>
          </w:tcPr>
          <w:p>
            <w:pPr>
              <w:pStyle w:val="null3"/>
              <w:jc w:val="left"/>
            </w:pPr>
            <w:r>
              <w:rPr>
                <w:rFonts w:ascii="仿宋_GB2312" w:hAnsi="仿宋_GB2312" w:cs="仿宋_GB2312" w:eastAsia="仿宋_GB2312"/>
              </w:rPr>
              <w:t>48</w:t>
            </w:r>
          </w:p>
        </w:tc>
        <w:tc>
          <w:tcPr>
            <w:tcW w:type="dxa" w:w="2769"/>
          </w:tcPr>
          <w:p/>
        </w:tc>
        <w:tc>
          <w:tcPr>
            <w:tcW w:type="dxa" w:w="2769"/>
          </w:tcPr>
          <w:p>
            <w:pPr>
              <w:pStyle w:val="null3"/>
              <w:jc w:val="left"/>
            </w:pPr>
            <w:r>
              <w:rPr>
                <w:rFonts w:ascii="仿宋_GB2312" w:hAnsi="仿宋_GB2312" w:cs="仿宋_GB2312" w:eastAsia="仿宋_GB2312"/>
              </w:rPr>
              <w:t>（4） 系统盘：不低于2块960GB SATA SSD（Raid1）；</w:t>
            </w:r>
          </w:p>
        </w:tc>
      </w:tr>
      <w:tr>
        <w:tc>
          <w:tcPr>
            <w:tcW w:type="dxa" w:w="2769"/>
          </w:tcPr>
          <w:p>
            <w:pPr>
              <w:pStyle w:val="null3"/>
              <w:jc w:val="left"/>
            </w:pPr>
            <w:r>
              <w:rPr>
                <w:rFonts w:ascii="仿宋_GB2312" w:hAnsi="仿宋_GB2312" w:cs="仿宋_GB2312" w:eastAsia="仿宋_GB2312"/>
              </w:rPr>
              <w:t>49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▲GPU: 配置4块加速卡，单卡性能：显存容量不低于80GB，显存带宽不低于3TB/s ，FP64算力不低于25TFLOPS，单卡功耗不高于350W；</w:t>
            </w:r>
          </w:p>
        </w:tc>
      </w:tr>
      <w:tr>
        <w:tc>
          <w:tcPr>
            <w:tcW w:type="dxa" w:w="2769"/>
          </w:tcPr>
          <w:p>
            <w:pPr>
              <w:pStyle w:val="null3"/>
              <w:jc w:val="left"/>
            </w:pPr>
            <w:r>
              <w:rPr>
                <w:rFonts w:ascii="仿宋_GB2312" w:hAnsi="仿宋_GB2312" w:cs="仿宋_GB2312" w:eastAsia="仿宋_GB2312"/>
              </w:rPr>
              <w:t>50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▲网卡：配置1块双口千兆以太网卡；1块NVIDIA ConnectX-6 200Gb/s InfiniBand Adapter;</w:t>
            </w:r>
          </w:p>
        </w:tc>
      </w:tr>
      <w:tr>
        <w:tc>
          <w:tcPr>
            <w:tcW w:type="dxa" w:w="2769"/>
          </w:tcPr>
          <w:p>
            <w:pPr>
              <w:pStyle w:val="null3"/>
              <w:jc w:val="left"/>
            </w:pPr>
            <w:r>
              <w:rPr>
                <w:rFonts w:ascii="仿宋_GB2312" w:hAnsi="仿宋_GB2312" w:cs="仿宋_GB2312" w:eastAsia="仿宋_GB2312"/>
              </w:rPr>
              <w:t>51</w:t>
            </w:r>
          </w:p>
        </w:tc>
        <w:tc>
          <w:tcPr>
            <w:tcW w:type="dxa" w:w="2769"/>
          </w:tcPr>
          <w:p/>
        </w:tc>
        <w:tc>
          <w:tcPr>
            <w:tcW w:type="dxa" w:w="2769"/>
          </w:tcPr>
          <w:p>
            <w:pPr>
              <w:pStyle w:val="null3"/>
              <w:jc w:val="left"/>
            </w:pPr>
            <w:r>
              <w:rPr>
                <w:rFonts w:ascii="仿宋_GB2312" w:hAnsi="仿宋_GB2312" w:cs="仿宋_GB2312" w:eastAsia="仿宋_GB2312"/>
              </w:rPr>
              <w:t>（7） 电源：配置2600W（2+2）服务器热插拔冗余电源.</w:t>
            </w:r>
          </w:p>
        </w:tc>
      </w:tr>
      <w:tr>
        <w:tc>
          <w:tcPr>
            <w:tcW w:type="dxa" w:w="2769"/>
          </w:tcPr>
          <w:p>
            <w:pPr>
              <w:pStyle w:val="null3"/>
              <w:jc w:val="left"/>
            </w:pPr>
            <w:r>
              <w:rPr>
                <w:rFonts w:ascii="仿宋_GB2312" w:hAnsi="仿宋_GB2312" w:cs="仿宋_GB2312" w:eastAsia="仿宋_GB2312"/>
              </w:rPr>
              <w:t>52</w:t>
            </w:r>
          </w:p>
        </w:tc>
        <w:tc>
          <w:tcPr>
            <w:tcW w:type="dxa" w:w="2769"/>
          </w:tcPr>
          <w:p/>
        </w:tc>
        <w:tc>
          <w:tcPr>
            <w:tcW w:type="dxa" w:w="2769"/>
          </w:tcPr>
          <w:p>
            <w:pPr>
              <w:pStyle w:val="null3"/>
              <w:jc w:val="left"/>
            </w:pPr>
            <w:r>
              <w:rPr>
                <w:rFonts w:ascii="仿宋_GB2312" w:hAnsi="仿宋_GB2312" w:cs="仿宋_GB2312" w:eastAsia="仿宋_GB2312"/>
              </w:rPr>
              <w:t>（8） 其他：导轨套件。</w:t>
            </w:r>
          </w:p>
        </w:tc>
      </w:tr>
      <w:tr>
        <w:tc>
          <w:tcPr>
            <w:tcW w:type="dxa" w:w="2769"/>
          </w:tcPr>
          <w:p>
            <w:pPr>
              <w:pStyle w:val="null3"/>
              <w:jc w:val="left"/>
            </w:pPr>
            <w:r>
              <w:rPr>
                <w:rFonts w:ascii="仿宋_GB2312" w:hAnsi="仿宋_GB2312" w:cs="仿宋_GB2312" w:eastAsia="仿宋_GB2312"/>
              </w:rPr>
              <w:t>53</w:t>
            </w:r>
          </w:p>
        </w:tc>
        <w:tc>
          <w:tcPr>
            <w:tcW w:type="dxa" w:w="2769"/>
          </w:tcPr>
          <w:p/>
        </w:tc>
        <w:tc>
          <w:tcPr>
            <w:tcW w:type="dxa" w:w="2769"/>
          </w:tcPr>
          <w:p>
            <w:pPr>
              <w:pStyle w:val="null3"/>
              <w:jc w:val="left"/>
            </w:pPr>
            <w:r>
              <w:rPr>
                <w:rFonts w:ascii="仿宋_GB2312" w:hAnsi="仿宋_GB2312" w:cs="仿宋_GB2312" w:eastAsia="仿宋_GB2312"/>
              </w:rPr>
              <w:t>7、 交换机（1台）： （1） 24口千兆电口，4千兆光口三层网管企业级网络核心交换机</w:t>
            </w:r>
          </w:p>
        </w:tc>
      </w:tr>
      <w:tr>
        <w:tc>
          <w:tcPr>
            <w:tcW w:type="dxa" w:w="2769"/>
          </w:tcPr>
          <w:p>
            <w:pPr>
              <w:pStyle w:val="null3"/>
              <w:jc w:val="left"/>
            </w:pPr>
            <w:r>
              <w:rPr>
                <w:rFonts w:ascii="仿宋_GB2312" w:hAnsi="仿宋_GB2312" w:cs="仿宋_GB2312" w:eastAsia="仿宋_GB2312"/>
              </w:rPr>
              <w:t>54</w:t>
            </w:r>
          </w:p>
        </w:tc>
        <w:tc>
          <w:tcPr>
            <w:tcW w:type="dxa" w:w="2769"/>
          </w:tcPr>
          <w:p/>
        </w:tc>
        <w:tc>
          <w:tcPr>
            <w:tcW w:type="dxa" w:w="2769"/>
          </w:tcPr>
          <w:p>
            <w:pPr>
              <w:pStyle w:val="null3"/>
              <w:jc w:val="left"/>
            </w:pPr>
            <w:r>
              <w:rPr>
                <w:rFonts w:ascii="仿宋_GB2312" w:hAnsi="仿宋_GB2312" w:cs="仿宋_GB2312" w:eastAsia="仿宋_GB2312"/>
              </w:rPr>
              <w:t>（2）产品类型：千兆以太网交换机，企业级交换机；</w:t>
            </w:r>
          </w:p>
        </w:tc>
      </w:tr>
      <w:tr>
        <w:tc>
          <w:tcPr>
            <w:tcW w:type="dxa" w:w="2769"/>
          </w:tcPr>
          <w:p>
            <w:pPr>
              <w:pStyle w:val="null3"/>
              <w:jc w:val="left"/>
            </w:pPr>
            <w:r>
              <w:rPr>
                <w:rFonts w:ascii="仿宋_GB2312" w:hAnsi="仿宋_GB2312" w:cs="仿宋_GB2312" w:eastAsia="仿宋_GB2312"/>
              </w:rPr>
              <w:t>55</w:t>
            </w:r>
          </w:p>
        </w:tc>
        <w:tc>
          <w:tcPr>
            <w:tcW w:type="dxa" w:w="2769"/>
          </w:tcPr>
          <w:p/>
        </w:tc>
        <w:tc>
          <w:tcPr>
            <w:tcW w:type="dxa" w:w="2769"/>
          </w:tcPr>
          <w:p>
            <w:pPr>
              <w:pStyle w:val="null3"/>
              <w:jc w:val="left"/>
            </w:pPr>
            <w:r>
              <w:rPr>
                <w:rFonts w:ascii="仿宋_GB2312" w:hAnsi="仿宋_GB2312" w:cs="仿宋_GB2312" w:eastAsia="仿宋_GB2312"/>
              </w:rPr>
              <w:t>（3）应用层级：三层；</w:t>
            </w:r>
          </w:p>
        </w:tc>
      </w:tr>
      <w:tr>
        <w:tc>
          <w:tcPr>
            <w:tcW w:type="dxa" w:w="2769"/>
          </w:tcPr>
          <w:p>
            <w:pPr>
              <w:pStyle w:val="null3"/>
              <w:jc w:val="left"/>
            </w:pPr>
            <w:r>
              <w:rPr>
                <w:rFonts w:ascii="仿宋_GB2312" w:hAnsi="仿宋_GB2312" w:cs="仿宋_GB2312" w:eastAsia="仿宋_GB2312"/>
              </w:rPr>
              <w:t>56</w:t>
            </w:r>
          </w:p>
        </w:tc>
        <w:tc>
          <w:tcPr>
            <w:tcW w:type="dxa" w:w="2769"/>
          </w:tcPr>
          <w:p/>
        </w:tc>
        <w:tc>
          <w:tcPr>
            <w:tcW w:type="dxa" w:w="2769"/>
          </w:tcPr>
          <w:p>
            <w:pPr>
              <w:pStyle w:val="null3"/>
              <w:jc w:val="left"/>
            </w:pPr>
            <w:r>
              <w:rPr>
                <w:rFonts w:ascii="仿宋_GB2312" w:hAnsi="仿宋_GB2312" w:cs="仿宋_GB2312" w:eastAsia="仿宋_GB2312"/>
              </w:rPr>
              <w:t>（4）传输速率：10/100/1000Mbps；交换方式：存储-转发；</w:t>
            </w:r>
          </w:p>
        </w:tc>
      </w:tr>
      <w:tr>
        <w:tc>
          <w:tcPr>
            <w:tcW w:type="dxa" w:w="2769"/>
          </w:tcPr>
          <w:p>
            <w:pPr>
              <w:pStyle w:val="null3"/>
              <w:jc w:val="left"/>
            </w:pPr>
            <w:r>
              <w:rPr>
                <w:rFonts w:ascii="仿宋_GB2312" w:hAnsi="仿宋_GB2312" w:cs="仿宋_GB2312" w:eastAsia="仿宋_GB2312"/>
              </w:rPr>
              <w:t>57</w:t>
            </w:r>
          </w:p>
        </w:tc>
        <w:tc>
          <w:tcPr>
            <w:tcW w:type="dxa" w:w="2769"/>
          </w:tcPr>
          <w:p/>
        </w:tc>
        <w:tc>
          <w:tcPr>
            <w:tcW w:type="dxa" w:w="2769"/>
          </w:tcPr>
          <w:p>
            <w:pPr>
              <w:pStyle w:val="null3"/>
              <w:jc w:val="left"/>
            </w:pPr>
            <w:r>
              <w:rPr>
                <w:rFonts w:ascii="仿宋_GB2312" w:hAnsi="仿宋_GB2312" w:cs="仿宋_GB2312" w:eastAsia="仿宋_GB2312"/>
              </w:rPr>
              <w:t>（5）背板带宽：336Gbps/3.36Tbps；包转发率：108Mpps；</w:t>
            </w:r>
          </w:p>
        </w:tc>
      </w:tr>
      <w:tr>
        <w:tc>
          <w:tcPr>
            <w:tcW w:type="dxa" w:w="2769"/>
          </w:tcPr>
          <w:p>
            <w:pPr>
              <w:pStyle w:val="null3"/>
              <w:jc w:val="left"/>
            </w:pPr>
            <w:r>
              <w:rPr>
                <w:rFonts w:ascii="仿宋_GB2312" w:hAnsi="仿宋_GB2312" w:cs="仿宋_GB2312" w:eastAsia="仿宋_GB2312"/>
              </w:rPr>
              <w:t>58</w:t>
            </w:r>
          </w:p>
        </w:tc>
        <w:tc>
          <w:tcPr>
            <w:tcW w:type="dxa" w:w="2769"/>
          </w:tcPr>
          <w:p/>
        </w:tc>
        <w:tc>
          <w:tcPr>
            <w:tcW w:type="dxa" w:w="2769"/>
          </w:tcPr>
          <w:p>
            <w:pPr>
              <w:pStyle w:val="null3"/>
              <w:jc w:val="left"/>
            </w:pPr>
            <w:r>
              <w:rPr>
                <w:rFonts w:ascii="仿宋_GB2312" w:hAnsi="仿宋_GB2312" w:cs="仿宋_GB2312" w:eastAsia="仿宋_GB2312"/>
              </w:rPr>
              <w:t>（6）端口数量：28个；</w:t>
            </w:r>
          </w:p>
        </w:tc>
      </w:tr>
      <w:tr>
        <w:tc>
          <w:tcPr>
            <w:tcW w:type="dxa" w:w="2769"/>
          </w:tcPr>
          <w:p>
            <w:pPr>
              <w:pStyle w:val="null3"/>
              <w:jc w:val="left"/>
            </w:pPr>
            <w:r>
              <w:rPr>
                <w:rFonts w:ascii="仿宋_GB2312" w:hAnsi="仿宋_GB2312" w:cs="仿宋_GB2312" w:eastAsia="仿宋_GB2312"/>
              </w:rPr>
              <w:t>59</w:t>
            </w:r>
          </w:p>
        </w:tc>
        <w:tc>
          <w:tcPr>
            <w:tcW w:type="dxa" w:w="2769"/>
          </w:tcPr>
          <w:p/>
        </w:tc>
        <w:tc>
          <w:tcPr>
            <w:tcW w:type="dxa" w:w="2769"/>
          </w:tcPr>
          <w:p>
            <w:pPr>
              <w:pStyle w:val="null3"/>
              <w:jc w:val="left"/>
            </w:pPr>
            <w:r>
              <w:rPr>
                <w:rFonts w:ascii="仿宋_GB2312" w:hAnsi="仿宋_GB2312" w:cs="仿宋_GB2312" w:eastAsia="仿宋_GB2312"/>
              </w:rPr>
              <w:t>（7）端口描述：24个10/100/1000TX端口，4个SFP端口纠错；</w:t>
            </w:r>
          </w:p>
        </w:tc>
      </w:tr>
      <w:tr>
        <w:tc>
          <w:tcPr>
            <w:tcW w:type="dxa" w:w="2769"/>
          </w:tcPr>
          <w:p>
            <w:pPr>
              <w:pStyle w:val="null3"/>
              <w:jc w:val="left"/>
            </w:pPr>
            <w:r>
              <w:rPr>
                <w:rFonts w:ascii="仿宋_GB2312" w:hAnsi="仿宋_GB2312" w:cs="仿宋_GB2312" w:eastAsia="仿宋_GB2312"/>
              </w:rPr>
              <w:t>60</w:t>
            </w:r>
          </w:p>
        </w:tc>
        <w:tc>
          <w:tcPr>
            <w:tcW w:type="dxa" w:w="2769"/>
          </w:tcPr>
          <w:p/>
        </w:tc>
        <w:tc>
          <w:tcPr>
            <w:tcW w:type="dxa" w:w="2769"/>
          </w:tcPr>
          <w:p>
            <w:pPr>
              <w:pStyle w:val="null3"/>
              <w:jc w:val="left"/>
            </w:pPr>
            <w:r>
              <w:rPr>
                <w:rFonts w:ascii="仿宋_GB2312" w:hAnsi="仿宋_GB2312" w:cs="仿宋_GB2312" w:eastAsia="仿宋_GB2312"/>
              </w:rPr>
              <w:t>（8）控制端口：1个console口；</w:t>
            </w:r>
          </w:p>
        </w:tc>
      </w:tr>
      <w:tr>
        <w:tc>
          <w:tcPr>
            <w:tcW w:type="dxa" w:w="2769"/>
          </w:tcPr>
          <w:p>
            <w:pPr>
              <w:pStyle w:val="null3"/>
              <w:jc w:val="left"/>
            </w:pPr>
            <w:r>
              <w:rPr>
                <w:rFonts w:ascii="仿宋_GB2312" w:hAnsi="仿宋_GB2312" w:cs="仿宋_GB2312" w:eastAsia="仿宋_GB2312"/>
              </w:rPr>
              <w:t>61</w:t>
            </w:r>
          </w:p>
        </w:tc>
        <w:tc>
          <w:tcPr>
            <w:tcW w:type="dxa" w:w="2769"/>
          </w:tcPr>
          <w:p/>
        </w:tc>
        <w:tc>
          <w:tcPr>
            <w:tcW w:type="dxa" w:w="2769"/>
          </w:tcPr>
          <w:p>
            <w:pPr>
              <w:pStyle w:val="null3"/>
              <w:jc w:val="left"/>
            </w:pPr>
            <w:r>
              <w:rPr>
                <w:rFonts w:ascii="仿宋_GB2312" w:hAnsi="仿宋_GB2312" w:cs="仿宋_GB2312" w:eastAsia="仿宋_GB2312"/>
              </w:rPr>
              <w:t>（9） 其他：导轨套件。</w:t>
            </w:r>
          </w:p>
        </w:tc>
      </w:tr>
      <w:tr>
        <w:tc>
          <w:tcPr>
            <w:tcW w:type="dxa" w:w="2769"/>
          </w:tcPr>
          <w:p>
            <w:pPr>
              <w:pStyle w:val="null3"/>
              <w:jc w:val="left"/>
            </w:pPr>
            <w:r>
              <w:rPr>
                <w:rFonts w:ascii="仿宋_GB2312" w:hAnsi="仿宋_GB2312" w:cs="仿宋_GB2312" w:eastAsia="仿宋_GB2312"/>
              </w:rPr>
              <w:t>62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 IB交换机（1台）： （1） ▲40个HDR 200Gb/s 端口，16Tb/s 聚合交换机吞吐量.</w:t>
            </w:r>
          </w:p>
        </w:tc>
      </w:tr>
      <w:tr>
        <w:tc>
          <w:tcPr>
            <w:tcW w:type="dxa" w:w="2769"/>
          </w:tcPr>
          <w:p>
            <w:pPr>
              <w:pStyle w:val="null3"/>
              <w:jc w:val="left"/>
            </w:pPr>
            <w:r>
              <w:rPr>
                <w:rFonts w:ascii="仿宋_GB2312" w:hAnsi="仿宋_GB2312" w:cs="仿宋_GB2312" w:eastAsia="仿宋_GB2312"/>
              </w:rPr>
              <w:t>63</w:t>
            </w:r>
          </w:p>
        </w:tc>
        <w:tc>
          <w:tcPr>
            <w:tcW w:type="dxa" w:w="2769"/>
          </w:tcPr>
          <w:p/>
        </w:tc>
        <w:tc>
          <w:tcPr>
            <w:tcW w:type="dxa" w:w="2769"/>
          </w:tcPr>
          <w:p>
            <w:pPr>
              <w:pStyle w:val="null3"/>
              <w:jc w:val="left"/>
            </w:pPr>
            <w:r>
              <w:rPr>
                <w:rFonts w:ascii="仿宋_GB2312" w:hAnsi="仿宋_GB2312" w:cs="仿宋_GB2312" w:eastAsia="仿宋_GB2312"/>
              </w:rPr>
              <w:t>（2） 其他：导轨套件。</w:t>
            </w:r>
          </w:p>
        </w:tc>
      </w:tr>
      <w:tr>
        <w:tc>
          <w:tcPr>
            <w:tcW w:type="dxa" w:w="2769"/>
          </w:tcPr>
          <w:p>
            <w:pPr>
              <w:pStyle w:val="null3"/>
              <w:jc w:val="left"/>
            </w:pPr>
            <w:r>
              <w:rPr>
                <w:rFonts w:ascii="仿宋_GB2312" w:hAnsi="仿宋_GB2312" w:cs="仿宋_GB2312" w:eastAsia="仿宋_GB2312"/>
              </w:rPr>
              <w:t>64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 UPS不间断电源（1台）： （1） ▲输入相数：单相三线（1Φ+N+PE）；</w:t>
            </w:r>
          </w:p>
        </w:tc>
      </w:tr>
      <w:tr>
        <w:tc>
          <w:tcPr>
            <w:tcW w:type="dxa" w:w="2769"/>
          </w:tcPr>
          <w:p>
            <w:pPr>
              <w:pStyle w:val="null3"/>
              <w:jc w:val="left"/>
            </w:pPr>
            <w:r>
              <w:rPr>
                <w:rFonts w:ascii="仿宋_GB2312" w:hAnsi="仿宋_GB2312" w:cs="仿宋_GB2312" w:eastAsia="仿宋_GB2312"/>
              </w:rPr>
              <w:t>65</w:t>
            </w:r>
          </w:p>
        </w:tc>
        <w:tc>
          <w:tcPr>
            <w:tcW w:type="dxa" w:w="2769"/>
          </w:tcPr>
          <w:p/>
        </w:tc>
        <w:tc>
          <w:tcPr>
            <w:tcW w:type="dxa" w:w="2769"/>
          </w:tcPr>
          <w:p>
            <w:pPr>
              <w:pStyle w:val="null3"/>
              <w:jc w:val="left"/>
            </w:pPr>
            <w:r>
              <w:rPr>
                <w:rFonts w:ascii="仿宋_GB2312" w:hAnsi="仿宋_GB2312" w:cs="仿宋_GB2312" w:eastAsia="仿宋_GB2312"/>
              </w:rPr>
              <w:t>（2） 输出额定电压：208Vac /220Vac /230Vac/240Vac；</w:t>
            </w:r>
          </w:p>
        </w:tc>
      </w:tr>
      <w:tr>
        <w:tc>
          <w:tcPr>
            <w:tcW w:type="dxa" w:w="2769"/>
          </w:tcPr>
          <w:p>
            <w:pPr>
              <w:pStyle w:val="null3"/>
              <w:jc w:val="left"/>
            </w:pPr>
            <w:r>
              <w:rPr>
                <w:rFonts w:ascii="仿宋_GB2312" w:hAnsi="仿宋_GB2312" w:cs="仿宋_GB2312" w:eastAsia="仿宋_GB2312"/>
              </w:rPr>
              <w:t>66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▲并机数量6台；</w:t>
            </w:r>
          </w:p>
        </w:tc>
      </w:tr>
      <w:tr>
        <w:tc>
          <w:tcPr>
            <w:tcW w:type="dxa" w:w="2769"/>
          </w:tcPr>
          <w:p>
            <w:pPr>
              <w:pStyle w:val="null3"/>
              <w:jc w:val="left"/>
            </w:pPr>
            <w:r>
              <w:rPr>
                <w:rFonts w:ascii="仿宋_GB2312" w:hAnsi="仿宋_GB2312" w:cs="仿宋_GB2312" w:eastAsia="仿宋_GB2312"/>
              </w:rPr>
              <w:t>67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▲保护功能：输出短路保护，输出过载保护，过温度保护，电池低压保护，输出过欠压保护，风扇故障保护等；</w:t>
            </w:r>
          </w:p>
        </w:tc>
      </w:tr>
      <w:tr>
        <w:tc>
          <w:tcPr>
            <w:tcW w:type="dxa" w:w="2769"/>
          </w:tcPr>
          <w:p>
            <w:pPr>
              <w:pStyle w:val="null3"/>
              <w:jc w:val="left"/>
            </w:pPr>
            <w:r>
              <w:rPr>
                <w:rFonts w:ascii="仿宋_GB2312" w:hAnsi="仿宋_GB2312" w:cs="仿宋_GB2312" w:eastAsia="仿宋_GB2312"/>
              </w:rPr>
              <w:t>68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 ▲总功率: 10kVA；</w:t>
            </w:r>
          </w:p>
        </w:tc>
      </w:tr>
      <w:tr>
        <w:tc>
          <w:tcPr>
            <w:tcW w:type="dxa" w:w="2769"/>
          </w:tcPr>
          <w:p>
            <w:pPr>
              <w:pStyle w:val="null3"/>
              <w:jc w:val="left"/>
            </w:pPr>
            <w:r>
              <w:rPr>
                <w:rFonts w:ascii="仿宋_GB2312" w:hAnsi="仿宋_GB2312" w:cs="仿宋_GB2312" w:eastAsia="仿宋_GB2312"/>
              </w:rPr>
              <w:t>69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 ▲蓄电池：16节12V100AH;</w:t>
            </w:r>
          </w:p>
        </w:tc>
      </w:tr>
      <w:tr>
        <w:tc>
          <w:tcPr>
            <w:tcW w:type="dxa" w:w="2769"/>
          </w:tcPr>
          <w:p>
            <w:pPr>
              <w:pStyle w:val="null3"/>
              <w:jc w:val="left"/>
            </w:pPr>
            <w:r>
              <w:rPr>
                <w:rFonts w:ascii="仿宋_GB2312" w:hAnsi="仿宋_GB2312" w:cs="仿宋_GB2312" w:eastAsia="仿宋_GB2312"/>
              </w:rPr>
              <w:t>70</w:t>
            </w:r>
          </w:p>
        </w:tc>
        <w:tc>
          <w:tcPr>
            <w:tcW w:type="dxa" w:w="2769"/>
          </w:tcPr>
          <w:p/>
        </w:tc>
        <w:tc>
          <w:tcPr>
            <w:tcW w:type="dxa" w:w="2769"/>
          </w:tcPr>
          <w:p>
            <w:pPr>
              <w:pStyle w:val="null3"/>
              <w:jc w:val="left"/>
            </w:pPr>
            <w:r>
              <w:rPr>
                <w:rFonts w:ascii="仿宋_GB2312" w:hAnsi="仿宋_GB2312" w:cs="仿宋_GB2312" w:eastAsia="仿宋_GB2312"/>
              </w:rPr>
              <w:t>（7） 电池柜：1个.</w:t>
            </w:r>
          </w:p>
        </w:tc>
      </w:tr>
      <w:tr>
        <w:tc>
          <w:tcPr>
            <w:tcW w:type="dxa" w:w="2769"/>
          </w:tcPr>
          <w:p>
            <w:pPr>
              <w:pStyle w:val="null3"/>
              <w:jc w:val="left"/>
            </w:pPr>
            <w:r>
              <w:rPr>
                <w:rFonts w:ascii="仿宋_GB2312" w:hAnsi="仿宋_GB2312" w:cs="仿宋_GB2312" w:eastAsia="仿宋_GB2312"/>
              </w:rPr>
              <w:t>71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 ▲安装服务：含安装调试。</w:t>
            </w:r>
          </w:p>
        </w:tc>
      </w:tr>
      <w:tr>
        <w:tc>
          <w:tcPr>
            <w:tcW w:type="dxa" w:w="2769"/>
          </w:tcPr>
          <w:p>
            <w:pPr>
              <w:pStyle w:val="null3"/>
              <w:jc w:val="left"/>
            </w:pPr>
            <w:r>
              <w:rPr>
                <w:rFonts w:ascii="仿宋_GB2312" w:hAnsi="仿宋_GB2312" w:cs="仿宋_GB2312" w:eastAsia="仿宋_GB2312"/>
              </w:rPr>
              <w:t>72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其他要求： ▲1.为确保售后服务质量，需提供生产厂家或总代理或区域代理针对本项目的售后服务承诺函。</w:t>
            </w:r>
          </w:p>
        </w:tc>
      </w:tr>
      <w:tr>
        <w:tc>
          <w:tcPr>
            <w:tcW w:type="dxa" w:w="2769"/>
          </w:tcPr>
          <w:p>
            <w:pPr>
              <w:pStyle w:val="null3"/>
              <w:jc w:val="left"/>
            </w:pPr>
            <w:r>
              <w:rPr>
                <w:rFonts w:ascii="仿宋_GB2312" w:hAnsi="仿宋_GB2312" w:cs="仿宋_GB2312" w:eastAsia="仿宋_GB2312"/>
              </w:rPr>
              <w:t>73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3.1、</w:t>
            </w:r>
            <w:r>
              <w:rPr>
                <w:rFonts w:ascii="仿宋_GB2312" w:hAnsi="仿宋_GB2312" w:cs="仿宋_GB2312" w:eastAsia="仿宋_GB2312"/>
                <w:sz w:val="21"/>
                <w:b/>
              </w:rPr>
              <w:t>设备的安装调试、试运行和验收标准要求</w:t>
            </w:r>
          </w:p>
          <w:p>
            <w:pPr>
              <w:pStyle w:val="null3"/>
              <w:ind w:firstLine="480"/>
              <w:jc w:val="both"/>
            </w:pPr>
            <w:r>
              <w:rPr>
                <w:rFonts w:ascii="仿宋_GB2312" w:hAnsi="仿宋_GB2312" w:cs="仿宋_GB2312" w:eastAsia="仿宋_GB2312"/>
                <w:sz w:val="21"/>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480"/>
              <w:jc w:val="both"/>
            </w:pPr>
            <w:r>
              <w:rPr>
                <w:rFonts w:ascii="仿宋_GB2312" w:hAnsi="仿宋_GB2312" w:cs="仿宋_GB2312" w:eastAsia="仿宋_GB2312"/>
                <w:sz w:val="21"/>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480"/>
              <w:jc w:val="both"/>
            </w:pPr>
            <w:r>
              <w:rPr>
                <w:rFonts w:ascii="仿宋_GB2312" w:hAnsi="仿宋_GB2312" w:cs="仿宋_GB2312" w:eastAsia="仿宋_GB2312"/>
                <w:sz w:val="21"/>
              </w:rPr>
              <w:t>3.1.3所有产品经安装、调试、技术培训、验收合格后，双方在《海南省政府集中采购货物验收单》一式四份书面签字（盖章）验收。</w:t>
            </w:r>
          </w:p>
          <w:p>
            <w:pPr>
              <w:pStyle w:val="null3"/>
              <w:spacing w:after="120"/>
              <w:ind w:firstLine="480"/>
              <w:jc w:val="both"/>
            </w:pPr>
            <w:r>
              <w:rPr>
                <w:rFonts w:ascii="仿宋_GB2312" w:hAnsi="仿宋_GB2312" w:cs="仿宋_GB2312" w:eastAsia="仿宋_GB2312"/>
                <w:sz w:val="21"/>
              </w:rPr>
              <w:t>3.1.4交货地点：采购人指定地点</w:t>
            </w:r>
          </w:p>
          <w:p>
            <w:pPr>
              <w:pStyle w:val="null3"/>
              <w:ind w:firstLine="482"/>
              <w:jc w:val="both"/>
            </w:pPr>
            <w:r>
              <w:rPr>
                <w:rFonts w:ascii="仿宋_GB2312" w:hAnsi="仿宋_GB2312" w:cs="仿宋_GB2312" w:eastAsia="仿宋_GB2312"/>
                <w:sz w:val="21"/>
                <w:b/>
              </w:rPr>
              <w:t>3.2工具、备件、易损件</w:t>
            </w:r>
          </w:p>
          <w:p>
            <w:pPr>
              <w:pStyle w:val="null3"/>
              <w:ind w:firstLine="480"/>
              <w:jc w:val="both"/>
            </w:pPr>
            <w:r>
              <w:rPr>
                <w:rFonts w:ascii="仿宋_GB2312" w:hAnsi="仿宋_GB2312" w:cs="仿宋_GB2312" w:eastAsia="仿宋_GB2312"/>
                <w:sz w:val="21"/>
              </w:rPr>
              <w:t>3.2.1供应商提供产品设备所带专用工具清单，并标明其种类、用途和生产厂，并在货物到货时同时提供给业主，此价格应包含在投标价中。</w:t>
            </w:r>
          </w:p>
          <w:p>
            <w:pPr>
              <w:pStyle w:val="null3"/>
              <w:ind w:firstLine="480"/>
              <w:jc w:val="both"/>
            </w:pPr>
            <w:r>
              <w:rPr>
                <w:rFonts w:ascii="仿宋_GB2312" w:hAnsi="仿宋_GB2312" w:cs="仿宋_GB2312" w:eastAsia="仿宋_GB2312"/>
                <w:sz w:val="21"/>
              </w:rPr>
              <w:t>3.2.2供应商可提供一个在正常情况使用下，质保期满后3年内可保证仪器设备正常使用的备件和材料清单，并标明其种类、生产厂、单价和总价，业主有权决定全部或有选择的购买。</w:t>
            </w:r>
          </w:p>
          <w:p>
            <w:pPr>
              <w:pStyle w:val="null3"/>
              <w:ind w:firstLine="480"/>
              <w:jc w:val="both"/>
            </w:pPr>
            <w:r>
              <w:rPr>
                <w:rFonts w:ascii="仿宋_GB2312" w:hAnsi="仿宋_GB2312" w:cs="仿宋_GB2312" w:eastAsia="仿宋_GB2312"/>
                <w:sz w:val="21"/>
              </w:rPr>
              <w:t>3.2.3供应商可提供一个易损、易耗件清单，并标明用途、生产厂、常规使用寿命和单价。</w:t>
            </w:r>
          </w:p>
          <w:p>
            <w:pPr>
              <w:pStyle w:val="null3"/>
              <w:ind w:firstLine="482"/>
              <w:jc w:val="both"/>
            </w:pPr>
            <w:r>
              <w:rPr>
                <w:rFonts w:ascii="仿宋_GB2312" w:hAnsi="仿宋_GB2312" w:cs="仿宋_GB2312" w:eastAsia="仿宋_GB2312"/>
                <w:sz w:val="21"/>
                <w:b/>
              </w:rPr>
              <w:t>3.3售后服务</w:t>
            </w:r>
          </w:p>
          <w:p>
            <w:pPr>
              <w:pStyle w:val="null3"/>
              <w:ind w:firstLine="480"/>
              <w:jc w:val="both"/>
            </w:pPr>
            <w:r>
              <w:rPr>
                <w:rFonts w:ascii="仿宋_GB2312" w:hAnsi="仿宋_GB2312" w:cs="仿宋_GB2312" w:eastAsia="仿宋_GB2312"/>
                <w:sz w:val="21"/>
              </w:rPr>
              <w:t>3.3.1供货方中标后应具有相应的技术支持及售后服务，确保设备使用的用户能够得到及时优质的售后服务。</w:t>
            </w:r>
          </w:p>
          <w:p>
            <w:pPr>
              <w:pStyle w:val="null3"/>
              <w:ind w:firstLine="480"/>
              <w:jc w:val="both"/>
            </w:pPr>
            <w:r>
              <w:rPr>
                <w:rFonts w:ascii="仿宋_GB2312" w:hAnsi="仿宋_GB2312" w:cs="仿宋_GB2312" w:eastAsia="仿宋_GB2312"/>
                <w:sz w:val="21"/>
              </w:rPr>
              <w:t>3.3.2质保期至少3年（采购清单中免费保修期有特殊要求的按照采购清单中的为准。若厂家有超过期限免费保修期的按厂家方案执行），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jc w:val="left"/>
            </w:pPr>
            <w:r>
              <w:rPr>
                <w:rFonts w:ascii="仿宋_GB2312" w:hAnsi="仿宋_GB2312" w:cs="仿宋_GB2312" w:eastAsia="仿宋_GB2312"/>
                <w:sz w:val="21"/>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没有环保类行政处罚记录承诺函 其他承诺函 投标人诚信守法承诺书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投标保证金缴纳证明材料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提供投标函，内容完整无缺漏。</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高性能计算AI服务器主机机组（1套） 1、 主节点（1台）： （1） ▲设备规格：2U机架式服务器，兼容TPM/TCM安全控件模块；</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▲处理器（CPU）：不低于2颗Intel Xeon CPU（单颗主频2.4GHz、16核及以上）；</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内存（RAM）: 不低于16条64GB DDR4 ECC RDIMM；</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▲数据盘：不低于5块12TB SAS 企业级硬盘（Raid5）；</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Raid卡：配置1块独立RAID卡，支持RAID0,1,10,5,6,50,60；</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电源：配置1300W（1+1）服务器热插拔冗余电源。</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功能：提供人工智能应用及HPC应用功能授权，用户可以自定义所需功能模块，提供用户管理，支持用户组创建、删除，角色设定，将用户加入或移出用户组等。支持对用户和分区设置资源的配额，包括CPU、GPU、Mem，用户使用的资源总和不能超过配额，分区任务消耗的资源总和不能超过配额；提供监控服务器设备节点的状态，提供实时异常与否的状态展示，具备后期集群快速新增计算节点可实现集群管理，自动化部署、监控警告以及自动导出巡检报告功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（10） 其他：导轨套件。</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IO节点（1台）： （1） ▲设备规格：2U机架式服务器，兼容TPM/TCM安全控件模块；</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▲处理器（CPU）：不低于2颗Intel Xeon CPU （单颗主频2.4GHz、16核及以上）；</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内存（RAM）：不低于4条32GB DDR4 ECC RDIMM；</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Raid卡：配置1*独立RAID卡，支持RAID0,1,10,5,6,50,60；</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▲HBA卡：配置1块4 x 12Gb/s SAS HBA 直通卡；</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电源：配置1300W（1+1）服务器热插拔冗余电源.</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▲其他： 导轨套件、SAS线 × 4。</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高性能统一存储磁盘阵列柜（1台） （1） ▲设备规格：4U 不少于90盘位，提供专用客户端软件，提供自动侦测，自动挂载，可排程自动全量，增量，差异备份客户端数据，user设定档自动迁移功能；支持QoS功能，可以根据各种服务协议分别设置各数据端口带宽上下限制；</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▲主机通道：配置4 x 25Gb/s iSCSI (SFP28)光口+4 x 12Gb/s SAS端口; 4x12Gb/s SAS EXP. ports；</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▲存储控制器：双控冗余控制器 含Turbo芯片Symmetric A-A controller 对称双活 双活控制器配置NAS双活SAN双活；</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▲缓存：配置双控384GB 一级缓存，带超级电容及备份模块；</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▲RAID功能：1RAID级别支持 : RAID 0, 1 (0+1), 3, 5, 6, 10, 30, 50, 60; 支持全局热备或箱体热备、专属热备盘；能够智能监控磁盘状态，将疑似故障盘的数据迁移到热备盘，预防或降低硬盘失效引起的数据损坏风险。</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▲磁盘通道：标准12Gb/s SAS 3.0；</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数据服务功能：支持块级，文件级本地数据快照：配置每个系统快照数量≥128，最大支持≥4096,快照间隔不大于10分钟。支持集群快照，透过挂载方式获取集群数据，支持从集群内任意一台成员设备备份集群配置，用于后续配置导入；持远程复制功能，支持异步复制和同步复制，可实现基于存储的异地容灾，最大支持卷复制数量≥64对；配置自动精简功能，包含Thin Provisioning，full Provisioning两种模式。</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▲硬盘配置：本次配置4颗1.92TB SAS SSD ，56颗16TB SAS硬盘；双控支持最大硬盘数≥896颗，集群支持≥3584颗硬盘，支持SAS SSD、SAS、NL-SAS类型硬盘扩展，支持热拔插和在线更换故障硬盘。</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▲其他： 导轨套件。</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GPU节点1（4台）： （1） ▲设备规格：4U机架式服务器，兼容TPM/TCM安全控件模块；</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▲处理器（CPU）：不低于2颗Intel Xeon CPU（单颗主频2.4GHz、48核及以上，96线程，采用LGA4677接口）；</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▲内存（RAM）：不低于32条96GB DDR5 ECC RDIMM；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▲GPU: 配置4块加速卡，单卡性能：显存容量不低于48GB，显存带宽不低于1008GB/s ，FP32算力不低于82TFLOPS，最大支持8块全高全长双宽GPU加速卡；</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电源：配置2600W（2+2）服务器热插拔冗余电源.</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其他：导轨套件。</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GPU节点2（3台）： （1） ▲设备规格：4U机架式服务器，兼容TPM/TCM安全控件模块；</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▲处理器（CPU）：不低于2颗Intel Xeon CPU（单颗主频2.4GHz、48核及以上，96线程，采用LGA4677接口）；</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▲内存（RAM）：不低于32条96GB DDR5 ECC RDIMM；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▲GPU: 配置8块加速卡，单卡性能：显存容量不低于48GB, 显存带宽不低于1008GB/s ，FP32算力不低于82TFLOPS；</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电源：配置2600W（2+2）服务器热插拔冗余电源.</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其他：导轨套件。</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GPU节点3（2台）： （1） ▲设备规格：2U机架式服务器，兼容TPM/TCM安全控件模块；</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▲处理器（CPU）：不低于2颗Intel Xeon CPU（单颗主频2.4GHz、48核及以上，96线程，采用LGA4677接口）；</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▲内存（RAM）：不低于32条96GB DDR5 ECC RDIMM；</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系统盘：不低于2块960GB SATA SSD（Raid1）；</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▲GPU: 配置4块加速卡，单卡性能：显存容量不低于80GB，显存带宽不低于3TB/s ，FP64算力不低于25TFLOPS，单卡功耗不高于350W；</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▲网卡：配置1块双口千兆以太网卡；1块NVIDIA ConnectX-6 200Gb/s InfiniBand Adapter;</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电源：配置2600W（2+2）服务器热插拔冗余电源.</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其他：导轨套件。</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交换机（1台）： （1） 24口千兆电口，4千兆光口三层网管企业级网络核心交换机</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（2）产品类型：千兆以太网交换机，企业级交换机；</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（3）应用层级：三层；</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（4）传输速率：10/100/1000Mbps；交换方式：存储-转发；</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（5）背板带宽：336Gbps/3.36Tbps；包转发率：108Mpps；</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（6）端口数量：28个；</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（7）端口描述：24个10/100/1000TX端口，4个SFP端口纠错；</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（8）控制端口：1个console口；</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其他：导轨套件。</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IB交换机（1台）： （1） ▲40个HDR 200Gb/s 端口，16Tb/s 聚合交换机吞吐量.</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其他：导轨套件。</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9、 UPS不间断电源（1台）： （1） ▲输入相数：单相三线（1Φ+N+PE）；</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 输出额定电压：208Vac /220Vac /230Vac/240Vac；</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（3） ▲并机数量6台；</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（4） ▲保护功能：输出短路保护，输出过载保护，过温度保护，电池低压保护，输出过欠压保护，风扇故障保护等；</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（5） ▲总功率: 10kVA；</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（6） ▲蓄电池：16节12V100AH;</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（7） 电池柜：1个.</w:t>
            </w:r>
          </w:p>
        </w:tc>
        <w:tc>
          <w:tcPr>
            <w:tcW w:type="dxa" w:w="831"/>
          </w:tcPr>
          <w:p>
            <w:pPr>
              <w:pStyle w:val="null3"/>
              <w:jc w:val="right"/>
            </w:pPr>
            <w:r>
              <w:rPr>
                <w:rFonts w:ascii="仿宋_GB2312" w:hAnsi="仿宋_GB2312" w:cs="仿宋_GB2312" w:eastAsia="仿宋_GB2312"/>
              </w:rPr>
              <w:t>0.18</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（8） ▲安装服务：含安装调试。</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其他要求： ▲1.为确保售后服务质量，需提供生产厂家或总代理或区域代理针对本项目的售后服务承诺函。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为确保货物质量，需提供生产厂家或总代理或区域代理针对本项目的授权书(总代理投标须提供厂家授权书；区域代理投标须提供总代理授权书；其他经销商投标，须提供总代理授权书或区域代理授权书）及生产厂家或总代理或区域代理针对本项目的技术参数确认函。</w:t>
            </w:r>
          </w:p>
        </w:tc>
        <w:tc>
          <w:tcPr>
            <w:tcW w:type="dxa" w:w="831"/>
          </w:tcPr>
          <w:p>
            <w:pPr>
              <w:pStyle w:val="null3"/>
              <w:jc w:val="right"/>
            </w:pPr>
            <w:r>
              <w:rPr>
                <w:rFonts w:ascii="仿宋_GB2312" w:hAnsi="仿宋_GB2312" w:cs="仿宋_GB2312" w:eastAsia="仿宋_GB2312"/>
              </w:rPr>
              <w:t>1.20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1、供应商承诺成交后设有服务机构（提供承诺函）得2分； 2、供应商承诺成交后有固定的维护人员并有能力及时处理所有可能发生的故障（提供承诺函）得2分； 3、在质保期以内，供应商在接到业主的维修通知对故障能在1（含）小时内响应，4（含）小时内派出有能力的维修人员赶到业主现场进行处理得6分；在质保期以内，供应商在接到业主的维修通知对故障能在1-2（含）小时内电话响应，4-5（含）小时内派出有能力的维修人员赶到业主现场进行处理得3分；在质保期以内，供应商在接到业主的维修通知对故障能在2-3（含）小时内电话响应，5-24（含）小时内派出有能力的维修人员赶到业主现场进行处理得2分； 在质保期以内，供应商在接到业主的维修通知对故障超过3小时电话响应，超过24小时派出有能力的维修人员赶到业主现场进行处理不得分 ； 其他情况不得分。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3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HD2025-1-020R</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新药筛选及评价平台设备购置第七批(二次)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C包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A02100699-其他试验仪器及装置</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5182515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详见附件：投标人诚信守法承诺书</w:t>
      </w:r>
    </w:p>
    <w:p>
      <w:pPr>
        <w:pStyle w:val="null3"/>
        <w:ind w:firstLine="960"/>
        <w:jc w:val="left"/>
      </w:pPr>
      <w:r>
        <w:rPr>
          <w:rFonts w:ascii="仿宋_GB2312" w:hAnsi="仿宋_GB2312" w:cs="仿宋_GB2312" w:eastAsia="仿宋_GB2312"/>
        </w:rPr>
        <w:t>详见附件：没有环保类行政处罚记录承诺函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