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2025年红岭灌区渠道及渠系建筑物日常维修养护项目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HNHS-2025-096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海南省红岭灌区管理中心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海南省红岭灌区管理中心</w:t>
      </w:r>
      <w:r>
        <w:rPr>
          <w:rFonts w:ascii="仿宋_GB2312" w:hAnsi="仿宋_GB2312" w:cs="仿宋_GB2312" w:eastAsia="仿宋_GB2312"/>
        </w:rPr>
        <w:t xml:space="preserve"> 的委托，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2025年红岭灌区渠道及渠系建筑物日常维修养护项目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HNHS-2025-096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2025年红岭灌区渠道及渠系建筑物日常维修养护项目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3,686,175.58元</w:t>
      </w:r>
      <w:r>
        <w:rPr>
          <w:rFonts w:ascii="仿宋_GB2312" w:hAnsi="仿宋_GB2312" w:cs="仿宋_GB2312" w:eastAsia="仿宋_GB2312"/>
        </w:rPr>
        <w:t>叁佰陆拾捌万陆仟壹佰柒拾伍元伍角捌分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3.1具备有效的安全生产许可证，同时具有建设行政主管部门核发的水利水电工程施工总承包叁级（含）以上资质或已根据《住房和城乡建设部关于印发建设工程企业资质管理制度改革方案的通知》【建市〔2020〕94 号】换发新证的水利水电工程施工总承包乙级（含）以上资质，同时具备安全生产许可证，并在人员、设备、资金等方面具有相应的施工能力。（提供相关资质证书复印件加盖公章）。 3.2拟派的项目经理须为本单位注册的水利水电工程专业贰级（含）以上注册建造师执业资格，并未担任其他在施建设工程项目的项目经理。（提供项目经理注册证复印件加盖公章及未担任其他在施工程项目的承诺函加盖公章，格式自拟）。 3.3本次招标接受联合体投标。联合体投标的，应满足下列要求：（1）提交联合体各成员单位共同签订的共同投标协议，明确各成员单位各自的权利和义务以及应当承担的责任，同时载明联合体各成员单位的具体工作分工；（2）联合体各成员单位应当具备与联合体协议中约定的分工相适应的施工资质或资格以及施工能力；（3）联合体各方签订共同投标协议后，不得再以自己名义单独或者以其他联合体成员的名义参加同一项目的投标；（4）联合体组成单位不超过2家，由联合体牵头单位负责本项目报名、递交投标文件等相关事项。</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本项目采用全流程电子化操作，潜在供应商应在海南省政府采购智慧云平台(https://ccgp-hainan.gov.cn/)免费申请账号在海南省政府采购智慧云平台上公开信息系统按项目获取采购文件，可下载查看操作手册，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海南省红岭灌区管理中心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海府路72号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0898-65369715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采购包1：3,686,175.58元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代理服务费收费标准：（1）按照上级部门批复后相应的金额乘以（1-中标下浮率15%）进行计算，即28807.95×（1-15%）=24486元； （2）施工标中标后，用其中标金额按《招标代理服务收费管理暂行办法》（计价格[2012]1980号）计价标准计算出招标代理服务收费额，再乘以（1-中标下浮率15%）后得出招标代理服务费； （3）本项目招标代理服务费的计取，比较上述2个金额的计算结果，取价格低的为本次招标代理服务费，由甲方向乙方支付。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2、本项目不接受供应商的电子备用投标文件，以供应商成功加密后递交至海南省政府采购智慧云平台的电子投标文件为准，因投标人自身原因导致无法解密或解密失败的，自行承担不利后果。3、供应商如遇技术问题自行联系海南省政府采购智慧云平台客服。4、本项目不组织踏勘，投标人可自行踏勘。</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地址：海南省海口市美兰区名门广场北区B2座1909号房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1</w:t>
      </w:r>
      <w:r>
        <w:rPr>
          <w:rFonts w:ascii="仿宋_GB2312" w:hAnsi="仿宋_GB2312" w:cs="仿宋_GB2312" w:eastAsia="仿宋_GB2312"/>
          <w:sz w:val="28"/>
        </w:rPr>
        <w:t>、项目名称</w:t>
      </w:r>
      <w:r>
        <w:rPr>
          <w:rFonts w:ascii="仿宋_GB2312" w:hAnsi="仿宋_GB2312" w:cs="仿宋_GB2312" w:eastAsia="仿宋_GB2312"/>
          <w:sz w:val="28"/>
        </w:rPr>
        <w:t>:</w:t>
      </w:r>
      <w:r>
        <w:rPr>
          <w:rFonts w:ascii="仿宋_GB2312" w:hAnsi="仿宋_GB2312" w:cs="仿宋_GB2312" w:eastAsia="仿宋_GB2312"/>
          <w:sz w:val="28"/>
          <w:shd w:fill="FFFFFF" w:val="clear"/>
        </w:rPr>
        <w:t>2025年红岭灌区渠道及渠系建筑物日常维修养护项目</w:t>
      </w:r>
    </w:p>
    <w:p>
      <w:pPr>
        <w:pStyle w:val="null3"/>
        <w:spacing w:before="105" w:after="105"/>
        <w:ind w:firstLine="480"/>
        <w:jc w:val="both"/>
      </w:pPr>
      <w:r>
        <w:rPr>
          <w:rFonts w:ascii="仿宋_GB2312" w:hAnsi="仿宋_GB2312" w:cs="仿宋_GB2312" w:eastAsia="仿宋_GB2312"/>
          <w:sz w:val="28"/>
        </w:rPr>
        <w:t>2、最高限价：3686175.58元</w:t>
      </w:r>
    </w:p>
    <w:p>
      <w:pPr>
        <w:pStyle w:val="null3"/>
        <w:spacing w:before="105" w:after="105"/>
        <w:ind w:firstLine="480"/>
        <w:jc w:val="both"/>
      </w:pPr>
      <w:r>
        <w:rPr>
          <w:rFonts w:ascii="仿宋_GB2312" w:hAnsi="仿宋_GB2312" w:cs="仿宋_GB2312" w:eastAsia="仿宋_GB2312"/>
          <w:sz w:val="28"/>
        </w:rPr>
        <w:t>3、建设地点：海南省东北部</w:t>
      </w:r>
    </w:p>
    <w:p>
      <w:pPr>
        <w:pStyle w:val="null3"/>
        <w:spacing w:before="105" w:after="105"/>
        <w:ind w:firstLine="480"/>
        <w:jc w:val="both"/>
      </w:pPr>
      <w:r>
        <w:rPr>
          <w:rFonts w:ascii="仿宋_GB2312" w:hAnsi="仿宋_GB2312" w:cs="仿宋_GB2312" w:eastAsia="仿宋_GB2312"/>
          <w:sz w:val="28"/>
        </w:rPr>
        <w:t>4、工程内容：维修养护渠道9条、总长297.829km;对总干渠、东干渠、西干渠等6条干渠上的182座闸门进行养护，对伸缩缝、金属结构防腐等实体工程必须符合水利工程质量控制的要求，灌区范围涉及海口、文昌、琼海、定安和屯昌等五个市县，设计灌溉面积145.48万亩。</w:t>
      </w:r>
    </w:p>
    <w:p>
      <w:pPr>
        <w:pStyle w:val="null3"/>
        <w:spacing w:before="105" w:after="105"/>
        <w:ind w:firstLine="480"/>
        <w:jc w:val="both"/>
      </w:pPr>
      <w:r>
        <w:rPr>
          <w:rFonts w:ascii="仿宋_GB2312" w:hAnsi="仿宋_GB2312" w:cs="仿宋_GB2312" w:eastAsia="仿宋_GB2312"/>
          <w:sz w:val="28"/>
        </w:rPr>
        <w:t>5、采购范围：施工总承包（具体以工程量清单及施工图为准）</w:t>
      </w:r>
    </w:p>
    <w:p>
      <w:pPr>
        <w:pStyle w:val="null3"/>
        <w:spacing w:before="105" w:after="105"/>
        <w:ind w:firstLine="480"/>
        <w:jc w:val="left"/>
      </w:pPr>
      <w:r>
        <w:rPr>
          <w:rFonts w:ascii="仿宋_GB2312" w:hAnsi="仿宋_GB2312" w:cs="仿宋_GB2312" w:eastAsia="仿宋_GB2312"/>
          <w:sz w:val="28"/>
        </w:rPr>
        <w:t>6、工程量清单、图纸：详见附件（工程量清单、图纸）</w:t>
      </w:r>
    </w:p>
    <w:p>
      <w:pPr>
        <w:pStyle w:val="null3"/>
        <w:spacing w:before="105" w:after="105"/>
        <w:ind w:firstLine="480"/>
        <w:jc w:val="left"/>
      </w:pPr>
      <w:r>
        <w:rPr>
          <w:rFonts w:ascii="仿宋_GB2312" w:hAnsi="仿宋_GB2312" w:cs="仿宋_GB2312" w:eastAsia="仿宋_GB2312"/>
          <w:sz w:val="28"/>
        </w:rPr>
        <w:t>7、施工工期（合同履行期限）： 90日历天</w:t>
      </w:r>
    </w:p>
    <w:p>
      <w:pPr>
        <w:pStyle w:val="null3"/>
        <w:spacing w:before="105" w:after="105"/>
        <w:ind w:firstLine="480"/>
        <w:jc w:val="both"/>
      </w:pPr>
      <w:r>
        <w:rPr>
          <w:rFonts w:ascii="仿宋_GB2312" w:hAnsi="仿宋_GB2312" w:cs="仿宋_GB2312" w:eastAsia="仿宋_GB2312"/>
          <w:sz w:val="28"/>
        </w:rPr>
        <w:t>8、质量要求：合格。</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3,686,175.58</w:t>
      </w:r>
    </w:p>
    <w:p>
      <w:pPr>
        <w:pStyle w:val="null3"/>
        <w:jc w:val="left"/>
      </w:pPr>
      <w:r>
        <w:rPr>
          <w:rFonts w:ascii="仿宋_GB2312" w:hAnsi="仿宋_GB2312" w:cs="仿宋_GB2312" w:eastAsia="仿宋_GB2312"/>
        </w:rPr>
        <w:t>采购包最高限价（元）: 3,686,175.58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B02099900-其他水利工程施工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3,686,175.58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B02099900-其他水利工程施工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3,686,175.58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标的名称：B02099900-其他水利工程施工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color w:val="000000"/>
              </w:rPr>
              <w:t>详见附件《工程量清单》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3.1具备有效的安全生产许可证，同时具有建设行政主管部门核发的水利水电工程施工总承包叁级（含）以上资质或已根据《住房和城乡建设部关于印发建设工程企业资质管理制度改革方案的通知》【建市〔2020〕94 号】换发新证的水利水电工程施工总承包乙级（含）以上资质，同时具备安全生产许可证，并在人员、设备、资金等方面具有相应的施工能力。（提供相关资质证书复印件加盖公章）。 3.2拟派的项目经理须为本单位注册的水利水电工程专业贰级（含）以上注册建造师执业资格，并未担任其他在施建设工程项目的项目经理。（提供项目经理注册证复印件加盖公章及未担任其他在施工程项目的承诺函加盖公章，格式自拟）。 3.3本次招标接受联合体投标。联合体投标的，应满足下列要求：（1）提交联合体各成员单位共同签订的共同投标协议，明确各成员单位各自的权利和义务以及应当承担的责任，同时载明联合体各成员单位的具体工作分工；（2）联合体各成员单位应当具备与联合体协议中约定的分工相适应的施工资质或资格以及施工能力；（3）联合体各方签订共同投标协议后，不得再以自己名义单独或者以其他联合体成员的名义参加同一项目的投标；（4）联合体组成单位不超过2家，由联合体牵头单位负责本项目报名、递交投标文件等相关事项。</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自觉抵制政府采购领域商业贿赂行为承诺书 封面 商业信誉、财务会计制度、缴纳税收和社保的承诺函 具有独立承担民事责任的能力证明文件 符合法律、行政法规规定的声明函 供应商承诺函 联合体协议书（如有）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A.施工方案与技术措施科学合理，适用性强，思路清晰，内容全面，能够根据实际情况制订，满足采购人的需要，考虑问题周全，实施过程务实，各项指标均能完成；得10分； B.施工方案与技术措施基本能够满足采购需要，可操作性一般，各项指标基本能完成采购需求；得7分； C.施工方案与技术措施基本能够满足采购需要，操作性不强；得5分 ； D.施工方案与技术措施不合理，得3分 ；E.不提供方案，得0分。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文明施工、环境保护管理体系与措施</w:t>
            </w:r>
          </w:p>
        </w:tc>
        <w:tc>
          <w:tcPr>
            <w:tcW w:type="dxa" w:w="2492"/>
          </w:tcPr>
          <w:p>
            <w:pPr>
              <w:pStyle w:val="null3"/>
              <w:jc w:val="left"/>
            </w:pPr>
            <w:r>
              <w:rPr>
                <w:rFonts w:ascii="仿宋_GB2312" w:hAnsi="仿宋_GB2312" w:cs="仿宋_GB2312" w:eastAsia="仿宋_GB2312"/>
              </w:rPr>
              <w:t>A.措施科学合理，适用性强，思路清晰，内容全面，能够根据实际情况制订，满足采购人的需要，考虑问题周全，实施过程务实，各项指标均能完成；得10分； B.措施基本能够满足采购需要，可操作性一般，各项指标基本能完成采购需求；得7分； C.措施基本能够满足采购需要，操作性不强；得5分； D.措施不合理得3分，E.不提供方案，得0分。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安全管理与安全事故应急措施</w:t>
            </w:r>
          </w:p>
        </w:tc>
        <w:tc>
          <w:tcPr>
            <w:tcW w:type="dxa" w:w="2492"/>
          </w:tcPr>
          <w:p>
            <w:pPr>
              <w:pStyle w:val="null3"/>
              <w:jc w:val="left"/>
            </w:pPr>
            <w:r>
              <w:rPr>
                <w:rFonts w:ascii="仿宋_GB2312" w:hAnsi="仿宋_GB2312" w:cs="仿宋_GB2312" w:eastAsia="仿宋_GB2312"/>
              </w:rPr>
              <w:t>A.措施科学合理，适用性强，思路清晰，内容全面，能够根据实际情况制订，满足采购人的需要，考虑问题周全，实施过程务实，各项指标均能完成；得10分； B.措施基本能够满足采购需要，可操作性一般，各项指标基本能完成采购需求；得7分； C.措施基本能够满足采购需要，操作性不强；得5分； D.措施不合理得3分，E.不提供方案，得0分。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拟投入的主要施工机械计划、劳动力安排计划</w:t>
            </w:r>
          </w:p>
        </w:tc>
        <w:tc>
          <w:tcPr>
            <w:tcW w:type="dxa" w:w="2492"/>
          </w:tcPr>
          <w:p>
            <w:pPr>
              <w:pStyle w:val="null3"/>
              <w:jc w:val="left"/>
            </w:pPr>
            <w:r>
              <w:rPr>
                <w:rFonts w:ascii="仿宋_GB2312" w:hAnsi="仿宋_GB2312" w:cs="仿宋_GB2312" w:eastAsia="仿宋_GB2312"/>
              </w:rPr>
              <w:t>A.计划方案科学合理，适用性强，思路清晰，内容全面，能够根据实际情况制订，满足采购人的需要，考虑问题周全，实施过程务实，各项指标均能完成；得10分； B.计划方案基本能够满足采购需要，可操作性一般，各项指标基本能完成采购需求；得7分； C.计划方案基本能够满足采购需要，操作性不强；得5分； D.计划方案不合理得3分，E.不提供方案，得0分。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A.工程进度计划与措施科学合理，适用性强，思路清晰，内容全面，能够根据实际情况制订，满足采购人的需要，考虑问题周全，实施过程务实，各项指标均能完成；得10分； B.工程进度计划与措施基本能够满足采购需要，可操作性一般，各项指标基本能完成采购需求；得7分； C.工程进度计划与措施基本能够满足采购需要，操作性不强；得5分； D.工程进度计划与措施不合理得3分，E.不提供方案，得0分。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供应商自2022年1月1日至今（以合同签订时间为准），每承接 1个水利项目业绩得7分；此项满分7分。 证明材料：提供成交（中标）通知书或合同复印件加盖单位公章。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项目管理机构配备人员</w:t>
            </w:r>
          </w:p>
        </w:tc>
        <w:tc>
          <w:tcPr>
            <w:tcW w:type="dxa" w:w="2492"/>
          </w:tcPr>
          <w:p>
            <w:pPr>
              <w:pStyle w:val="null3"/>
              <w:jc w:val="left"/>
            </w:pPr>
            <w:r>
              <w:rPr>
                <w:rFonts w:ascii="仿宋_GB2312" w:hAnsi="仿宋_GB2312" w:cs="仿宋_GB2312" w:eastAsia="仿宋_GB2312"/>
              </w:rPr>
              <w:t>要求配备人员： 1、项目管理机构配有项目技术负责人1人，须具备水利水电工程相关专业中级或以上职称的得3分，本项满分3分。 2、施工员1名、安全员1名、质量员1名、资料员（可兼任）1名，以上人员配备齐全得满分5分，配备不齐全不得分。 证明材料：以上人员须提供相应证书（职称证书或岗位资格证书或合格证书或上岗证或电子培训合格证）及提供在本单位缴纳2025年1月1日至今任意1个月社保证明复印件加盖单位公章。（注：已取消安全员岗位证的地区可以用安全考核C证替代安全员岗位证，响应文件中需供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1.00%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联合体协议书（如有）</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详见附件：合同文本-红岭.docx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HNHS-2025-096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2025年红岭灌区渠道及渠系建筑物日常维修养护项目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2025年红岭灌区渠道及渠系建筑物日常维修养护项目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施工范围</w:t>
            </w:r>
          </w:p>
        </w:tc>
        <w:tc>
          <w:tcPr>
            <w:tcW w:type="dxa" w:w="923"/>
          </w:tcPr>
          <w:p>
            <w:pPr>
              <w:pStyle w:val="null3"/>
              <w:jc w:val="left"/>
            </w:pPr>
            <w:r>
              <w:rPr>
                <w:rFonts w:ascii="仿宋_GB2312" w:hAnsi="仿宋_GB2312" w:cs="仿宋_GB2312" w:eastAsia="仿宋_GB2312"/>
              </w:rPr>
              <w:t xml:space="preserve"> 施工工期</w:t>
            </w:r>
          </w:p>
        </w:tc>
        <w:tc>
          <w:tcPr>
            <w:tcW w:type="dxa" w:w="923"/>
          </w:tcPr>
          <w:p>
            <w:pPr>
              <w:pStyle w:val="null3"/>
              <w:jc w:val="left"/>
            </w:pPr>
            <w:r>
              <w:rPr>
                <w:rFonts w:ascii="仿宋_GB2312" w:hAnsi="仿宋_GB2312" w:cs="仿宋_GB2312" w:eastAsia="仿宋_GB2312"/>
              </w:rPr>
              <w:t xml:space="preserve"> 施工地点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B02099900-其他水利工程施工</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3686175.58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详见附件：联合体协议书（如有）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