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68F238">
      <w:pPr>
        <w:pStyle w:val="3"/>
        <w:pageBreakBefore/>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44"/>
          <w:szCs w:val="44"/>
          <w14:textFill>
            <w14:solidFill>
              <w14:schemeClr w14:val="tx1"/>
            </w14:solidFill>
          </w14:textFill>
        </w:rPr>
        <w:t>合同文本（参考）</w:t>
      </w:r>
    </w:p>
    <w:p w14:paraId="53D245B7">
      <w:pPr>
        <w:jc w:val="center"/>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(仅供参考，具体的合同条款由采购人与中标人在合同中约定）</w:t>
      </w:r>
    </w:p>
    <w:p w14:paraId="7DD208A2">
      <w:pPr>
        <w:pStyle w:val="2"/>
        <w:rPr>
          <w:rFonts w:hint="eastAsia" w:ascii="宋体" w:hAnsi="宋体" w:eastAsia="宋体" w:cs="宋体"/>
          <w:color w:val="000000" w:themeColor="text1"/>
          <w14:textFill>
            <w14:solidFill>
              <w14:schemeClr w14:val="tx1"/>
            </w14:solidFill>
          </w14:textFill>
        </w:rPr>
      </w:pPr>
    </w:p>
    <w:p w14:paraId="1E0C897E">
      <w:pPr>
        <w:pStyle w:val="4"/>
        <w:spacing w:line="440" w:lineRule="exact"/>
        <w:jc w:val="center"/>
        <w:rPr>
          <w:rFonts w:hint="eastAsia" w:ascii="宋体" w:hAnsi="宋体" w:eastAsia="宋体" w:cs="宋体"/>
          <w:color w:val="000000" w:themeColor="text1"/>
          <w14:textFill>
            <w14:solidFill>
              <w14:schemeClr w14:val="tx1"/>
            </w14:solidFill>
          </w14:textFill>
        </w:rPr>
      </w:pPr>
      <w:bookmarkStart w:id="0" w:name="_Toc642"/>
      <w:bookmarkStart w:id="1" w:name="_Toc498419187"/>
      <w:bookmarkStart w:id="2" w:name="_Toc25742468"/>
      <w:bookmarkStart w:id="3" w:name="_Toc238907082"/>
      <w:r>
        <w:rPr>
          <w:rFonts w:hint="eastAsia" w:ascii="宋体" w:hAnsi="宋体" w:eastAsia="宋体" w:cs="宋体"/>
          <w:color w:val="000000" w:themeColor="text1"/>
          <w14:textFill>
            <w14:solidFill>
              <w14:schemeClr w14:val="tx1"/>
            </w14:solidFill>
          </w14:textFill>
        </w:rPr>
        <w:t>第一节 合同协议书</w:t>
      </w:r>
      <w:bookmarkEnd w:id="0"/>
      <w:bookmarkEnd w:id="1"/>
      <w:bookmarkEnd w:id="2"/>
    </w:p>
    <w:p w14:paraId="4703FC4E">
      <w:pPr>
        <w:rPr>
          <w:rFonts w:hint="eastAsia" w:ascii="宋体" w:hAnsi="宋体" w:eastAsia="宋体" w:cs="宋体"/>
          <w:color w:val="000000" w:themeColor="text1"/>
          <w14:textFill>
            <w14:solidFill>
              <w14:schemeClr w14:val="tx1"/>
            </w14:solidFill>
          </w14:textFill>
        </w:rPr>
      </w:pPr>
    </w:p>
    <w:p w14:paraId="297139A1">
      <w:pPr>
        <w:spacing w:line="360" w:lineRule="auto"/>
        <w:rPr>
          <w:rFonts w:hint="eastAsia" w:ascii="宋体" w:hAnsi="宋体" w:eastAsia="宋体" w:cs="宋体"/>
          <w:b/>
          <w:color w:val="000000" w:themeColor="text1"/>
          <w:sz w:val="24"/>
          <w:u w:val="single"/>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发包人（全称）：</w:t>
      </w:r>
    </w:p>
    <w:p w14:paraId="0433B486">
      <w:pPr>
        <w:spacing w:line="360" w:lineRule="auto"/>
        <w:rPr>
          <w:rFonts w:hint="eastAsia" w:ascii="宋体" w:hAnsi="宋体" w:eastAsia="宋体" w:cs="宋体"/>
          <w:b/>
          <w:color w:val="000000" w:themeColor="text1"/>
          <w:sz w:val="24"/>
          <w:u w:val="single"/>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承包人（全称）：</w:t>
      </w:r>
    </w:p>
    <w:p w14:paraId="6EDC6CD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根据《中华人民共和国合同法》、《中华人民共和国建筑法》及有关法律规定，遵循平等、自愿、公平和诚实信用的原则，双方就</w:t>
      </w:r>
    </w:p>
    <w:p w14:paraId="4E09DCB4">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工程施工及有关事项协商一致，共同达成如下协议：</w:t>
      </w:r>
    </w:p>
    <w:p w14:paraId="7BB1D87C">
      <w:pPr>
        <w:pStyle w:val="5"/>
        <w:spacing w:before="120" w:after="120" w:line="360" w:lineRule="auto"/>
        <w:rPr>
          <w:rFonts w:hint="eastAsia" w:ascii="宋体" w:hAnsi="宋体" w:eastAsia="宋体" w:cs="宋体"/>
          <w:color w:val="000000" w:themeColor="text1"/>
          <w:sz w:val="24"/>
          <w:szCs w:val="24"/>
          <w14:textFill>
            <w14:solidFill>
              <w14:schemeClr w14:val="tx1"/>
            </w14:solidFill>
          </w14:textFill>
        </w:rPr>
      </w:pPr>
      <w:bookmarkStart w:id="4" w:name="_Toc351203481"/>
      <w:r>
        <w:rPr>
          <w:rFonts w:hint="eastAsia" w:ascii="宋体" w:hAnsi="宋体" w:eastAsia="宋体" w:cs="宋体"/>
          <w:b w:val="0"/>
          <w:color w:val="000000" w:themeColor="text1"/>
          <w:sz w:val="24"/>
          <w:szCs w:val="24"/>
          <w14:textFill>
            <w14:solidFill>
              <w14:schemeClr w14:val="tx1"/>
            </w14:solidFill>
          </w14:textFill>
        </w:rPr>
        <w:t>一、工程概况</w:t>
      </w:r>
      <w:bookmarkEnd w:id="4"/>
    </w:p>
    <w:p w14:paraId="4E1FE12F">
      <w:pPr>
        <w:spacing w:line="360" w:lineRule="auto"/>
        <w:ind w:firstLine="470" w:firstLineChars="196"/>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1.工程名称</w:t>
      </w:r>
      <w:r>
        <w:rPr>
          <w:rFonts w:hint="eastAsia" w:ascii="宋体" w:hAnsi="宋体" w:eastAsia="宋体" w:cs="宋体"/>
          <w:color w:val="000000" w:themeColor="text1"/>
          <w:sz w:val="24"/>
          <w14:textFill>
            <w14:solidFill>
              <w14:schemeClr w14:val="tx1"/>
            </w14:solidFill>
          </w14:textFill>
        </w:rPr>
        <w:t>：。</w:t>
      </w:r>
    </w:p>
    <w:p w14:paraId="5BE4D91F">
      <w:pPr>
        <w:spacing w:line="360" w:lineRule="auto"/>
        <w:ind w:firstLine="470" w:firstLineChars="196"/>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2.工程地点：</w:t>
      </w:r>
      <w:r>
        <w:rPr>
          <w:rFonts w:hint="eastAsia" w:ascii="宋体" w:hAnsi="宋体" w:eastAsia="宋体" w:cs="宋体"/>
          <w:color w:val="000000" w:themeColor="text1"/>
          <w:sz w:val="24"/>
          <w14:textFill>
            <w14:solidFill>
              <w14:schemeClr w14:val="tx1"/>
            </w14:solidFill>
          </w14:textFill>
        </w:rPr>
        <w:t>。</w:t>
      </w:r>
    </w:p>
    <w:p w14:paraId="3D65A9D9">
      <w:pPr>
        <w:spacing w:line="360" w:lineRule="auto"/>
        <w:ind w:firstLine="470" w:firstLineChars="196"/>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3.工程立项批准文号：。</w:t>
      </w:r>
    </w:p>
    <w:p w14:paraId="419FE4D2">
      <w:pPr>
        <w:spacing w:line="360" w:lineRule="auto"/>
        <w:ind w:firstLine="470" w:firstLineChars="196"/>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4.资金来源：。</w:t>
      </w:r>
    </w:p>
    <w:p w14:paraId="42614694">
      <w:pPr>
        <w:spacing w:line="360" w:lineRule="auto"/>
        <w:ind w:firstLine="470" w:firstLineChars="196"/>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5.工程内容：。</w:t>
      </w:r>
    </w:p>
    <w:p w14:paraId="3EBE98DE">
      <w:pPr>
        <w:spacing w:line="360" w:lineRule="auto"/>
        <w:ind w:firstLine="470" w:firstLineChars="196"/>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群体工程应附《承包人承揽工程项目一览表》（附件1）。</w:t>
      </w:r>
    </w:p>
    <w:p w14:paraId="6A986138">
      <w:pPr>
        <w:spacing w:line="360" w:lineRule="auto"/>
        <w:ind w:firstLine="470" w:firstLineChars="196"/>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6.工程承包范围：</w:t>
      </w:r>
      <w:r>
        <w:rPr>
          <w:rFonts w:hint="eastAsia" w:ascii="宋体" w:hAnsi="宋体" w:eastAsia="宋体" w:cs="宋体"/>
          <w:color w:val="000000" w:themeColor="text1"/>
          <w:sz w:val="24"/>
          <w14:textFill>
            <w14:solidFill>
              <w14:schemeClr w14:val="tx1"/>
            </w14:solidFill>
          </w14:textFill>
        </w:rPr>
        <w:t>。</w:t>
      </w:r>
    </w:p>
    <w:p w14:paraId="55CBC3A9">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5" w:name="_Toc351203482"/>
      <w:r>
        <w:rPr>
          <w:rFonts w:hint="eastAsia" w:ascii="宋体" w:hAnsi="宋体" w:eastAsia="宋体" w:cs="宋体"/>
          <w:b w:val="0"/>
          <w:color w:val="000000" w:themeColor="text1"/>
          <w:sz w:val="24"/>
          <w:szCs w:val="24"/>
          <w14:textFill>
            <w14:solidFill>
              <w14:schemeClr w14:val="tx1"/>
            </w14:solidFill>
          </w14:textFill>
        </w:rPr>
        <w:t>二、合同工期</w:t>
      </w:r>
      <w:bookmarkEnd w:id="5"/>
    </w:p>
    <w:p w14:paraId="2E18EFC3">
      <w:pPr>
        <w:spacing w:line="360" w:lineRule="auto"/>
        <w:ind w:firstLine="459"/>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计划开工日期：年月日。</w:t>
      </w:r>
    </w:p>
    <w:p w14:paraId="7B72824F">
      <w:pPr>
        <w:spacing w:line="360" w:lineRule="auto"/>
        <w:ind w:firstLine="459"/>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计划竣工日期：年月日。</w:t>
      </w:r>
    </w:p>
    <w:p w14:paraId="37017598">
      <w:pPr>
        <w:spacing w:line="360" w:lineRule="auto"/>
        <w:ind w:firstLine="459"/>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工期总日历天数：天。工期总日历天数与根据前述计划开竣工日期计算的工期天数不一致的，以工期总日历天数为准。</w:t>
      </w:r>
    </w:p>
    <w:p w14:paraId="48C3451E">
      <w:pPr>
        <w:pStyle w:val="5"/>
        <w:spacing w:before="120" w:after="120" w:line="360" w:lineRule="auto"/>
        <w:rPr>
          <w:rFonts w:hint="eastAsia" w:ascii="宋体" w:hAnsi="宋体" w:eastAsia="宋体" w:cs="宋体"/>
          <w:color w:val="000000" w:themeColor="text1"/>
          <w:sz w:val="24"/>
          <w:szCs w:val="24"/>
          <w14:textFill>
            <w14:solidFill>
              <w14:schemeClr w14:val="tx1"/>
            </w14:solidFill>
          </w14:textFill>
        </w:rPr>
      </w:pPr>
      <w:bookmarkStart w:id="6" w:name="_Toc351203483"/>
      <w:r>
        <w:rPr>
          <w:rFonts w:hint="eastAsia" w:ascii="宋体" w:hAnsi="宋体" w:eastAsia="宋体" w:cs="宋体"/>
          <w:b w:val="0"/>
          <w:color w:val="000000" w:themeColor="text1"/>
          <w:sz w:val="24"/>
          <w:szCs w:val="24"/>
          <w14:textFill>
            <w14:solidFill>
              <w14:schemeClr w14:val="tx1"/>
            </w14:solidFill>
          </w14:textFill>
        </w:rPr>
        <w:t>三、质量标准</w:t>
      </w:r>
      <w:bookmarkEnd w:id="6"/>
    </w:p>
    <w:p w14:paraId="0D69FE8A">
      <w:pPr>
        <w:spacing w:line="360" w:lineRule="auto"/>
        <w:ind w:firstLine="459"/>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工程质量符合标准。</w:t>
      </w:r>
    </w:p>
    <w:p w14:paraId="4C21A226">
      <w:pPr>
        <w:pStyle w:val="5"/>
        <w:spacing w:before="120" w:after="120" w:line="360" w:lineRule="auto"/>
        <w:rPr>
          <w:rFonts w:hint="eastAsia" w:ascii="宋体" w:hAnsi="宋体" w:eastAsia="宋体" w:cs="宋体"/>
          <w:color w:val="000000" w:themeColor="text1"/>
          <w:sz w:val="24"/>
          <w:szCs w:val="24"/>
          <w14:textFill>
            <w14:solidFill>
              <w14:schemeClr w14:val="tx1"/>
            </w14:solidFill>
          </w14:textFill>
        </w:rPr>
      </w:pPr>
      <w:bookmarkStart w:id="7" w:name="_Toc351203484"/>
      <w:r>
        <w:rPr>
          <w:rFonts w:hint="eastAsia" w:ascii="宋体" w:hAnsi="宋体" w:eastAsia="宋体" w:cs="宋体"/>
          <w:b w:val="0"/>
          <w:color w:val="000000" w:themeColor="text1"/>
          <w:sz w:val="24"/>
          <w:szCs w:val="24"/>
          <w14:textFill>
            <w14:solidFill>
              <w14:schemeClr w14:val="tx1"/>
            </w14:solidFill>
          </w14:textFill>
        </w:rPr>
        <w:t>四、签约合同价与合同价格形式</w:t>
      </w:r>
      <w:bookmarkEnd w:id="7"/>
      <w:r>
        <w:rPr>
          <w:rFonts w:hint="eastAsia" w:ascii="宋体" w:hAnsi="宋体" w:eastAsia="宋体" w:cs="宋体"/>
          <w:b w:val="0"/>
          <w:color w:val="000000" w:themeColor="text1"/>
          <w:sz w:val="24"/>
          <w:szCs w:val="24"/>
          <w14:textFill>
            <w14:solidFill>
              <w14:schemeClr w14:val="tx1"/>
            </w14:solidFill>
          </w14:textFill>
        </w:rPr>
        <w:tab/>
      </w:r>
    </w:p>
    <w:p w14:paraId="64BE87AA">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1.签约合同价为：</w:t>
      </w:r>
    </w:p>
    <w:p w14:paraId="53F86F62">
      <w:pPr>
        <w:spacing w:line="360" w:lineRule="auto"/>
        <w:ind w:firstLine="600" w:firstLineChars="25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人民币（大写）(¥元)；</w:t>
      </w:r>
    </w:p>
    <w:p w14:paraId="0B7A6162">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其中：</w:t>
      </w:r>
    </w:p>
    <w:p w14:paraId="098193D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（1）安全文明施工费：</w:t>
      </w:r>
    </w:p>
    <w:p w14:paraId="2F6ADC6A">
      <w:pPr>
        <w:spacing w:line="360" w:lineRule="auto"/>
        <w:ind w:firstLine="1080" w:firstLineChars="45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人民币（大写） (¥元)；</w:t>
      </w:r>
    </w:p>
    <w:p w14:paraId="1F7ABECB">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（2）材料和工程设备暂估价金额：</w:t>
      </w:r>
    </w:p>
    <w:p w14:paraId="224FFE3F">
      <w:pPr>
        <w:spacing w:line="360" w:lineRule="auto"/>
        <w:ind w:firstLine="1080" w:firstLineChars="45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人民币（大写） (¥元)；</w:t>
      </w:r>
    </w:p>
    <w:p w14:paraId="61218E43">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（3）专业工程暂估价金额：</w:t>
      </w:r>
    </w:p>
    <w:p w14:paraId="785DC2B2">
      <w:pPr>
        <w:spacing w:line="360" w:lineRule="auto"/>
        <w:ind w:firstLine="1080" w:firstLineChars="45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人民币（大写） (¥元)；</w:t>
      </w:r>
    </w:p>
    <w:p w14:paraId="3B70FB9A">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（4）暂列金额：</w:t>
      </w:r>
    </w:p>
    <w:p w14:paraId="0206365F">
      <w:pPr>
        <w:spacing w:line="360" w:lineRule="auto"/>
        <w:ind w:firstLine="1080" w:firstLineChars="45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人民币（大写） (¥元)。</w:t>
      </w:r>
    </w:p>
    <w:p w14:paraId="5DCA552A">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2.合同价格形式：。</w:t>
      </w:r>
    </w:p>
    <w:p w14:paraId="4B7CD75B">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8" w:name="_Toc351203485"/>
      <w:r>
        <w:rPr>
          <w:rFonts w:hint="eastAsia" w:ascii="宋体" w:hAnsi="宋体" w:eastAsia="宋体" w:cs="宋体"/>
          <w:b w:val="0"/>
          <w:color w:val="000000" w:themeColor="text1"/>
          <w:sz w:val="24"/>
          <w:szCs w:val="24"/>
          <w14:textFill>
            <w14:solidFill>
              <w14:schemeClr w14:val="tx1"/>
            </w14:solidFill>
          </w14:textFill>
        </w:rPr>
        <w:t>五、</w:t>
      </w:r>
      <w:bookmarkEnd w:id="8"/>
      <w:r>
        <w:rPr>
          <w:rFonts w:hint="eastAsia" w:ascii="宋体" w:hAnsi="宋体" w:eastAsia="宋体" w:cs="宋体"/>
          <w:b w:val="0"/>
          <w:color w:val="000000" w:themeColor="text1"/>
          <w:sz w:val="24"/>
          <w:szCs w:val="24"/>
          <w14:textFill>
            <w14:solidFill>
              <w14:schemeClr w14:val="tx1"/>
            </w14:solidFill>
          </w14:textFill>
        </w:rPr>
        <w:t>项目经理</w:t>
      </w:r>
    </w:p>
    <w:p w14:paraId="69AC7F4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承包人项目经理：。</w:t>
      </w:r>
    </w:p>
    <w:p w14:paraId="15A58FF7">
      <w:pPr>
        <w:pStyle w:val="5"/>
        <w:spacing w:before="120" w:after="120" w:line="360" w:lineRule="auto"/>
        <w:rPr>
          <w:rFonts w:hint="eastAsia" w:ascii="宋体" w:hAnsi="宋体" w:eastAsia="宋体" w:cs="宋体"/>
          <w:color w:val="000000" w:themeColor="text1"/>
          <w:sz w:val="24"/>
          <w:szCs w:val="24"/>
          <w14:textFill>
            <w14:solidFill>
              <w14:schemeClr w14:val="tx1"/>
            </w14:solidFill>
          </w14:textFill>
        </w:rPr>
      </w:pPr>
      <w:bookmarkStart w:id="9" w:name="_Toc351203486"/>
      <w:r>
        <w:rPr>
          <w:rFonts w:hint="eastAsia" w:ascii="宋体" w:hAnsi="宋体" w:eastAsia="宋体" w:cs="宋体"/>
          <w:b w:val="0"/>
          <w:color w:val="000000" w:themeColor="text1"/>
          <w:sz w:val="24"/>
          <w:szCs w:val="24"/>
          <w14:textFill>
            <w14:solidFill>
              <w14:schemeClr w14:val="tx1"/>
            </w14:solidFill>
          </w14:textFill>
        </w:rPr>
        <w:t>六、合同文件构成</w:t>
      </w:r>
      <w:bookmarkEnd w:id="9"/>
    </w:p>
    <w:p w14:paraId="52710C81">
      <w:pPr>
        <w:spacing w:line="360" w:lineRule="auto"/>
        <w:ind w:firstLine="480" w:firstLineChars="200"/>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本协议书与下列文件一起构成合同文件：</w:t>
      </w:r>
    </w:p>
    <w:p w14:paraId="1BC667C2">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（1）成交通知书（如果有）；</w:t>
      </w:r>
    </w:p>
    <w:p w14:paraId="58CB7836">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（2）投标函及其附录（如果有）； </w:t>
      </w:r>
    </w:p>
    <w:p w14:paraId="6023C362">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（3）专用合同条款及其附件；</w:t>
      </w:r>
    </w:p>
    <w:p w14:paraId="07FFF363">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（4）通用合同条款；</w:t>
      </w:r>
    </w:p>
    <w:p w14:paraId="422D9EE1">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（5）技术标准和要求；</w:t>
      </w:r>
    </w:p>
    <w:p w14:paraId="0B7E1C45">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（6）图纸；</w:t>
      </w:r>
    </w:p>
    <w:p w14:paraId="4094140C">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（7）已标价工程量清单或预算书；</w:t>
      </w:r>
    </w:p>
    <w:p w14:paraId="721DD49B">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（8）其他合同文件。</w:t>
      </w:r>
    </w:p>
    <w:p w14:paraId="5A1474B3">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在合同订立及履行过程中形成的与合同有关的文件均构成合同文件组成部分。</w:t>
      </w:r>
    </w:p>
    <w:p w14:paraId="1B68AB4D">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上述各项合同文件包括合同当事人就该项合同文件所作出的补充和修改，属于同一类内容的文件，应以最新签署的为准。专用合同条款及其附件须经合同当事人签字或盖章。</w:t>
      </w:r>
    </w:p>
    <w:p w14:paraId="08E4AEAB">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10" w:name="_Toc351203487"/>
      <w:r>
        <w:rPr>
          <w:rFonts w:hint="eastAsia" w:ascii="宋体" w:hAnsi="宋体" w:eastAsia="宋体" w:cs="宋体"/>
          <w:b w:val="0"/>
          <w:color w:val="000000" w:themeColor="text1"/>
          <w:sz w:val="24"/>
          <w:szCs w:val="24"/>
          <w14:textFill>
            <w14:solidFill>
              <w14:schemeClr w14:val="tx1"/>
            </w14:solidFill>
          </w14:textFill>
        </w:rPr>
        <w:t>七、承诺</w:t>
      </w:r>
      <w:bookmarkEnd w:id="10"/>
    </w:p>
    <w:p w14:paraId="730DA945">
      <w:pPr>
        <w:spacing w:line="360" w:lineRule="auto"/>
        <w:ind w:firstLine="480" w:firstLineChars="200"/>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1.发包人承诺按照法律规定履行项目审批手续、筹集工程建设资金并按照合同约定的期限和方式支付合同价款。</w:t>
      </w:r>
    </w:p>
    <w:p w14:paraId="230596A6">
      <w:pPr>
        <w:spacing w:line="360" w:lineRule="auto"/>
        <w:ind w:firstLine="480" w:firstLineChars="200"/>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7AFA6374">
      <w:pPr>
        <w:spacing w:line="360" w:lineRule="auto"/>
        <w:ind w:firstLine="480" w:firstLineChars="200"/>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3.发包人和承包人通过招投标形式签订合同的，双方理解并承诺不再就同一工程另行签订与合同实质性内容相背离的协议。</w:t>
      </w:r>
    </w:p>
    <w:p w14:paraId="5DF69C5C">
      <w:pPr>
        <w:spacing w:line="360" w:lineRule="auto"/>
        <w:rPr>
          <w:rFonts w:hint="eastAsia" w:ascii="宋体" w:hAnsi="宋体" w:eastAsia="宋体" w:cs="宋体"/>
          <w:bCs/>
          <w:color w:val="000000" w:themeColor="text1"/>
          <w:sz w:val="24"/>
          <w14:textFill>
            <w14:solidFill>
              <w14:schemeClr w14:val="tx1"/>
            </w14:solidFill>
          </w14:textFill>
        </w:rPr>
      </w:pPr>
      <w:bookmarkStart w:id="11" w:name="_Toc351203488"/>
      <w:r>
        <w:rPr>
          <w:rFonts w:hint="eastAsia" w:ascii="宋体" w:hAnsi="宋体" w:eastAsia="宋体" w:cs="宋体"/>
          <w:b/>
          <w:color w:val="000000" w:themeColor="text1"/>
          <w:sz w:val="24"/>
          <w14:textFill>
            <w14:solidFill>
              <w14:schemeClr w14:val="tx1"/>
            </w14:solidFill>
          </w14:textFill>
        </w:rPr>
        <w:t>八、词语含义</w:t>
      </w:r>
      <w:bookmarkEnd w:id="11"/>
    </w:p>
    <w:p w14:paraId="58A570F8">
      <w:pPr>
        <w:spacing w:line="360" w:lineRule="auto"/>
        <w:ind w:firstLine="480" w:firstLineChars="200"/>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本协议书中词语含义与第二部分通用合同条款中赋予的含义相同。</w:t>
      </w:r>
    </w:p>
    <w:p w14:paraId="45E369D8">
      <w:pPr>
        <w:pStyle w:val="5"/>
        <w:spacing w:before="120" w:after="120" w:line="360" w:lineRule="auto"/>
        <w:rPr>
          <w:rFonts w:hint="eastAsia" w:ascii="宋体" w:hAnsi="宋体" w:eastAsia="宋体" w:cs="宋体"/>
          <w:color w:val="000000" w:themeColor="text1"/>
          <w:sz w:val="24"/>
          <w:szCs w:val="24"/>
          <w14:textFill>
            <w14:solidFill>
              <w14:schemeClr w14:val="tx1"/>
            </w14:solidFill>
          </w14:textFill>
        </w:rPr>
      </w:pPr>
      <w:bookmarkStart w:id="12" w:name="_Toc351203489"/>
      <w:r>
        <w:rPr>
          <w:rFonts w:hint="eastAsia" w:ascii="宋体" w:hAnsi="宋体" w:eastAsia="宋体" w:cs="宋体"/>
          <w:b w:val="0"/>
          <w:color w:val="000000" w:themeColor="text1"/>
          <w:sz w:val="24"/>
          <w:szCs w:val="24"/>
          <w14:textFill>
            <w14:solidFill>
              <w14:schemeClr w14:val="tx1"/>
            </w14:solidFill>
          </w14:textFill>
        </w:rPr>
        <w:t>九、签订时间</w:t>
      </w:r>
      <w:bookmarkEnd w:id="12"/>
    </w:p>
    <w:p w14:paraId="73CADBCC">
      <w:pPr>
        <w:spacing w:line="360" w:lineRule="auto"/>
        <w:ind w:firstLine="480" w:firstLineChars="200"/>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本合同于年月日签订。</w:t>
      </w:r>
    </w:p>
    <w:p w14:paraId="4B9029A4">
      <w:pPr>
        <w:pStyle w:val="5"/>
        <w:spacing w:before="120" w:after="120" w:line="360" w:lineRule="auto"/>
        <w:rPr>
          <w:rFonts w:hint="eastAsia" w:ascii="宋体" w:hAnsi="宋体" w:eastAsia="宋体" w:cs="宋体"/>
          <w:color w:val="000000" w:themeColor="text1"/>
          <w:sz w:val="24"/>
          <w:szCs w:val="24"/>
          <w14:textFill>
            <w14:solidFill>
              <w14:schemeClr w14:val="tx1"/>
            </w14:solidFill>
          </w14:textFill>
        </w:rPr>
      </w:pPr>
      <w:bookmarkStart w:id="13" w:name="_Toc351203490"/>
      <w:r>
        <w:rPr>
          <w:rFonts w:hint="eastAsia" w:ascii="宋体" w:hAnsi="宋体" w:eastAsia="宋体" w:cs="宋体"/>
          <w:b w:val="0"/>
          <w:color w:val="000000" w:themeColor="text1"/>
          <w:sz w:val="24"/>
          <w:szCs w:val="24"/>
          <w14:textFill>
            <w14:solidFill>
              <w14:schemeClr w14:val="tx1"/>
            </w14:solidFill>
          </w14:textFill>
        </w:rPr>
        <w:t>十、签订地点</w:t>
      </w:r>
      <w:bookmarkEnd w:id="13"/>
    </w:p>
    <w:p w14:paraId="1A801781">
      <w:pPr>
        <w:spacing w:line="360" w:lineRule="auto"/>
        <w:ind w:firstLine="480" w:firstLineChars="200"/>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本合同在签订。</w:t>
      </w:r>
    </w:p>
    <w:p w14:paraId="698E3BF6">
      <w:pPr>
        <w:pStyle w:val="5"/>
        <w:spacing w:before="120" w:after="120" w:line="360" w:lineRule="auto"/>
        <w:rPr>
          <w:rFonts w:hint="eastAsia" w:ascii="宋体" w:hAnsi="宋体" w:eastAsia="宋体" w:cs="宋体"/>
          <w:color w:val="000000" w:themeColor="text1"/>
          <w:sz w:val="24"/>
          <w:szCs w:val="24"/>
          <w14:textFill>
            <w14:solidFill>
              <w14:schemeClr w14:val="tx1"/>
            </w14:solidFill>
          </w14:textFill>
        </w:rPr>
      </w:pPr>
      <w:bookmarkStart w:id="14" w:name="_Toc351203491"/>
      <w:r>
        <w:rPr>
          <w:rFonts w:hint="eastAsia" w:ascii="宋体" w:hAnsi="宋体" w:eastAsia="宋体" w:cs="宋体"/>
          <w:b w:val="0"/>
          <w:color w:val="000000" w:themeColor="text1"/>
          <w:sz w:val="24"/>
          <w:szCs w:val="24"/>
          <w14:textFill>
            <w14:solidFill>
              <w14:schemeClr w14:val="tx1"/>
            </w14:solidFill>
          </w14:textFill>
        </w:rPr>
        <w:t>十一、补充协议</w:t>
      </w:r>
      <w:bookmarkEnd w:id="14"/>
    </w:p>
    <w:p w14:paraId="62C29F79">
      <w:pPr>
        <w:spacing w:line="360" w:lineRule="auto"/>
        <w:ind w:firstLine="480" w:firstLineChars="200"/>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合同未尽事宜，合同当事人另行签订补充协议，补充协议是合同的组成部分。</w:t>
      </w:r>
    </w:p>
    <w:p w14:paraId="1EC073B0">
      <w:pPr>
        <w:pStyle w:val="5"/>
        <w:spacing w:before="120" w:after="120" w:line="360" w:lineRule="auto"/>
        <w:rPr>
          <w:rFonts w:hint="eastAsia" w:ascii="宋体" w:hAnsi="宋体" w:eastAsia="宋体" w:cs="宋体"/>
          <w:color w:val="000000" w:themeColor="text1"/>
          <w:sz w:val="24"/>
          <w:szCs w:val="24"/>
          <w14:textFill>
            <w14:solidFill>
              <w14:schemeClr w14:val="tx1"/>
            </w14:solidFill>
          </w14:textFill>
        </w:rPr>
      </w:pPr>
      <w:bookmarkStart w:id="15" w:name="_Toc351203492"/>
      <w:r>
        <w:rPr>
          <w:rFonts w:hint="eastAsia" w:ascii="宋体" w:hAnsi="宋体" w:eastAsia="宋体" w:cs="宋体"/>
          <w:b w:val="0"/>
          <w:color w:val="000000" w:themeColor="text1"/>
          <w:sz w:val="24"/>
          <w:szCs w:val="24"/>
          <w14:textFill>
            <w14:solidFill>
              <w14:schemeClr w14:val="tx1"/>
            </w14:solidFill>
          </w14:textFill>
        </w:rPr>
        <w:t>十二、合同生效</w:t>
      </w:r>
      <w:bookmarkEnd w:id="15"/>
    </w:p>
    <w:p w14:paraId="0D7397F9">
      <w:pPr>
        <w:spacing w:line="360" w:lineRule="auto"/>
        <w:ind w:firstLine="480" w:firstLineChars="200"/>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本合同自生效。</w:t>
      </w:r>
    </w:p>
    <w:p w14:paraId="4118D959">
      <w:pPr>
        <w:pStyle w:val="5"/>
        <w:spacing w:before="120" w:after="120" w:line="360" w:lineRule="auto"/>
        <w:rPr>
          <w:rFonts w:hint="eastAsia" w:ascii="宋体" w:hAnsi="宋体" w:eastAsia="宋体" w:cs="宋体"/>
          <w:color w:val="000000" w:themeColor="text1"/>
          <w:sz w:val="24"/>
          <w:szCs w:val="24"/>
          <w14:textFill>
            <w14:solidFill>
              <w14:schemeClr w14:val="tx1"/>
            </w14:solidFill>
          </w14:textFill>
        </w:rPr>
      </w:pPr>
      <w:bookmarkStart w:id="16" w:name="_Toc351203493"/>
      <w:r>
        <w:rPr>
          <w:rFonts w:hint="eastAsia" w:ascii="宋体" w:hAnsi="宋体" w:eastAsia="宋体" w:cs="宋体"/>
          <w:b w:val="0"/>
          <w:color w:val="000000" w:themeColor="text1"/>
          <w:sz w:val="24"/>
          <w:szCs w:val="24"/>
          <w14:textFill>
            <w14:solidFill>
              <w14:schemeClr w14:val="tx1"/>
            </w14:solidFill>
          </w14:textFill>
        </w:rPr>
        <w:t>十三、合同份数</w:t>
      </w:r>
      <w:bookmarkEnd w:id="16"/>
    </w:p>
    <w:p w14:paraId="0E41E7B5">
      <w:pPr>
        <w:spacing w:line="360" w:lineRule="auto"/>
        <w:ind w:firstLine="480" w:firstLineChars="200"/>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本合同一式份，均具有同等法律效力，发包人执份，承包人执份。</w:t>
      </w:r>
    </w:p>
    <w:p w14:paraId="4C42FEF2">
      <w:pPr>
        <w:spacing w:line="360" w:lineRule="auto"/>
        <w:rPr>
          <w:rFonts w:hint="eastAsia" w:ascii="宋体" w:hAnsi="宋体" w:eastAsia="宋体" w:cs="宋体"/>
          <w:bCs/>
          <w:color w:val="000000" w:themeColor="text1"/>
          <w:sz w:val="24"/>
          <w14:textFill>
            <w14:solidFill>
              <w14:schemeClr w14:val="tx1"/>
            </w14:solidFill>
          </w14:textFill>
        </w:rPr>
      </w:pPr>
    </w:p>
    <w:p w14:paraId="0FF3005C">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  (公章)承包人：  (公章)</w:t>
      </w:r>
    </w:p>
    <w:p w14:paraId="5E08E981">
      <w:pPr>
        <w:spacing w:line="360" w:lineRule="auto"/>
        <w:rPr>
          <w:rFonts w:hint="eastAsia" w:ascii="宋体" w:hAnsi="宋体" w:eastAsia="宋体" w:cs="宋体"/>
          <w:color w:val="000000" w:themeColor="text1"/>
          <w:sz w:val="24"/>
          <w:u w:val="single"/>
          <w14:textFill>
            <w14:solidFill>
              <w14:schemeClr w14:val="tx1"/>
            </w14:solidFill>
          </w14:textFill>
        </w:rPr>
      </w:pPr>
    </w:p>
    <w:p w14:paraId="19D65BA7">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法定代表人或其委托代理人：  法定代表人或其委托代理人：</w:t>
      </w:r>
    </w:p>
    <w:p w14:paraId="6F000EA0">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（签字）                    （签字）</w:t>
      </w:r>
    </w:p>
    <w:p w14:paraId="24F0AFF8">
      <w:pPr>
        <w:spacing w:line="360" w:lineRule="auto"/>
        <w:rPr>
          <w:rFonts w:hint="eastAsia" w:ascii="宋体" w:hAnsi="宋体" w:eastAsia="宋体" w:cs="宋体"/>
          <w:color w:val="000000" w:themeColor="text1"/>
          <w:sz w:val="24"/>
          <w:u w:val="single"/>
          <w14:textFill>
            <w14:solidFill>
              <w14:schemeClr w14:val="tx1"/>
            </w14:solidFill>
          </w14:textFill>
        </w:rPr>
      </w:pPr>
    </w:p>
    <w:p w14:paraId="2DFE2D0A">
      <w:pPr>
        <w:tabs>
          <w:tab w:val="left" w:pos="4410"/>
        </w:tabs>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组织机构代码：              组织机构代码：</w:t>
      </w:r>
    </w:p>
    <w:p w14:paraId="5973508B">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地  址：地  址：</w:t>
      </w:r>
    </w:p>
    <w:p w14:paraId="4FA73C79">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邮政编码：邮政编码：</w:t>
      </w:r>
    </w:p>
    <w:p w14:paraId="1DF7881D">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法定代表人：法定代表人：</w:t>
      </w:r>
    </w:p>
    <w:p w14:paraId="2B27CA6F">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委托代理人：委托代理人：</w:t>
      </w:r>
    </w:p>
    <w:p w14:paraId="60498D9E">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电  话：电  话：</w:t>
      </w:r>
    </w:p>
    <w:p w14:paraId="5D5F0C0A">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传  真：传  真：</w:t>
      </w:r>
    </w:p>
    <w:p w14:paraId="322B7979">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电子信箱：电子信箱：</w:t>
      </w:r>
    </w:p>
    <w:p w14:paraId="0F88B329">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开户银行：开户银行：</w:t>
      </w:r>
    </w:p>
    <w:p w14:paraId="21CBFD54">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账  号：账 号：</w:t>
      </w:r>
    </w:p>
    <w:bookmarkEnd w:id="3"/>
    <w:p w14:paraId="4B67A140">
      <w:pPr>
        <w:pStyle w:val="2"/>
        <w:rPr>
          <w:rFonts w:hint="eastAsia" w:ascii="宋体" w:hAnsi="宋体" w:eastAsia="宋体" w:cs="宋体"/>
          <w:color w:val="000000" w:themeColor="text1"/>
          <w14:textFill>
            <w14:solidFill>
              <w14:schemeClr w14:val="tx1"/>
            </w14:solidFill>
          </w14:textFill>
        </w:rPr>
      </w:pPr>
    </w:p>
    <w:p w14:paraId="6E28E6D6">
      <w:pPr>
        <w:pStyle w:val="2"/>
        <w:rPr>
          <w:rFonts w:hint="eastAsia" w:ascii="宋体" w:hAnsi="宋体" w:eastAsia="宋体" w:cs="宋体"/>
          <w:color w:val="000000" w:themeColor="text1"/>
          <w14:textFill>
            <w14:solidFill>
              <w14:schemeClr w14:val="tx1"/>
            </w14:solidFill>
          </w14:textFill>
        </w:rPr>
      </w:pPr>
    </w:p>
    <w:p w14:paraId="0B408181">
      <w:pPr>
        <w:pStyle w:val="2"/>
        <w:rPr>
          <w:rFonts w:hint="eastAsia" w:ascii="宋体" w:hAnsi="宋体" w:eastAsia="宋体" w:cs="宋体"/>
          <w:color w:val="000000" w:themeColor="text1"/>
          <w14:textFill>
            <w14:solidFill>
              <w14:schemeClr w14:val="tx1"/>
            </w14:solidFill>
          </w14:textFill>
        </w:rPr>
      </w:pPr>
    </w:p>
    <w:p w14:paraId="53A1579E">
      <w:pPr>
        <w:pStyle w:val="2"/>
        <w:rPr>
          <w:rFonts w:hint="eastAsia" w:ascii="宋体" w:hAnsi="宋体" w:eastAsia="宋体" w:cs="宋体"/>
          <w:color w:val="000000" w:themeColor="text1"/>
          <w14:textFill>
            <w14:solidFill>
              <w14:schemeClr w14:val="tx1"/>
            </w14:solidFill>
          </w14:textFill>
        </w:rPr>
      </w:pPr>
    </w:p>
    <w:p w14:paraId="651ADAC5">
      <w:pPr>
        <w:pStyle w:val="2"/>
        <w:rPr>
          <w:rFonts w:hint="eastAsia" w:ascii="宋体" w:hAnsi="宋体" w:eastAsia="宋体" w:cs="宋体"/>
          <w:color w:val="000000" w:themeColor="text1"/>
          <w14:textFill>
            <w14:solidFill>
              <w14:schemeClr w14:val="tx1"/>
            </w14:solidFill>
          </w14:textFill>
        </w:rPr>
      </w:pPr>
    </w:p>
    <w:p w14:paraId="5D2005A9">
      <w:pPr>
        <w:pStyle w:val="2"/>
        <w:rPr>
          <w:rFonts w:hint="eastAsia" w:ascii="宋体" w:hAnsi="宋体" w:eastAsia="宋体" w:cs="宋体"/>
          <w:color w:val="000000" w:themeColor="text1"/>
          <w14:textFill>
            <w14:solidFill>
              <w14:schemeClr w14:val="tx1"/>
            </w14:solidFill>
          </w14:textFill>
        </w:rPr>
      </w:pPr>
    </w:p>
    <w:p w14:paraId="5FB84049">
      <w:pPr>
        <w:pStyle w:val="2"/>
        <w:rPr>
          <w:rFonts w:hint="eastAsia" w:ascii="宋体" w:hAnsi="宋体" w:eastAsia="宋体" w:cs="宋体"/>
          <w:color w:val="000000" w:themeColor="text1"/>
          <w14:textFill>
            <w14:solidFill>
              <w14:schemeClr w14:val="tx1"/>
            </w14:solidFill>
          </w14:textFill>
        </w:rPr>
      </w:pPr>
    </w:p>
    <w:p w14:paraId="0226626E">
      <w:pPr>
        <w:pStyle w:val="2"/>
        <w:rPr>
          <w:rFonts w:hint="eastAsia" w:ascii="宋体" w:hAnsi="宋体" w:eastAsia="宋体" w:cs="宋体"/>
          <w:color w:val="000000" w:themeColor="text1"/>
          <w14:textFill>
            <w14:solidFill>
              <w14:schemeClr w14:val="tx1"/>
            </w14:solidFill>
          </w14:textFill>
        </w:rPr>
      </w:pPr>
    </w:p>
    <w:p w14:paraId="760FE70B">
      <w:pPr>
        <w:pStyle w:val="2"/>
        <w:rPr>
          <w:rFonts w:hint="eastAsia" w:ascii="宋体" w:hAnsi="宋体" w:eastAsia="宋体" w:cs="宋体"/>
          <w:color w:val="000000" w:themeColor="text1"/>
          <w14:textFill>
            <w14:solidFill>
              <w14:schemeClr w14:val="tx1"/>
            </w14:solidFill>
          </w14:textFill>
        </w:rPr>
      </w:pPr>
    </w:p>
    <w:p w14:paraId="69943A99">
      <w:pPr>
        <w:pStyle w:val="2"/>
        <w:rPr>
          <w:rFonts w:hint="eastAsia" w:ascii="宋体" w:hAnsi="宋体" w:eastAsia="宋体" w:cs="宋体"/>
          <w:color w:val="000000" w:themeColor="text1"/>
          <w14:textFill>
            <w14:solidFill>
              <w14:schemeClr w14:val="tx1"/>
            </w14:solidFill>
          </w14:textFill>
        </w:rPr>
      </w:pPr>
    </w:p>
    <w:p w14:paraId="7E6989C8">
      <w:pPr>
        <w:pStyle w:val="2"/>
        <w:rPr>
          <w:rFonts w:hint="eastAsia" w:ascii="宋体" w:hAnsi="宋体" w:eastAsia="宋体" w:cs="宋体"/>
          <w:color w:val="000000" w:themeColor="text1"/>
          <w14:textFill>
            <w14:solidFill>
              <w14:schemeClr w14:val="tx1"/>
            </w14:solidFill>
          </w14:textFill>
        </w:rPr>
      </w:pPr>
    </w:p>
    <w:p w14:paraId="3467A9DC">
      <w:pPr>
        <w:pStyle w:val="2"/>
        <w:rPr>
          <w:rFonts w:hint="eastAsia" w:ascii="宋体" w:hAnsi="宋体" w:eastAsia="宋体" w:cs="宋体"/>
          <w:color w:val="000000" w:themeColor="text1"/>
          <w14:textFill>
            <w14:solidFill>
              <w14:schemeClr w14:val="tx1"/>
            </w14:solidFill>
          </w14:textFill>
        </w:rPr>
      </w:pPr>
    </w:p>
    <w:p w14:paraId="172FE581">
      <w:pPr>
        <w:pStyle w:val="2"/>
        <w:rPr>
          <w:rFonts w:hint="eastAsia" w:ascii="宋体" w:hAnsi="宋体" w:eastAsia="宋体" w:cs="宋体"/>
          <w:color w:val="000000" w:themeColor="text1"/>
          <w14:textFill>
            <w14:solidFill>
              <w14:schemeClr w14:val="tx1"/>
            </w14:solidFill>
          </w14:textFill>
        </w:rPr>
      </w:pPr>
    </w:p>
    <w:p w14:paraId="4D8952DE">
      <w:pPr>
        <w:pStyle w:val="2"/>
        <w:rPr>
          <w:rFonts w:hint="eastAsia" w:ascii="宋体" w:hAnsi="宋体" w:eastAsia="宋体" w:cs="宋体"/>
          <w:color w:val="000000" w:themeColor="text1"/>
          <w14:textFill>
            <w14:solidFill>
              <w14:schemeClr w14:val="tx1"/>
            </w14:solidFill>
          </w14:textFill>
        </w:rPr>
      </w:pPr>
    </w:p>
    <w:p w14:paraId="60365D2C">
      <w:pPr>
        <w:pStyle w:val="2"/>
        <w:rPr>
          <w:rFonts w:hint="eastAsia" w:ascii="宋体" w:hAnsi="宋体" w:eastAsia="宋体" w:cs="宋体"/>
          <w:color w:val="000000" w:themeColor="text1"/>
          <w14:textFill>
            <w14:solidFill>
              <w14:schemeClr w14:val="tx1"/>
            </w14:solidFill>
          </w14:textFill>
        </w:rPr>
      </w:pPr>
    </w:p>
    <w:p w14:paraId="457DC389">
      <w:pPr>
        <w:pStyle w:val="2"/>
        <w:rPr>
          <w:rFonts w:hint="eastAsia" w:ascii="宋体" w:hAnsi="宋体" w:eastAsia="宋体" w:cs="宋体"/>
          <w:color w:val="000000" w:themeColor="text1"/>
          <w14:textFill>
            <w14:solidFill>
              <w14:schemeClr w14:val="tx1"/>
            </w14:solidFill>
          </w14:textFill>
        </w:rPr>
      </w:pPr>
    </w:p>
    <w:p w14:paraId="63EA578D">
      <w:pPr>
        <w:pStyle w:val="2"/>
        <w:rPr>
          <w:rFonts w:hint="eastAsia" w:ascii="宋体" w:hAnsi="宋体" w:eastAsia="宋体" w:cs="宋体"/>
          <w:color w:val="000000" w:themeColor="text1"/>
          <w14:textFill>
            <w14:solidFill>
              <w14:schemeClr w14:val="tx1"/>
            </w14:solidFill>
          </w14:textFill>
        </w:rPr>
      </w:pPr>
    </w:p>
    <w:p w14:paraId="4B6BC208">
      <w:pPr>
        <w:pStyle w:val="2"/>
        <w:rPr>
          <w:rFonts w:hint="eastAsia" w:ascii="宋体" w:hAnsi="宋体" w:eastAsia="宋体" w:cs="宋体"/>
          <w:color w:val="000000" w:themeColor="text1"/>
          <w14:textFill>
            <w14:solidFill>
              <w14:schemeClr w14:val="tx1"/>
            </w14:solidFill>
          </w14:textFill>
        </w:rPr>
      </w:pPr>
    </w:p>
    <w:p w14:paraId="0F59245D">
      <w:pPr>
        <w:pStyle w:val="2"/>
        <w:rPr>
          <w:rFonts w:hint="eastAsia" w:ascii="宋体" w:hAnsi="宋体" w:eastAsia="宋体" w:cs="宋体"/>
          <w:color w:val="000000" w:themeColor="text1"/>
          <w14:textFill>
            <w14:solidFill>
              <w14:schemeClr w14:val="tx1"/>
            </w14:solidFill>
          </w14:textFill>
        </w:rPr>
      </w:pPr>
    </w:p>
    <w:p w14:paraId="765772DA">
      <w:pPr>
        <w:pStyle w:val="2"/>
        <w:rPr>
          <w:rFonts w:hint="eastAsia" w:ascii="宋体" w:hAnsi="宋体" w:eastAsia="宋体" w:cs="宋体"/>
          <w:color w:val="000000" w:themeColor="text1"/>
          <w14:textFill>
            <w14:solidFill>
              <w14:schemeClr w14:val="tx1"/>
            </w14:solidFill>
          </w14:textFill>
        </w:rPr>
      </w:pPr>
    </w:p>
    <w:p w14:paraId="4F31F9BB">
      <w:pPr>
        <w:pStyle w:val="2"/>
        <w:rPr>
          <w:rFonts w:hint="eastAsia" w:ascii="宋体" w:hAnsi="宋体" w:eastAsia="宋体" w:cs="宋体"/>
          <w:color w:val="000000" w:themeColor="text1"/>
          <w14:textFill>
            <w14:solidFill>
              <w14:schemeClr w14:val="tx1"/>
            </w14:solidFill>
          </w14:textFill>
        </w:rPr>
      </w:pPr>
    </w:p>
    <w:p w14:paraId="03F593FC">
      <w:pPr>
        <w:pStyle w:val="2"/>
        <w:rPr>
          <w:rFonts w:hint="eastAsia" w:ascii="宋体" w:hAnsi="宋体" w:eastAsia="宋体" w:cs="宋体"/>
          <w:color w:val="000000" w:themeColor="text1"/>
          <w14:textFill>
            <w14:solidFill>
              <w14:schemeClr w14:val="tx1"/>
            </w14:solidFill>
          </w14:textFill>
        </w:rPr>
      </w:pPr>
    </w:p>
    <w:p w14:paraId="6934F324">
      <w:pPr>
        <w:pStyle w:val="2"/>
        <w:rPr>
          <w:rFonts w:hint="eastAsia" w:ascii="宋体" w:hAnsi="宋体" w:eastAsia="宋体" w:cs="宋体"/>
          <w:color w:val="000000" w:themeColor="text1"/>
          <w14:textFill>
            <w14:solidFill>
              <w14:schemeClr w14:val="tx1"/>
            </w14:solidFill>
          </w14:textFill>
        </w:rPr>
      </w:pPr>
    </w:p>
    <w:p w14:paraId="31A7B477">
      <w:pPr>
        <w:pStyle w:val="2"/>
        <w:rPr>
          <w:rFonts w:hint="eastAsia" w:ascii="宋体" w:hAnsi="宋体" w:eastAsia="宋体" w:cs="宋体"/>
          <w:color w:val="000000" w:themeColor="text1"/>
          <w14:textFill>
            <w14:solidFill>
              <w14:schemeClr w14:val="tx1"/>
            </w14:solidFill>
          </w14:textFill>
        </w:rPr>
      </w:pPr>
    </w:p>
    <w:p w14:paraId="129C0DD8">
      <w:pPr>
        <w:pStyle w:val="2"/>
        <w:rPr>
          <w:rFonts w:hint="eastAsia" w:ascii="宋体" w:hAnsi="宋体" w:eastAsia="宋体" w:cs="宋体"/>
          <w:color w:val="000000" w:themeColor="text1"/>
          <w14:textFill>
            <w14:solidFill>
              <w14:schemeClr w14:val="tx1"/>
            </w14:solidFill>
          </w14:textFill>
        </w:rPr>
      </w:pPr>
    </w:p>
    <w:p w14:paraId="0C89F66E">
      <w:pPr>
        <w:pStyle w:val="2"/>
        <w:rPr>
          <w:rFonts w:hint="eastAsia" w:ascii="宋体" w:hAnsi="宋体" w:eastAsia="宋体" w:cs="宋体"/>
          <w:color w:val="000000" w:themeColor="text1"/>
          <w14:textFill>
            <w14:solidFill>
              <w14:schemeClr w14:val="tx1"/>
            </w14:solidFill>
          </w14:textFill>
        </w:rPr>
      </w:pPr>
    </w:p>
    <w:p w14:paraId="510A510B">
      <w:pPr>
        <w:pStyle w:val="2"/>
        <w:rPr>
          <w:rFonts w:hint="eastAsia" w:ascii="宋体" w:hAnsi="宋体" w:eastAsia="宋体" w:cs="宋体"/>
          <w:color w:val="000000" w:themeColor="text1"/>
          <w14:textFill>
            <w14:solidFill>
              <w14:schemeClr w14:val="tx1"/>
            </w14:solidFill>
          </w14:textFill>
        </w:rPr>
      </w:pPr>
    </w:p>
    <w:p w14:paraId="6C3F8AFB">
      <w:pPr>
        <w:pStyle w:val="2"/>
        <w:rPr>
          <w:rFonts w:hint="eastAsia" w:ascii="宋体" w:hAnsi="宋体" w:eastAsia="宋体" w:cs="宋体"/>
          <w:color w:val="000000" w:themeColor="text1"/>
          <w14:textFill>
            <w14:solidFill>
              <w14:schemeClr w14:val="tx1"/>
            </w14:solidFill>
          </w14:textFill>
        </w:rPr>
      </w:pPr>
    </w:p>
    <w:p w14:paraId="2E178121">
      <w:pPr>
        <w:pStyle w:val="2"/>
        <w:rPr>
          <w:rFonts w:hint="eastAsia" w:ascii="宋体" w:hAnsi="宋体" w:eastAsia="宋体" w:cs="宋体"/>
          <w:color w:val="000000" w:themeColor="text1"/>
          <w14:textFill>
            <w14:solidFill>
              <w14:schemeClr w14:val="tx1"/>
            </w14:solidFill>
          </w14:textFill>
        </w:rPr>
      </w:pPr>
    </w:p>
    <w:p w14:paraId="23A421B8">
      <w:pPr>
        <w:pStyle w:val="2"/>
        <w:rPr>
          <w:rFonts w:hint="eastAsia" w:ascii="宋体" w:hAnsi="宋体" w:eastAsia="宋体" w:cs="宋体"/>
          <w:color w:val="000000" w:themeColor="text1"/>
          <w14:textFill>
            <w14:solidFill>
              <w14:schemeClr w14:val="tx1"/>
            </w14:solidFill>
          </w14:textFill>
        </w:rPr>
      </w:pPr>
    </w:p>
    <w:p w14:paraId="281FB2B4">
      <w:pPr>
        <w:pStyle w:val="2"/>
        <w:rPr>
          <w:rFonts w:hint="eastAsia" w:ascii="宋体" w:hAnsi="宋体" w:eastAsia="宋体" w:cs="宋体"/>
          <w:color w:val="000000" w:themeColor="text1"/>
          <w14:textFill>
            <w14:solidFill>
              <w14:schemeClr w14:val="tx1"/>
            </w14:solidFill>
          </w14:textFill>
        </w:rPr>
      </w:pPr>
    </w:p>
    <w:p w14:paraId="5DFA1968">
      <w:pPr>
        <w:pStyle w:val="4"/>
        <w:spacing w:line="440" w:lineRule="exact"/>
        <w:jc w:val="center"/>
        <w:rPr>
          <w:rFonts w:hint="eastAsia" w:ascii="宋体" w:hAnsi="宋体" w:eastAsia="宋体" w:cs="宋体"/>
          <w:color w:val="000000" w:themeColor="text1"/>
          <w14:textFill>
            <w14:solidFill>
              <w14:schemeClr w14:val="tx1"/>
            </w14:solidFill>
          </w14:textFill>
        </w:rPr>
      </w:pPr>
      <w:bookmarkStart w:id="17" w:name="_Toc437447667"/>
      <w:bookmarkStart w:id="18" w:name="_Toc342127124"/>
      <w:bookmarkStart w:id="19" w:name="_Toc369107768"/>
      <w:bookmarkStart w:id="20" w:name="_Toc477774141"/>
      <w:bookmarkStart w:id="21" w:name="_Toc364094378"/>
      <w:bookmarkStart w:id="22" w:name="_Toc483240708"/>
      <w:bookmarkStart w:id="23" w:name="_Toc462407781"/>
      <w:bookmarkStart w:id="24" w:name="_Toc25244"/>
      <w:bookmarkStart w:id="25" w:name="_Toc342127225"/>
      <w:bookmarkStart w:id="26" w:name="_Toc25742469"/>
      <w:bookmarkStart w:id="27" w:name="_Toc390845638"/>
      <w:bookmarkStart w:id="28" w:name="_Toc498419132"/>
      <w:r>
        <w:rPr>
          <w:rFonts w:hint="eastAsia" w:ascii="宋体" w:hAnsi="宋体" w:eastAsia="宋体" w:cs="宋体"/>
          <w:color w:val="000000" w:themeColor="text1"/>
          <w14:textFill>
            <w14:solidFill>
              <w14:schemeClr w14:val="tx1"/>
            </w14:solidFill>
          </w14:textFill>
        </w:rPr>
        <w:t>第二节  通用合同条款</w:t>
      </w:r>
      <w:bookmarkEnd w:id="17"/>
      <w:bookmarkEnd w:id="18"/>
      <w:bookmarkEnd w:id="19"/>
      <w:bookmarkEnd w:id="20"/>
      <w:bookmarkEnd w:id="21"/>
      <w:bookmarkEnd w:id="22"/>
      <w:bookmarkEnd w:id="23"/>
      <w:bookmarkEnd w:id="24"/>
      <w:bookmarkEnd w:id="25"/>
      <w:bookmarkEnd w:id="26"/>
      <w:bookmarkEnd w:id="27"/>
      <w:bookmarkEnd w:id="28"/>
    </w:p>
    <w:p w14:paraId="00A70F1E">
      <w:pPr>
        <w:spacing w:line="440" w:lineRule="exact"/>
        <w:ind w:firstLine="480" w:firstLineChars="20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说明：本章内容采用中华人民共和国住房和城乡建设部、中华人民共和国国家工商行政管理总局联合发布的2017版《建设工程施工合同（示范文本）》（GF-2017-0201)的通用合同条款，请投标单位（供应商）自行查阅。</w:t>
      </w:r>
    </w:p>
    <w:p w14:paraId="4CCFBFAB">
      <w:pPr>
        <w:pStyle w:val="4"/>
        <w:spacing w:line="440" w:lineRule="exact"/>
        <w:jc w:val="center"/>
        <w:rPr>
          <w:rFonts w:hint="eastAsia" w:ascii="宋体" w:hAnsi="宋体" w:eastAsia="宋体" w:cs="宋体"/>
          <w:color w:val="000000" w:themeColor="text1"/>
          <w14:textFill>
            <w14:solidFill>
              <w14:schemeClr w14:val="tx1"/>
            </w14:solidFill>
          </w14:textFill>
        </w:rPr>
      </w:pPr>
      <w:bookmarkStart w:id="29" w:name="_Toc390845639"/>
      <w:bookmarkStart w:id="30" w:name="_Toc369107769"/>
      <w:bookmarkStart w:id="31" w:name="_Toc462407782"/>
      <w:bookmarkStart w:id="32" w:name="_Toc342127125"/>
      <w:bookmarkStart w:id="33" w:name="_Toc364094379"/>
      <w:bookmarkStart w:id="34" w:name="_Toc477774142"/>
      <w:bookmarkStart w:id="35" w:name="_Toc483240709"/>
      <w:bookmarkStart w:id="36" w:name="_sec_697_2"/>
      <w:bookmarkStart w:id="37" w:name="_Toc437447668"/>
      <w:bookmarkStart w:id="38" w:name="_Toc342127226"/>
    </w:p>
    <w:p w14:paraId="3D8B52A0">
      <w:pPr>
        <w:pStyle w:val="4"/>
        <w:spacing w:line="440" w:lineRule="exact"/>
        <w:jc w:val="center"/>
        <w:rPr>
          <w:rFonts w:hint="eastAsia" w:ascii="宋体" w:hAnsi="宋体" w:eastAsia="宋体" w:cs="宋体"/>
          <w:color w:val="000000" w:themeColor="text1"/>
          <w14:textFill>
            <w14:solidFill>
              <w14:schemeClr w14:val="tx1"/>
            </w14:solidFill>
          </w14:textFill>
        </w:rPr>
      </w:pPr>
      <w:bookmarkStart w:id="39" w:name="_Toc498419133"/>
      <w:bookmarkStart w:id="40" w:name="_Toc23196"/>
      <w:bookmarkStart w:id="41" w:name="_Toc25742470"/>
      <w:r>
        <w:rPr>
          <w:rFonts w:hint="eastAsia" w:ascii="宋体" w:hAnsi="宋体" w:eastAsia="宋体" w:cs="宋体"/>
          <w:color w:val="000000" w:themeColor="text1"/>
          <w14:textFill>
            <w14:solidFill>
              <w14:schemeClr w14:val="tx1"/>
            </w14:solidFill>
          </w14:textFill>
        </w:rPr>
        <w:t>第三节  专用合同条款</w:t>
      </w:r>
      <w:bookmarkEnd w:id="29"/>
      <w:bookmarkEnd w:id="30"/>
      <w:bookmarkEnd w:id="31"/>
      <w:bookmarkEnd w:id="32"/>
      <w:bookmarkEnd w:id="33"/>
      <w:bookmarkEnd w:id="34"/>
      <w:bookmarkEnd w:id="35"/>
      <w:bookmarkEnd w:id="36"/>
      <w:bookmarkEnd w:id="37"/>
      <w:bookmarkEnd w:id="38"/>
      <w:bookmarkEnd w:id="39"/>
      <w:bookmarkEnd w:id="40"/>
      <w:bookmarkEnd w:id="41"/>
    </w:p>
    <w:p w14:paraId="66F684B6">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42" w:name="_Toc351203633"/>
      <w:r>
        <w:rPr>
          <w:rFonts w:hint="eastAsia" w:ascii="宋体" w:hAnsi="宋体" w:eastAsia="宋体" w:cs="宋体"/>
          <w:b w:val="0"/>
          <w:color w:val="000000" w:themeColor="text1"/>
          <w:sz w:val="24"/>
          <w:szCs w:val="24"/>
          <w14:textFill>
            <w14:solidFill>
              <w14:schemeClr w14:val="tx1"/>
            </w14:solidFill>
          </w14:textFill>
        </w:rPr>
        <w:t>1</w:t>
      </w:r>
      <w:bookmarkStart w:id="43" w:name="_Toc292559866"/>
      <w:bookmarkStart w:id="44" w:name="_Toc296347155"/>
      <w:bookmarkStart w:id="45" w:name="_Toc296346657"/>
      <w:bookmarkStart w:id="46" w:name="_Toc296891196"/>
      <w:bookmarkStart w:id="47" w:name="_Toc296944495"/>
      <w:bookmarkStart w:id="48" w:name="_Toc292559361"/>
      <w:bookmarkStart w:id="49" w:name="_Toc296890984"/>
      <w:bookmarkStart w:id="50" w:name="_Toc296503156"/>
      <w:bookmarkStart w:id="51" w:name="_Toc297120456"/>
      <w:bookmarkStart w:id="52" w:name="_Toc297048342"/>
      <w:r>
        <w:rPr>
          <w:rFonts w:hint="eastAsia" w:ascii="宋体" w:hAnsi="宋体" w:eastAsia="宋体" w:cs="宋体"/>
          <w:b w:val="0"/>
          <w:color w:val="000000" w:themeColor="text1"/>
          <w:sz w:val="24"/>
          <w:szCs w:val="24"/>
          <w14:textFill>
            <w14:solidFill>
              <w14:schemeClr w14:val="tx1"/>
            </w14:solidFill>
          </w14:textFill>
        </w:rPr>
        <w:t>. 一般约定</w:t>
      </w:r>
      <w:bookmarkEnd w:id="42"/>
    </w:p>
    <w:bookmarkEnd w:id="43"/>
    <w:bookmarkEnd w:id="44"/>
    <w:bookmarkEnd w:id="45"/>
    <w:bookmarkEnd w:id="46"/>
    <w:bookmarkEnd w:id="47"/>
    <w:bookmarkEnd w:id="48"/>
    <w:bookmarkEnd w:id="49"/>
    <w:bookmarkEnd w:id="50"/>
    <w:bookmarkEnd w:id="51"/>
    <w:bookmarkEnd w:id="52"/>
    <w:p w14:paraId="04584C52">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53" w:name="_Toc4584"/>
      <w:bookmarkStart w:id="54" w:name="_Toc47099678"/>
      <w:bookmarkStart w:id="55" w:name="_Toc498419134"/>
      <w:bookmarkStart w:id="56" w:name="_Toc25742471"/>
      <w:bookmarkStart w:id="57" w:name="_Toc12730"/>
      <w:bookmarkStart w:id="58" w:name="_Toc19681"/>
      <w:bookmarkStart w:id="59" w:name="_Toc19624"/>
      <w:r>
        <w:rPr>
          <w:rFonts w:hint="eastAsia" w:ascii="宋体" w:hAnsi="宋体" w:eastAsia="宋体" w:cs="宋体"/>
          <w:color w:val="000000" w:themeColor="text1"/>
          <w:sz w:val="24"/>
          <w14:textFill>
            <w14:solidFill>
              <w14:schemeClr w14:val="tx1"/>
            </w14:solidFill>
          </w14:textFill>
        </w:rPr>
        <w:t>1.1 词语定义</w:t>
      </w:r>
      <w:bookmarkEnd w:id="53"/>
      <w:bookmarkEnd w:id="54"/>
      <w:bookmarkEnd w:id="55"/>
      <w:bookmarkEnd w:id="56"/>
      <w:bookmarkEnd w:id="57"/>
      <w:bookmarkEnd w:id="58"/>
      <w:bookmarkEnd w:id="59"/>
    </w:p>
    <w:p w14:paraId="692C1CBA">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1.1.1合同</w:t>
      </w:r>
    </w:p>
    <w:p w14:paraId="1AC16A41">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1.1.1.10其他合同文件包括：。</w:t>
      </w:r>
    </w:p>
    <w:p w14:paraId="71C01029">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1.1.2 合同当事人及其他相关方</w:t>
      </w:r>
    </w:p>
    <w:p w14:paraId="62F4F230">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1.1.2.4监理人：</w:t>
      </w:r>
    </w:p>
    <w:p w14:paraId="3EB9CD7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名    称：；</w:t>
      </w:r>
    </w:p>
    <w:p w14:paraId="520E9E77">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资质类别和等级：；</w:t>
      </w:r>
    </w:p>
    <w:p w14:paraId="5DA7DD4B">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联系电话：；</w:t>
      </w:r>
    </w:p>
    <w:p w14:paraId="4935E59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电子信箱：；</w:t>
      </w:r>
    </w:p>
    <w:p w14:paraId="2B939959">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通信地址：。</w:t>
      </w:r>
    </w:p>
    <w:p w14:paraId="251140CF">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1.1.2.5 设计人：</w:t>
      </w:r>
    </w:p>
    <w:p w14:paraId="215D01E2">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名    称：；</w:t>
      </w:r>
    </w:p>
    <w:p w14:paraId="60710FE9">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资质类别和等级：；</w:t>
      </w:r>
    </w:p>
    <w:p w14:paraId="5C8983A9">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联系电话：；</w:t>
      </w:r>
    </w:p>
    <w:p w14:paraId="38DB066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电子信箱：；</w:t>
      </w:r>
    </w:p>
    <w:p w14:paraId="32F889C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通信地址：。</w:t>
      </w:r>
    </w:p>
    <w:p w14:paraId="146B224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1.1.3 工程和设备</w:t>
      </w:r>
    </w:p>
    <w:p w14:paraId="1B831B14">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1.1.3.7 作为施工现场组成部分的其他场所包括：。</w:t>
      </w:r>
    </w:p>
    <w:p w14:paraId="021AC90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1.1.3.9 永久占地包括：。</w:t>
      </w:r>
    </w:p>
    <w:p w14:paraId="41EBFD6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1.1.3.10 临时占地包括：。</w:t>
      </w:r>
    </w:p>
    <w:p w14:paraId="18A48F69">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1.3法律 </w:t>
      </w:r>
    </w:p>
    <w:p w14:paraId="5DCEB2D1">
      <w:pPr>
        <w:autoSpaceDE w:val="0"/>
        <w:autoSpaceDN w:val="0"/>
        <w:adjustRightInd w:val="0"/>
        <w:spacing w:line="360" w:lineRule="auto"/>
        <w:ind w:left="966" w:leftChars="284"/>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适用于合同的其他规范性文件：。</w:t>
      </w:r>
    </w:p>
    <w:p w14:paraId="662C3F4F">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1.4 标准和规范</w:t>
      </w:r>
    </w:p>
    <w:p w14:paraId="645A91D5">
      <w:pPr>
        <w:spacing w:line="360" w:lineRule="auto"/>
        <w:ind w:left="966" w:leftChars="284"/>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1.4.1适用于工程的标准规范包括：。</w:t>
      </w:r>
    </w:p>
    <w:p w14:paraId="6E1F1793">
      <w:pPr>
        <w:spacing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60" w:name="_Toc47099679"/>
      <w:bookmarkStart w:id="61" w:name="_Toc25742472"/>
      <w:bookmarkStart w:id="62" w:name="_Toc28614"/>
      <w:bookmarkStart w:id="63" w:name="_Toc16272"/>
      <w:bookmarkStart w:id="64" w:name="_Toc11474"/>
      <w:bookmarkStart w:id="65" w:name="_Toc11525"/>
      <w:bookmarkStart w:id="66" w:name="_Toc498419135"/>
      <w:r>
        <w:rPr>
          <w:rFonts w:hint="eastAsia" w:ascii="宋体" w:hAnsi="宋体" w:eastAsia="宋体" w:cs="宋体"/>
          <w:color w:val="000000" w:themeColor="text1"/>
          <w:sz w:val="24"/>
          <w14:textFill>
            <w14:solidFill>
              <w14:schemeClr w14:val="tx1"/>
            </w14:solidFill>
          </w14:textFill>
        </w:rPr>
        <w:t>1.4.2 发包人提供国外标准、规范的名称：；</w:t>
      </w:r>
      <w:bookmarkEnd w:id="60"/>
      <w:bookmarkEnd w:id="61"/>
      <w:bookmarkEnd w:id="62"/>
      <w:bookmarkEnd w:id="63"/>
      <w:bookmarkEnd w:id="64"/>
      <w:bookmarkEnd w:id="65"/>
      <w:bookmarkEnd w:id="66"/>
    </w:p>
    <w:p w14:paraId="2615A176">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发包人提供国外标准、规范的份数：；</w:t>
      </w:r>
    </w:p>
    <w:p w14:paraId="61B5EAFE">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发包人提供国外标准、规范的名称：。</w:t>
      </w:r>
    </w:p>
    <w:p w14:paraId="411BC914">
      <w:pPr>
        <w:spacing w:line="360" w:lineRule="auto"/>
        <w:ind w:left="966" w:leftChars="284"/>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1.4.3发包人对工程的技术标准和功能要求的特殊要求：</w:t>
      </w:r>
    </w:p>
    <w:p w14:paraId="7E266685">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w:t>
      </w:r>
    </w:p>
    <w:p w14:paraId="3167CD4A">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67" w:name="_Toc13758"/>
      <w:bookmarkStart w:id="68" w:name="_Toc498419136"/>
      <w:bookmarkStart w:id="69" w:name="_Toc47099680"/>
      <w:bookmarkStart w:id="70" w:name="_Toc25742473"/>
      <w:bookmarkStart w:id="71" w:name="_Toc24940"/>
      <w:bookmarkStart w:id="72" w:name="_Toc29824"/>
      <w:bookmarkStart w:id="73" w:name="_Toc17955"/>
      <w:r>
        <w:rPr>
          <w:rFonts w:hint="eastAsia" w:ascii="宋体" w:hAnsi="宋体" w:eastAsia="宋体" w:cs="宋体"/>
          <w:color w:val="000000" w:themeColor="text1"/>
          <w:sz w:val="24"/>
          <w14:textFill>
            <w14:solidFill>
              <w14:schemeClr w14:val="tx1"/>
            </w14:solidFill>
          </w14:textFill>
        </w:rPr>
        <w:t>1.5 合同文件的优先顺序</w:t>
      </w:r>
      <w:bookmarkEnd w:id="67"/>
      <w:bookmarkEnd w:id="68"/>
      <w:bookmarkEnd w:id="69"/>
      <w:bookmarkEnd w:id="70"/>
      <w:bookmarkEnd w:id="71"/>
      <w:bookmarkEnd w:id="72"/>
      <w:bookmarkEnd w:id="73"/>
    </w:p>
    <w:p w14:paraId="3A59290E">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合同文件组成及优先顺序为：。</w:t>
      </w:r>
    </w:p>
    <w:p w14:paraId="1FF720EB">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74" w:name="_Toc9526"/>
      <w:bookmarkStart w:id="75" w:name="_Toc14311"/>
      <w:bookmarkStart w:id="76" w:name="_Toc25742474"/>
      <w:bookmarkStart w:id="77" w:name="_Toc498419137"/>
      <w:bookmarkStart w:id="78" w:name="_Toc47099681"/>
      <w:bookmarkStart w:id="79" w:name="_Toc24472"/>
      <w:bookmarkStart w:id="80" w:name="_Toc12557"/>
      <w:r>
        <w:rPr>
          <w:rFonts w:hint="eastAsia" w:ascii="宋体" w:hAnsi="宋体" w:eastAsia="宋体" w:cs="宋体"/>
          <w:color w:val="000000" w:themeColor="text1"/>
          <w:sz w:val="24"/>
          <w14:textFill>
            <w14:solidFill>
              <w14:schemeClr w14:val="tx1"/>
            </w14:solidFill>
          </w14:textFill>
        </w:rPr>
        <w:t>1.6 图纸和承包人文件</w:t>
      </w:r>
      <w:bookmarkEnd w:id="74"/>
      <w:bookmarkEnd w:id="75"/>
      <w:bookmarkEnd w:id="76"/>
      <w:bookmarkEnd w:id="77"/>
      <w:bookmarkEnd w:id="78"/>
      <w:bookmarkEnd w:id="79"/>
      <w:bookmarkEnd w:id="80"/>
      <w:r>
        <w:rPr>
          <w:rFonts w:hint="eastAsia" w:ascii="宋体" w:hAnsi="宋体" w:eastAsia="宋体" w:cs="宋体"/>
          <w:color w:val="000000" w:themeColor="text1"/>
          <w:sz w:val="24"/>
          <w14:textFill>
            <w14:solidFill>
              <w14:schemeClr w14:val="tx1"/>
            </w14:solidFill>
          </w14:textFill>
        </w:rPr>
        <w:tab/>
      </w:r>
    </w:p>
    <w:p w14:paraId="48C8C58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1.6.1 图纸的提供</w:t>
      </w:r>
    </w:p>
    <w:p w14:paraId="1C91439A">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发包人向承包人提供图纸的期限：；</w:t>
      </w:r>
    </w:p>
    <w:p w14:paraId="60F49869">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发包人向承包人提供图纸的数量：；</w:t>
      </w:r>
    </w:p>
    <w:p w14:paraId="2E1327B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发包人向承包人提供图纸的内容：。</w:t>
      </w:r>
    </w:p>
    <w:p w14:paraId="7BF5D106">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1.6.4 承包人文件</w:t>
      </w:r>
    </w:p>
    <w:p w14:paraId="193ACDD7">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需要由承包人提供的文件，包括：；</w:t>
      </w:r>
    </w:p>
    <w:p w14:paraId="17BAC937">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承包人提供的文件的期限为：；</w:t>
      </w:r>
    </w:p>
    <w:p w14:paraId="27C9FE97">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承包人提供的文件的数量为：；</w:t>
      </w:r>
    </w:p>
    <w:p w14:paraId="44FAD377">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承包人提供的文件的形式为：；</w:t>
      </w:r>
    </w:p>
    <w:p w14:paraId="66839CE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发包人审批承包人文件的期限：。</w:t>
      </w:r>
    </w:p>
    <w:p w14:paraId="24C0601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1.6.5 现场图纸准备</w:t>
      </w:r>
    </w:p>
    <w:p w14:paraId="0DE73070">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关于现场图纸准备的约定：。</w:t>
      </w:r>
    </w:p>
    <w:p w14:paraId="694D8704">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81" w:name="_Toc27532"/>
      <w:bookmarkStart w:id="82" w:name="_Toc7326"/>
      <w:bookmarkStart w:id="83" w:name="_Toc15755"/>
      <w:bookmarkStart w:id="84" w:name="_Toc25742475"/>
      <w:bookmarkStart w:id="85" w:name="_Toc24431"/>
      <w:bookmarkStart w:id="86" w:name="_Toc47099682"/>
      <w:bookmarkStart w:id="87" w:name="_Toc498419138"/>
      <w:r>
        <w:rPr>
          <w:rFonts w:hint="eastAsia" w:ascii="宋体" w:hAnsi="宋体" w:eastAsia="宋体" w:cs="宋体"/>
          <w:color w:val="000000" w:themeColor="text1"/>
          <w:sz w:val="24"/>
          <w14:textFill>
            <w14:solidFill>
              <w14:schemeClr w14:val="tx1"/>
            </w14:solidFill>
          </w14:textFill>
        </w:rPr>
        <w:t>1.7 联络</w:t>
      </w:r>
      <w:bookmarkEnd w:id="81"/>
      <w:bookmarkEnd w:id="82"/>
      <w:bookmarkEnd w:id="83"/>
      <w:bookmarkEnd w:id="84"/>
      <w:bookmarkEnd w:id="85"/>
      <w:bookmarkEnd w:id="86"/>
      <w:bookmarkEnd w:id="87"/>
    </w:p>
    <w:p w14:paraId="26A3025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1.7.1发包人和承包人应当在天内将与合同有关的通知、批准、证明、证书、指示、指令、要求、请求、同意、意见、确定和决定等书面函件送达对方当事人。</w:t>
      </w:r>
    </w:p>
    <w:p w14:paraId="00DEC660">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1.7.2 发包人接收文件的地点：；</w:t>
      </w:r>
    </w:p>
    <w:p w14:paraId="54E68352">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发包人指定的接收人为：。</w:t>
      </w:r>
    </w:p>
    <w:p w14:paraId="34B9F205">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承包人接收文件的地点：；</w:t>
      </w:r>
    </w:p>
    <w:p w14:paraId="064547C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承包人指定的接收人为：。</w:t>
      </w:r>
    </w:p>
    <w:p w14:paraId="27803679">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监理人接收文件的地点：；</w:t>
      </w:r>
    </w:p>
    <w:p w14:paraId="7F16B1D5">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监理人指定的接收人为：。</w:t>
      </w:r>
    </w:p>
    <w:p w14:paraId="35923E06">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88" w:name="_Toc47099683"/>
      <w:bookmarkStart w:id="89" w:name="_Toc25742476"/>
      <w:bookmarkStart w:id="90" w:name="_Toc498419139"/>
      <w:bookmarkStart w:id="91" w:name="_Toc12800"/>
      <w:bookmarkStart w:id="92" w:name="_Toc12157"/>
      <w:bookmarkStart w:id="93" w:name="_Toc27149"/>
      <w:r>
        <w:rPr>
          <w:rFonts w:hint="eastAsia" w:ascii="宋体" w:hAnsi="宋体" w:eastAsia="宋体" w:cs="宋体"/>
          <w:color w:val="000000" w:themeColor="text1"/>
          <w:sz w:val="24"/>
          <w14:textFill>
            <w14:solidFill>
              <w14:schemeClr w14:val="tx1"/>
            </w14:solidFill>
          </w14:textFill>
        </w:rPr>
        <w:t>1.10 交通运输</w:t>
      </w:r>
      <w:bookmarkEnd w:id="88"/>
      <w:bookmarkEnd w:id="89"/>
      <w:bookmarkEnd w:id="90"/>
      <w:bookmarkEnd w:id="91"/>
      <w:bookmarkEnd w:id="92"/>
      <w:bookmarkEnd w:id="93"/>
    </w:p>
    <w:p w14:paraId="0EE68C37">
      <w:pPr>
        <w:spacing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94" w:name="_Toc498419140"/>
      <w:bookmarkStart w:id="95" w:name="_Toc32193"/>
      <w:bookmarkStart w:id="96" w:name="_Toc29512"/>
      <w:bookmarkStart w:id="97" w:name="_Toc23018"/>
      <w:bookmarkStart w:id="98" w:name="_Toc373"/>
      <w:bookmarkStart w:id="99" w:name="_Toc25742477"/>
      <w:bookmarkStart w:id="100" w:name="_Toc47099684"/>
      <w:r>
        <w:rPr>
          <w:rFonts w:hint="eastAsia" w:ascii="宋体" w:hAnsi="宋体" w:eastAsia="宋体" w:cs="宋体"/>
          <w:color w:val="000000" w:themeColor="text1"/>
          <w:sz w:val="24"/>
          <w14:textFill>
            <w14:solidFill>
              <w14:schemeClr w14:val="tx1"/>
            </w14:solidFill>
          </w14:textFill>
        </w:rPr>
        <w:t>1</w:t>
      </w:r>
      <w:bookmarkStart w:id="101" w:name="_Toc303539100"/>
      <w:bookmarkStart w:id="102" w:name="_Toc318581155"/>
      <w:bookmarkStart w:id="103" w:name="_Toc300934943"/>
      <w:bookmarkStart w:id="104" w:name="_Toc304295521"/>
      <w:bookmarkStart w:id="105" w:name="_Toc312677986"/>
      <w:r>
        <w:rPr>
          <w:rFonts w:hint="eastAsia" w:ascii="宋体" w:hAnsi="宋体" w:eastAsia="宋体" w:cs="宋体"/>
          <w:color w:val="000000" w:themeColor="text1"/>
          <w:sz w:val="24"/>
          <w14:textFill>
            <w14:solidFill>
              <w14:schemeClr w14:val="tx1"/>
            </w14:solidFill>
          </w14:textFill>
        </w:rPr>
        <w:t>.10.1 出入现场的权利</w:t>
      </w:r>
      <w:bookmarkEnd w:id="94"/>
      <w:bookmarkEnd w:id="95"/>
      <w:bookmarkEnd w:id="96"/>
      <w:bookmarkEnd w:id="97"/>
      <w:bookmarkEnd w:id="98"/>
      <w:bookmarkEnd w:id="99"/>
      <w:bookmarkEnd w:id="100"/>
    </w:p>
    <w:p w14:paraId="517E9FBF">
      <w:pPr>
        <w:spacing w:line="360" w:lineRule="auto"/>
        <w:ind w:left="966" w:leftChars="284"/>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关于出入现场的权利的约定：。</w:t>
      </w:r>
    </w:p>
    <w:bookmarkEnd w:id="101"/>
    <w:bookmarkEnd w:id="102"/>
    <w:bookmarkEnd w:id="103"/>
    <w:bookmarkEnd w:id="104"/>
    <w:bookmarkEnd w:id="105"/>
    <w:p w14:paraId="15B9B382">
      <w:pPr>
        <w:spacing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106" w:name="_Toc25742478"/>
      <w:bookmarkStart w:id="107" w:name="_Toc19994"/>
      <w:bookmarkStart w:id="108" w:name="_Toc14411"/>
      <w:bookmarkStart w:id="109" w:name="_Toc11299"/>
      <w:bookmarkStart w:id="110" w:name="_Toc47099685"/>
      <w:bookmarkStart w:id="111" w:name="_Toc498419141"/>
      <w:bookmarkStart w:id="112" w:name="_Toc24738"/>
      <w:r>
        <w:rPr>
          <w:rFonts w:hint="eastAsia" w:ascii="宋体" w:hAnsi="宋体" w:eastAsia="宋体" w:cs="宋体"/>
          <w:color w:val="000000" w:themeColor="text1"/>
          <w:sz w:val="24"/>
          <w14:textFill>
            <w14:solidFill>
              <w14:schemeClr w14:val="tx1"/>
            </w14:solidFill>
          </w14:textFill>
        </w:rPr>
        <w:t>1</w:t>
      </w:r>
      <w:bookmarkStart w:id="113" w:name="_Toc300934944"/>
      <w:bookmarkStart w:id="114" w:name="_Toc303539101"/>
      <w:bookmarkStart w:id="115" w:name="_Toc312677987"/>
      <w:bookmarkStart w:id="116" w:name="_Toc304295522"/>
      <w:bookmarkStart w:id="117" w:name="_Toc318581156"/>
      <w:r>
        <w:rPr>
          <w:rFonts w:hint="eastAsia" w:ascii="宋体" w:hAnsi="宋体" w:eastAsia="宋体" w:cs="宋体"/>
          <w:color w:val="000000" w:themeColor="text1"/>
          <w:sz w:val="24"/>
          <w14:textFill>
            <w14:solidFill>
              <w14:schemeClr w14:val="tx1"/>
            </w14:solidFill>
          </w14:textFill>
        </w:rPr>
        <w:t>.10.3 场内交通</w:t>
      </w:r>
      <w:bookmarkEnd w:id="106"/>
      <w:bookmarkEnd w:id="107"/>
      <w:bookmarkEnd w:id="108"/>
      <w:bookmarkEnd w:id="109"/>
      <w:bookmarkEnd w:id="110"/>
      <w:bookmarkEnd w:id="111"/>
      <w:bookmarkEnd w:id="112"/>
    </w:p>
    <w:p w14:paraId="06FAE89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关于场外交通和场内交通的边界的约定：。</w:t>
      </w:r>
    </w:p>
    <w:p w14:paraId="1554E48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关于发包人向承包人免费提供满足工程施工需要的场内道路和交通设施的约定。</w:t>
      </w:r>
      <w:bookmarkEnd w:id="113"/>
      <w:bookmarkEnd w:id="114"/>
      <w:bookmarkEnd w:id="115"/>
      <w:bookmarkEnd w:id="116"/>
      <w:bookmarkEnd w:id="117"/>
      <w:bookmarkStart w:id="118" w:name="_Toc318581157"/>
    </w:p>
    <w:p w14:paraId="45443BF9">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1.10.4超大件和超重件的运输</w:t>
      </w:r>
    </w:p>
    <w:p w14:paraId="4C51E9F2">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运输超大件或超重件所需的道路和桥梁临时加固改造费用和其他有关费用由承担。</w:t>
      </w:r>
    </w:p>
    <w:bookmarkEnd w:id="118"/>
    <w:p w14:paraId="0B268624">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119" w:name="_Toc16983"/>
      <w:bookmarkStart w:id="120" w:name="_Toc25742479"/>
      <w:bookmarkStart w:id="121" w:name="_Toc15143"/>
      <w:bookmarkStart w:id="122" w:name="_Toc498419142"/>
      <w:bookmarkStart w:id="123" w:name="_Toc15339"/>
      <w:bookmarkStart w:id="124" w:name="_Toc14545"/>
      <w:bookmarkStart w:id="125" w:name="_Toc47099686"/>
      <w:r>
        <w:rPr>
          <w:rFonts w:hint="eastAsia" w:ascii="宋体" w:hAnsi="宋体" w:eastAsia="宋体" w:cs="宋体"/>
          <w:color w:val="000000" w:themeColor="text1"/>
          <w:sz w:val="24"/>
          <w14:textFill>
            <w14:solidFill>
              <w14:schemeClr w14:val="tx1"/>
            </w14:solidFill>
          </w14:textFill>
        </w:rPr>
        <w:t>1.11 知识产权</w:t>
      </w:r>
      <w:bookmarkEnd w:id="119"/>
      <w:bookmarkEnd w:id="120"/>
      <w:bookmarkEnd w:id="121"/>
      <w:bookmarkEnd w:id="122"/>
      <w:bookmarkEnd w:id="123"/>
      <w:bookmarkEnd w:id="124"/>
      <w:bookmarkEnd w:id="125"/>
    </w:p>
    <w:p w14:paraId="0691B249">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p>
    <w:p w14:paraId="1F889209">
      <w:pPr>
        <w:spacing w:line="360" w:lineRule="auto"/>
        <w:ind w:left="966" w:leftChars="284"/>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关于发包人提供的上述文件的使用限制的要求：。</w:t>
      </w:r>
    </w:p>
    <w:p w14:paraId="49C7EC93">
      <w:pPr>
        <w:spacing w:line="360" w:lineRule="auto"/>
        <w:ind w:left="966" w:leftChars="284"/>
        <w:outlineLvl w:val="0"/>
        <w:rPr>
          <w:rFonts w:hint="eastAsia" w:ascii="宋体" w:hAnsi="宋体" w:eastAsia="宋体" w:cs="宋体"/>
          <w:color w:val="000000" w:themeColor="text1"/>
          <w:sz w:val="24"/>
          <w14:textFill>
            <w14:solidFill>
              <w14:schemeClr w14:val="tx1"/>
            </w14:solidFill>
          </w14:textFill>
        </w:rPr>
      </w:pPr>
      <w:bookmarkStart w:id="126" w:name="_Toc7568"/>
      <w:bookmarkStart w:id="127" w:name="_Toc16793"/>
      <w:bookmarkStart w:id="128" w:name="_Toc498419143"/>
      <w:bookmarkStart w:id="129" w:name="_Toc47099687"/>
      <w:bookmarkStart w:id="130" w:name="_Toc24435"/>
      <w:bookmarkStart w:id="131" w:name="_Toc25742480"/>
      <w:bookmarkStart w:id="132" w:name="_Toc16941"/>
      <w:r>
        <w:rPr>
          <w:rFonts w:hint="eastAsia" w:ascii="宋体" w:hAnsi="宋体" w:eastAsia="宋体" w:cs="宋体"/>
          <w:color w:val="000000" w:themeColor="text1"/>
          <w:sz w:val="24"/>
          <w14:textFill>
            <w14:solidFill>
              <w14:schemeClr w14:val="tx1"/>
            </w14:solidFill>
          </w14:textFill>
        </w:rPr>
        <w:t>1.11.2 关于承包人为实施工程所编制文件的著作权的归属：。</w:t>
      </w:r>
      <w:bookmarkEnd w:id="126"/>
      <w:bookmarkEnd w:id="127"/>
      <w:bookmarkEnd w:id="128"/>
      <w:bookmarkEnd w:id="129"/>
      <w:bookmarkEnd w:id="130"/>
      <w:bookmarkEnd w:id="131"/>
      <w:bookmarkEnd w:id="132"/>
    </w:p>
    <w:p w14:paraId="2C5ACE6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关于承包人提供的上述文件的使用限制的要求：。</w:t>
      </w:r>
    </w:p>
    <w:p w14:paraId="5BB27C75">
      <w:pPr>
        <w:spacing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133" w:name="_Toc28190"/>
      <w:bookmarkStart w:id="134" w:name="_Toc25742481"/>
      <w:bookmarkStart w:id="135" w:name="_Toc23850"/>
      <w:bookmarkStart w:id="136" w:name="_Toc47099688"/>
      <w:bookmarkStart w:id="137" w:name="_Toc11207"/>
      <w:bookmarkStart w:id="138" w:name="_Toc2452"/>
      <w:bookmarkStart w:id="139" w:name="_Toc498419144"/>
      <w:r>
        <w:rPr>
          <w:rFonts w:hint="eastAsia" w:ascii="宋体" w:hAnsi="宋体" w:eastAsia="宋体" w:cs="宋体"/>
          <w:color w:val="000000" w:themeColor="text1"/>
          <w:sz w:val="24"/>
          <w14:textFill>
            <w14:solidFill>
              <w14:schemeClr w14:val="tx1"/>
            </w14:solidFill>
          </w14:textFill>
        </w:rPr>
        <w:t>1.11.4 承包人在施工过程中所采用的专利、专有技术、技术秘密的使用费的承担方式：。</w:t>
      </w:r>
      <w:bookmarkEnd w:id="133"/>
      <w:bookmarkEnd w:id="134"/>
      <w:bookmarkEnd w:id="135"/>
      <w:bookmarkEnd w:id="136"/>
      <w:bookmarkEnd w:id="137"/>
      <w:bookmarkEnd w:id="138"/>
      <w:bookmarkEnd w:id="139"/>
    </w:p>
    <w:p w14:paraId="6210C8EE">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1.13工程量清单错误的修正</w:t>
      </w:r>
    </w:p>
    <w:p w14:paraId="22637D9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出现工程量清单错误时，是否调整合同价格：。</w:t>
      </w:r>
    </w:p>
    <w:p w14:paraId="332DC371">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允许调整合同价格的工程量偏差范围：。</w:t>
      </w:r>
    </w:p>
    <w:p w14:paraId="60354DD8">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140" w:name="_Toc351203634"/>
      <w:r>
        <w:rPr>
          <w:rFonts w:hint="eastAsia" w:ascii="宋体" w:hAnsi="宋体" w:eastAsia="宋体" w:cs="宋体"/>
          <w:b w:val="0"/>
          <w:color w:val="000000" w:themeColor="text1"/>
          <w:sz w:val="24"/>
          <w:szCs w:val="24"/>
          <w14:textFill>
            <w14:solidFill>
              <w14:schemeClr w14:val="tx1"/>
            </w14:solidFill>
          </w14:textFill>
        </w:rPr>
        <w:t>2</w:t>
      </w:r>
      <w:bookmarkStart w:id="141" w:name="_Toc296503157"/>
      <w:bookmarkStart w:id="142" w:name="_Toc296944496"/>
      <w:bookmarkStart w:id="143" w:name="_Toc297120457"/>
      <w:bookmarkStart w:id="144" w:name="_Toc296891197"/>
      <w:bookmarkStart w:id="145" w:name="_Toc297048343"/>
      <w:bookmarkStart w:id="146" w:name="_Toc292559362"/>
      <w:bookmarkStart w:id="147" w:name="_Toc292559867"/>
      <w:bookmarkStart w:id="148" w:name="_Toc296346658"/>
      <w:bookmarkStart w:id="149" w:name="_Toc296890985"/>
      <w:bookmarkStart w:id="150" w:name="_Toc296347156"/>
      <w:r>
        <w:rPr>
          <w:rFonts w:hint="eastAsia" w:ascii="宋体" w:hAnsi="宋体" w:eastAsia="宋体" w:cs="宋体"/>
          <w:b w:val="0"/>
          <w:color w:val="000000" w:themeColor="text1"/>
          <w:sz w:val="24"/>
          <w:szCs w:val="24"/>
          <w14:textFill>
            <w14:solidFill>
              <w14:schemeClr w14:val="tx1"/>
            </w14:solidFill>
          </w14:textFill>
        </w:rPr>
        <w:t>. 发包人</w:t>
      </w:r>
      <w:bookmarkEnd w:id="140"/>
    </w:p>
    <w:bookmarkEnd w:id="141"/>
    <w:bookmarkEnd w:id="142"/>
    <w:bookmarkEnd w:id="143"/>
    <w:bookmarkEnd w:id="144"/>
    <w:bookmarkEnd w:id="145"/>
    <w:bookmarkEnd w:id="146"/>
    <w:bookmarkEnd w:id="147"/>
    <w:bookmarkEnd w:id="148"/>
    <w:bookmarkEnd w:id="149"/>
    <w:bookmarkEnd w:id="150"/>
    <w:p w14:paraId="0316A636">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151" w:name="_Toc25173"/>
      <w:bookmarkStart w:id="152" w:name="_Toc30375"/>
      <w:bookmarkStart w:id="153" w:name="_Toc47099689"/>
      <w:bookmarkStart w:id="154" w:name="_Toc11570"/>
      <w:bookmarkStart w:id="155" w:name="_Toc498419145"/>
      <w:bookmarkStart w:id="156" w:name="_Toc27657"/>
      <w:bookmarkStart w:id="157" w:name="_Toc25742482"/>
      <w:r>
        <w:rPr>
          <w:rFonts w:hint="eastAsia" w:ascii="宋体" w:hAnsi="宋体" w:eastAsia="宋体" w:cs="宋体"/>
          <w:color w:val="000000" w:themeColor="text1"/>
          <w:sz w:val="24"/>
          <w14:textFill>
            <w14:solidFill>
              <w14:schemeClr w14:val="tx1"/>
            </w14:solidFill>
          </w14:textFill>
        </w:rPr>
        <w:t>2.2 发包人代表</w:t>
      </w:r>
      <w:bookmarkEnd w:id="151"/>
      <w:bookmarkEnd w:id="152"/>
      <w:bookmarkEnd w:id="153"/>
      <w:bookmarkEnd w:id="154"/>
      <w:bookmarkEnd w:id="155"/>
      <w:bookmarkEnd w:id="156"/>
      <w:bookmarkEnd w:id="157"/>
    </w:p>
    <w:p w14:paraId="10AFA8A3">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发包人代表：</w:t>
      </w:r>
    </w:p>
    <w:p w14:paraId="2E3E7A61">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姓    名：；</w:t>
      </w:r>
    </w:p>
    <w:p w14:paraId="1C29BA5F">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身份证号：；</w:t>
      </w:r>
    </w:p>
    <w:p w14:paraId="0EBADED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职    务：；</w:t>
      </w:r>
    </w:p>
    <w:p w14:paraId="15037525">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联系电话：；</w:t>
      </w:r>
    </w:p>
    <w:p w14:paraId="6CD93D1B">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电子信箱：；</w:t>
      </w:r>
    </w:p>
    <w:p w14:paraId="0D7F97D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通信地址：。</w:t>
      </w:r>
    </w:p>
    <w:p w14:paraId="3B68E8B3">
      <w:pPr>
        <w:spacing w:line="360" w:lineRule="auto"/>
        <w:ind w:firstLine="480" w:firstLineChars="200"/>
        <w:rPr>
          <w:rFonts w:hint="eastAsia" w:ascii="宋体" w:hAnsi="宋体" w:eastAsia="宋体" w:cs="宋体"/>
          <w:b/>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发包人对发包人代表的授权范围如下：。</w:t>
      </w:r>
    </w:p>
    <w:p w14:paraId="797727AE">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158" w:name="_Toc24248"/>
      <w:bookmarkStart w:id="159" w:name="_Toc6280"/>
      <w:bookmarkStart w:id="160" w:name="_Toc31684"/>
      <w:bookmarkStart w:id="161" w:name="_Toc25742483"/>
      <w:bookmarkStart w:id="162" w:name="_Toc31696"/>
      <w:bookmarkStart w:id="163" w:name="_Toc498419146"/>
      <w:bookmarkStart w:id="164" w:name="_Toc47099690"/>
      <w:r>
        <w:rPr>
          <w:rFonts w:hint="eastAsia" w:ascii="宋体" w:hAnsi="宋体" w:eastAsia="宋体" w:cs="宋体"/>
          <w:color w:val="000000" w:themeColor="text1"/>
          <w:sz w:val="24"/>
          <w14:textFill>
            <w14:solidFill>
              <w14:schemeClr w14:val="tx1"/>
            </w14:solidFill>
          </w14:textFill>
        </w:rPr>
        <w:t>2.4 施工现场、施工条件和基础资料的提供</w:t>
      </w:r>
      <w:bookmarkEnd w:id="158"/>
      <w:bookmarkEnd w:id="159"/>
      <w:bookmarkEnd w:id="160"/>
      <w:bookmarkEnd w:id="161"/>
      <w:bookmarkEnd w:id="162"/>
      <w:bookmarkEnd w:id="163"/>
      <w:bookmarkEnd w:id="164"/>
    </w:p>
    <w:p w14:paraId="0C5D290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2.4.1 提供施工现场</w:t>
      </w:r>
    </w:p>
    <w:p w14:paraId="68F7C6A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关于发包人移交施工现场的期限要求：。</w:t>
      </w:r>
    </w:p>
    <w:p w14:paraId="389F8AD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2.4.2 提供施工条件</w:t>
      </w:r>
    </w:p>
    <w:p w14:paraId="73F4B8EF">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关于发包人应负责提供施工所需要的条件，包括：。</w:t>
      </w:r>
    </w:p>
    <w:p w14:paraId="5303B68B">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165" w:name="_Toc25742484"/>
      <w:bookmarkStart w:id="166" w:name="_Toc3212"/>
      <w:bookmarkStart w:id="167" w:name="_Toc17784"/>
      <w:bookmarkStart w:id="168" w:name="_Toc20424"/>
      <w:bookmarkStart w:id="169" w:name="_Toc498419147"/>
      <w:bookmarkStart w:id="170" w:name="_Toc47099691"/>
      <w:bookmarkStart w:id="171" w:name="_Toc29924"/>
      <w:r>
        <w:rPr>
          <w:rFonts w:hint="eastAsia" w:ascii="宋体" w:hAnsi="宋体" w:eastAsia="宋体" w:cs="宋体"/>
          <w:color w:val="000000" w:themeColor="text1"/>
          <w:sz w:val="24"/>
          <w14:textFill>
            <w14:solidFill>
              <w14:schemeClr w14:val="tx1"/>
            </w14:solidFill>
          </w14:textFill>
        </w:rPr>
        <w:t>2.5 资金来源证明及支付担保</w:t>
      </w:r>
      <w:bookmarkEnd w:id="165"/>
      <w:bookmarkEnd w:id="166"/>
      <w:bookmarkEnd w:id="167"/>
      <w:bookmarkEnd w:id="168"/>
      <w:bookmarkEnd w:id="169"/>
      <w:bookmarkEnd w:id="170"/>
      <w:bookmarkEnd w:id="171"/>
    </w:p>
    <w:p w14:paraId="25143BE5">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发包人提供资金来源证明的期限要求：。</w:t>
      </w:r>
    </w:p>
    <w:p w14:paraId="246AE08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发包人是否提供支付担保：。</w:t>
      </w:r>
    </w:p>
    <w:p w14:paraId="7964AA61">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发包人提供支付担保的形式：。</w:t>
      </w:r>
    </w:p>
    <w:p w14:paraId="48B8B782">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172" w:name="_Toc351203635"/>
      <w:r>
        <w:rPr>
          <w:rFonts w:hint="eastAsia" w:ascii="宋体" w:hAnsi="宋体" w:eastAsia="宋体" w:cs="宋体"/>
          <w:b w:val="0"/>
          <w:color w:val="000000" w:themeColor="text1"/>
          <w:sz w:val="24"/>
          <w:szCs w:val="24"/>
          <w14:textFill>
            <w14:solidFill>
              <w14:schemeClr w14:val="tx1"/>
            </w14:solidFill>
          </w14:textFill>
        </w:rPr>
        <w:t>3</w:t>
      </w:r>
      <w:bookmarkStart w:id="173" w:name="_Toc297048344"/>
      <w:bookmarkStart w:id="174" w:name="_Toc292559363"/>
      <w:bookmarkStart w:id="175" w:name="_Toc297120458"/>
      <w:bookmarkStart w:id="176" w:name="_Toc296944497"/>
      <w:bookmarkStart w:id="177" w:name="_Toc296347157"/>
      <w:bookmarkStart w:id="178" w:name="_Toc296503158"/>
      <w:bookmarkStart w:id="179" w:name="_Toc296891198"/>
      <w:bookmarkStart w:id="180" w:name="_Toc296346659"/>
      <w:bookmarkStart w:id="181" w:name="_Toc296890986"/>
      <w:bookmarkStart w:id="182" w:name="_Toc292559868"/>
      <w:r>
        <w:rPr>
          <w:rFonts w:hint="eastAsia" w:ascii="宋体" w:hAnsi="宋体" w:eastAsia="宋体" w:cs="宋体"/>
          <w:b w:val="0"/>
          <w:color w:val="000000" w:themeColor="text1"/>
          <w:sz w:val="24"/>
          <w:szCs w:val="24"/>
          <w14:textFill>
            <w14:solidFill>
              <w14:schemeClr w14:val="tx1"/>
            </w14:solidFill>
          </w14:textFill>
        </w:rPr>
        <w:t>. 承包人</w:t>
      </w:r>
      <w:bookmarkEnd w:id="172"/>
    </w:p>
    <w:bookmarkEnd w:id="173"/>
    <w:bookmarkEnd w:id="174"/>
    <w:bookmarkEnd w:id="175"/>
    <w:bookmarkEnd w:id="176"/>
    <w:bookmarkEnd w:id="177"/>
    <w:bookmarkEnd w:id="178"/>
    <w:bookmarkEnd w:id="179"/>
    <w:bookmarkEnd w:id="180"/>
    <w:bookmarkEnd w:id="181"/>
    <w:bookmarkEnd w:id="182"/>
    <w:p w14:paraId="0A4F9ECD">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3.1 承包人的一般义务</w:t>
      </w:r>
    </w:p>
    <w:p w14:paraId="3930E37F">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（9）承包人提交的竣工资料的内容：。</w:t>
      </w:r>
    </w:p>
    <w:p w14:paraId="5F4E20DB">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承包人需要提交的竣工资料套数：。</w:t>
      </w:r>
    </w:p>
    <w:p w14:paraId="16A4A161">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承包人提交的竣工资料的费用承担：。</w:t>
      </w:r>
    </w:p>
    <w:p w14:paraId="545EC101">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承包人提交的竣工资料移交时间：。</w:t>
      </w:r>
    </w:p>
    <w:p w14:paraId="6CC9508B">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承包人提交的竣工资料形式要求：。</w:t>
      </w:r>
    </w:p>
    <w:p w14:paraId="3F3E9F2A">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（10）承包人应履行的其他义务：。</w:t>
      </w:r>
    </w:p>
    <w:p w14:paraId="2737FA35">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3.2 项目经理</w:t>
      </w:r>
    </w:p>
    <w:p w14:paraId="503A4AEE">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3.2.1 项目经理：</w:t>
      </w:r>
    </w:p>
    <w:p w14:paraId="63FC7CC5">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姓    名：；</w:t>
      </w:r>
    </w:p>
    <w:p w14:paraId="0295C5D6">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身份证号：；</w:t>
      </w:r>
    </w:p>
    <w:p w14:paraId="52D19DF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建造师执业资格等级：；</w:t>
      </w:r>
    </w:p>
    <w:p w14:paraId="10541CE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建造师注册证书号：；</w:t>
      </w:r>
    </w:p>
    <w:p w14:paraId="50F549E5">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建造师执业印章号：；</w:t>
      </w:r>
    </w:p>
    <w:p w14:paraId="69E547C0">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安全生产考核合格证书号：；</w:t>
      </w:r>
    </w:p>
    <w:p w14:paraId="40D5BC01">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联系电话：；</w:t>
      </w:r>
    </w:p>
    <w:p w14:paraId="14B325BB">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电子信箱：；</w:t>
      </w:r>
    </w:p>
    <w:p w14:paraId="78AFBCF7">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通信地址：；</w:t>
      </w:r>
    </w:p>
    <w:p w14:paraId="25E3EE6F">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承包人对项目经理的授权范围如下：。</w:t>
      </w:r>
    </w:p>
    <w:p w14:paraId="4F599C0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关于项目经理每月在施工现场的时间要求：。</w:t>
      </w:r>
    </w:p>
    <w:p w14:paraId="5F20D2E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承包人未提交劳动合同，以及没有为项目经理缴纳社会保险证明的违约责任：。</w:t>
      </w:r>
    </w:p>
    <w:p w14:paraId="2E5D9751">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项目经理未经批准，擅自离开施工现场的违约责任：。</w:t>
      </w:r>
    </w:p>
    <w:p w14:paraId="741ABD8B">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3.2.3 承包人擅自更换项目经理的违约责任：。</w:t>
      </w:r>
    </w:p>
    <w:p w14:paraId="511017F6">
      <w:pPr>
        <w:spacing w:line="360" w:lineRule="auto"/>
        <w:outlineLvl w:val="0"/>
        <w:rPr>
          <w:rFonts w:hint="eastAsia" w:ascii="宋体" w:hAnsi="宋体" w:eastAsia="宋体" w:cs="宋体"/>
          <w:color w:val="000000" w:themeColor="text1"/>
          <w:sz w:val="24"/>
          <w14:textFill>
            <w14:solidFill>
              <w14:schemeClr w14:val="tx1"/>
            </w14:solidFill>
          </w14:textFill>
        </w:rPr>
      </w:pPr>
      <w:bookmarkStart w:id="183" w:name="_Toc16406"/>
      <w:bookmarkStart w:id="184" w:name="_Toc13806"/>
      <w:bookmarkStart w:id="185" w:name="_Toc25742485"/>
      <w:bookmarkStart w:id="186" w:name="_Toc498419148"/>
      <w:bookmarkStart w:id="187" w:name="_Toc14253"/>
      <w:bookmarkStart w:id="188" w:name="_Toc47099692"/>
      <w:bookmarkStart w:id="189" w:name="_Toc25358"/>
      <w:r>
        <w:rPr>
          <w:rFonts w:hint="eastAsia" w:ascii="宋体" w:hAnsi="宋体" w:eastAsia="宋体" w:cs="宋体"/>
          <w:color w:val="000000" w:themeColor="text1"/>
          <w:sz w:val="24"/>
          <w14:textFill>
            <w14:solidFill>
              <w14:schemeClr w14:val="tx1"/>
            </w14:solidFill>
          </w14:textFill>
        </w:rPr>
        <w:t>3.2.4 承包人无正当理由拒绝更换项目经理的违约责任：。</w:t>
      </w:r>
      <w:bookmarkEnd w:id="183"/>
      <w:bookmarkEnd w:id="184"/>
      <w:bookmarkEnd w:id="185"/>
      <w:bookmarkEnd w:id="186"/>
      <w:bookmarkEnd w:id="187"/>
      <w:bookmarkEnd w:id="188"/>
      <w:bookmarkEnd w:id="189"/>
    </w:p>
    <w:p w14:paraId="226E3D2C">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3.3 承包人人员</w:t>
      </w:r>
    </w:p>
    <w:p w14:paraId="72BA016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3.3.1 承包人提交项目管理机构及施工现场管理人员安排报告的期限：。</w:t>
      </w:r>
    </w:p>
    <w:p w14:paraId="0D1FC900">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3.3.3 承包人无正当理由拒绝撤换主要施工管理人员的违约责任：。</w:t>
      </w:r>
    </w:p>
    <w:p w14:paraId="1AB61A02">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3.3.4 承包人主要施工管理人员离开施工现场的批准要求：。</w:t>
      </w:r>
    </w:p>
    <w:p w14:paraId="57E6224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3.3.5承包人擅自更换主要施工管理人员的违约责任：。</w:t>
      </w:r>
    </w:p>
    <w:p w14:paraId="22A8BB3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承包人主要施工管理人员擅自离开施工现场的违约责任：。</w:t>
      </w:r>
    </w:p>
    <w:p w14:paraId="6D5D0C2E">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bookmarkStart w:id="190" w:name="_Toc304295523"/>
      <w:bookmarkStart w:id="191" w:name="_Toc297123492"/>
      <w:bookmarkStart w:id="192" w:name="_Toc296347158"/>
      <w:bookmarkStart w:id="193" w:name="_Toc296891199"/>
      <w:bookmarkStart w:id="194" w:name="_Toc296890987"/>
      <w:bookmarkStart w:id="195" w:name="_Toc297120459"/>
      <w:bookmarkStart w:id="196" w:name="_Toc296944498"/>
      <w:bookmarkStart w:id="197" w:name="_Toc297048345"/>
      <w:bookmarkStart w:id="198" w:name="_Toc292559364"/>
      <w:bookmarkStart w:id="199" w:name="_Toc292559869"/>
      <w:bookmarkStart w:id="200" w:name="_Toc300934945"/>
      <w:bookmarkStart w:id="201" w:name="_Toc296503159"/>
      <w:bookmarkStart w:id="202" w:name="_Toc303539102"/>
      <w:bookmarkStart w:id="203" w:name="_Toc297216151"/>
      <w:bookmarkStart w:id="204" w:name="_Toc296346660"/>
      <w:bookmarkStart w:id="205" w:name="_Toc312677988"/>
      <w:r>
        <w:rPr>
          <w:rFonts w:hint="eastAsia" w:ascii="宋体" w:hAnsi="宋体" w:eastAsia="宋体" w:cs="宋体"/>
          <w:color w:val="000000" w:themeColor="text1"/>
          <w:sz w:val="24"/>
          <w14:textFill>
            <w14:solidFill>
              <w14:schemeClr w14:val="tx1"/>
            </w14:solidFill>
          </w14:textFill>
        </w:rPr>
        <w:t>.5 分包</w:t>
      </w:r>
    </w:p>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14:paraId="5AC7FC8E">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bookmarkStart w:id="206" w:name="_Toc303539103"/>
      <w:bookmarkStart w:id="207" w:name="_Toc296891200"/>
      <w:bookmarkStart w:id="208" w:name="_Toc297123493"/>
      <w:bookmarkStart w:id="209" w:name="_Toc296346661"/>
      <w:bookmarkStart w:id="210" w:name="_Toc300934946"/>
      <w:bookmarkStart w:id="211" w:name="_Toc304295524"/>
      <w:bookmarkStart w:id="212" w:name="_Toc297120460"/>
      <w:bookmarkStart w:id="213" w:name="_Toc296944499"/>
      <w:bookmarkStart w:id="214" w:name="_Toc296503160"/>
      <w:bookmarkStart w:id="215" w:name="_Toc296890988"/>
      <w:bookmarkStart w:id="216" w:name="_Toc292559870"/>
      <w:bookmarkStart w:id="217" w:name="_Toc297048346"/>
      <w:bookmarkStart w:id="218" w:name="_Toc296347159"/>
      <w:bookmarkStart w:id="219" w:name="_Toc297216152"/>
      <w:bookmarkStart w:id="220" w:name="_Toc292559365"/>
      <w:bookmarkStart w:id="221" w:name="_Toc312677989"/>
      <w:bookmarkStart w:id="222" w:name="_Toc318581158"/>
      <w:r>
        <w:rPr>
          <w:rFonts w:hint="eastAsia" w:ascii="宋体" w:hAnsi="宋体" w:eastAsia="宋体" w:cs="宋体"/>
          <w:color w:val="000000" w:themeColor="text1"/>
          <w:sz w:val="24"/>
          <w14:textFill>
            <w14:solidFill>
              <w14:schemeClr w14:val="tx1"/>
            </w14:solidFill>
          </w14:textFill>
        </w:rPr>
        <w:t>.5.1 分包的一般约定</w:t>
      </w:r>
    </w:p>
    <w:p w14:paraId="3C548B56">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禁止分包的工程包括：。</w:t>
      </w:r>
    </w:p>
    <w:p w14:paraId="53BF6907">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主体结构、关键性工作的范围：。</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Start w:id="223" w:name="_Toc296347160"/>
      <w:bookmarkStart w:id="224" w:name="_Toc296503161"/>
      <w:bookmarkStart w:id="225" w:name="_Toc296891201"/>
      <w:bookmarkStart w:id="226" w:name="_Toc297123494"/>
      <w:bookmarkStart w:id="227" w:name="_Toc297048347"/>
      <w:bookmarkStart w:id="228" w:name="_Toc300934947"/>
      <w:bookmarkStart w:id="229" w:name="_Toc304295525"/>
      <w:bookmarkStart w:id="230" w:name="_Toc296944500"/>
      <w:bookmarkStart w:id="231" w:name="_Toc297120461"/>
      <w:bookmarkStart w:id="232" w:name="_Toc303539104"/>
      <w:bookmarkStart w:id="233" w:name="_Toc297216153"/>
      <w:bookmarkStart w:id="234" w:name="_Toc296890989"/>
      <w:bookmarkStart w:id="235" w:name="_Toc296346662"/>
    </w:p>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14:paraId="75C1D77C">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3</w:t>
      </w:r>
      <w:bookmarkStart w:id="236" w:name="_Toc312677990"/>
      <w:bookmarkStart w:id="237" w:name="_Toc318581159"/>
      <w:r>
        <w:rPr>
          <w:rFonts w:hint="eastAsia" w:ascii="宋体" w:hAnsi="宋体" w:eastAsia="宋体" w:cs="宋体"/>
          <w:color w:val="000000" w:themeColor="text1"/>
          <w:sz w:val="24"/>
          <w14:textFill>
            <w14:solidFill>
              <w14:schemeClr w14:val="tx1"/>
            </w14:solidFill>
          </w14:textFill>
        </w:rPr>
        <w:t>.5.2分包的确定</w:t>
      </w:r>
    </w:p>
    <w:p w14:paraId="35CAE989">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允许分包的专业工程包括：。</w:t>
      </w:r>
    </w:p>
    <w:p w14:paraId="0E3302B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其他关于分包的约定：。</w:t>
      </w:r>
    </w:p>
    <w:p w14:paraId="5435456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3.5.4 分包合同价款</w:t>
      </w:r>
    </w:p>
    <w:p w14:paraId="67CFF0C5">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关于分包合同价款支付的约定：。</w:t>
      </w:r>
    </w:p>
    <w:bookmarkEnd w:id="236"/>
    <w:bookmarkEnd w:id="237"/>
    <w:p w14:paraId="1DDCE154">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3.6 工程照管与成品、半成品保护</w:t>
      </w:r>
    </w:p>
    <w:p w14:paraId="46D886F4">
      <w:pPr>
        <w:spacing w:before="120" w:after="120"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承包人负责照管工程及工程相关的材料、工程设备的起始时间：。</w:t>
      </w:r>
    </w:p>
    <w:p w14:paraId="75D0798F">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3.7 履约担保</w:t>
      </w:r>
    </w:p>
    <w:p w14:paraId="1A2F32BB">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承包人是否提供履约担保：。</w:t>
      </w:r>
    </w:p>
    <w:p w14:paraId="394A2D02">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承包人提供履约担保的形式、金额及期限的：。</w:t>
      </w:r>
    </w:p>
    <w:p w14:paraId="7AAC8443">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238" w:name="_Toc351203636"/>
      <w:r>
        <w:rPr>
          <w:rFonts w:hint="eastAsia" w:ascii="宋体" w:hAnsi="宋体" w:eastAsia="宋体" w:cs="宋体"/>
          <w:b w:val="0"/>
          <w:color w:val="000000" w:themeColor="text1"/>
          <w:sz w:val="24"/>
          <w:szCs w:val="24"/>
          <w14:textFill>
            <w14:solidFill>
              <w14:schemeClr w14:val="tx1"/>
            </w14:solidFill>
          </w14:textFill>
        </w:rPr>
        <w:t>4</w:t>
      </w:r>
      <w:bookmarkStart w:id="239" w:name="_Toc296347161"/>
      <w:bookmarkStart w:id="240" w:name="_Toc292559871"/>
      <w:bookmarkStart w:id="241" w:name="_Toc296891202"/>
      <w:bookmarkStart w:id="242" w:name="_Toc296890990"/>
      <w:bookmarkStart w:id="243" w:name="_Toc296944501"/>
      <w:bookmarkStart w:id="244" w:name="_Toc297120462"/>
      <w:bookmarkStart w:id="245" w:name="_Toc296346663"/>
      <w:bookmarkStart w:id="246" w:name="_Toc292559366"/>
      <w:bookmarkStart w:id="247" w:name="_Toc297048348"/>
      <w:bookmarkStart w:id="248" w:name="_Toc296503162"/>
      <w:bookmarkStart w:id="249" w:name="_Toc267251413"/>
      <w:r>
        <w:rPr>
          <w:rFonts w:hint="eastAsia" w:ascii="宋体" w:hAnsi="宋体" w:eastAsia="宋体" w:cs="宋体"/>
          <w:b w:val="0"/>
          <w:color w:val="000000" w:themeColor="text1"/>
          <w:sz w:val="24"/>
          <w:szCs w:val="24"/>
          <w14:textFill>
            <w14:solidFill>
              <w14:schemeClr w14:val="tx1"/>
            </w14:solidFill>
          </w14:textFill>
        </w:rPr>
        <w:t>. 监</w:t>
      </w:r>
      <w:bookmarkEnd w:id="239"/>
      <w:bookmarkEnd w:id="240"/>
      <w:bookmarkEnd w:id="241"/>
      <w:bookmarkEnd w:id="242"/>
      <w:bookmarkEnd w:id="243"/>
      <w:bookmarkEnd w:id="244"/>
      <w:bookmarkEnd w:id="245"/>
      <w:bookmarkEnd w:id="246"/>
      <w:bookmarkEnd w:id="247"/>
      <w:bookmarkEnd w:id="248"/>
      <w:bookmarkEnd w:id="249"/>
      <w:r>
        <w:rPr>
          <w:rFonts w:hint="eastAsia" w:ascii="宋体" w:hAnsi="宋体" w:eastAsia="宋体" w:cs="宋体"/>
          <w:b w:val="0"/>
          <w:color w:val="000000" w:themeColor="text1"/>
          <w:sz w:val="24"/>
          <w:szCs w:val="24"/>
          <w14:textFill>
            <w14:solidFill>
              <w14:schemeClr w14:val="tx1"/>
            </w14:solidFill>
          </w14:textFill>
        </w:rPr>
        <w:t>理人</w:t>
      </w:r>
      <w:bookmarkEnd w:id="238"/>
    </w:p>
    <w:p w14:paraId="3B0AFCC9">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4.1监理人的一般规定</w:t>
      </w:r>
    </w:p>
    <w:p w14:paraId="662E549F">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关于监理人的监理内容：。</w:t>
      </w:r>
    </w:p>
    <w:p w14:paraId="4A23D78E">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关于监理人的监理权限：。 </w:t>
      </w:r>
    </w:p>
    <w:p w14:paraId="13CB9F9B">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关于监理人在施工现场的办公场所、生活场所的提供和费用承担的约定：。</w:t>
      </w:r>
    </w:p>
    <w:p w14:paraId="70D301D9">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4.2 监理人员</w:t>
      </w:r>
    </w:p>
    <w:p w14:paraId="65AFC8BB">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总监理工程师：</w:t>
      </w:r>
    </w:p>
    <w:p w14:paraId="6F52EBEF">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姓    名：；</w:t>
      </w:r>
    </w:p>
    <w:p w14:paraId="1020F0D6">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职    务：；</w:t>
      </w:r>
    </w:p>
    <w:p w14:paraId="091DB4C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监理工程师执业资格证书号：；</w:t>
      </w:r>
    </w:p>
    <w:p w14:paraId="498D2D7A">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联系电话：；</w:t>
      </w:r>
    </w:p>
    <w:p w14:paraId="616C7293">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电子信箱：；</w:t>
      </w:r>
    </w:p>
    <w:p w14:paraId="150735E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通信地址：；</w:t>
      </w:r>
    </w:p>
    <w:p w14:paraId="6B181C07">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关于监理人的其他约定：。</w:t>
      </w:r>
    </w:p>
    <w:p w14:paraId="62953941">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4.4 商定或确定</w:t>
      </w:r>
    </w:p>
    <w:p w14:paraId="528ED4A2">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bookmarkStart w:id="250" w:name="_Toc267251418"/>
      <w:r>
        <w:rPr>
          <w:rFonts w:hint="eastAsia" w:ascii="宋体" w:hAnsi="宋体" w:eastAsia="宋体" w:cs="宋体"/>
          <w:color w:val="000000" w:themeColor="text1"/>
          <w:sz w:val="24"/>
          <w14:textFill>
            <w14:solidFill>
              <w14:schemeClr w14:val="tx1"/>
            </w14:solidFill>
          </w14:textFill>
        </w:rPr>
        <w:t>在发包人和承包人不能通过协商达成一致意见时，发包人授权监理人对以下事项进行确定：</w:t>
      </w:r>
    </w:p>
    <w:p w14:paraId="7BE8DD9A">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p>
    <w:p w14:paraId="03D6FFE0">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w:t>
      </w:r>
    </w:p>
    <w:p w14:paraId="152752A7">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p>
    <w:p w14:paraId="0B168F75">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251" w:name="_Toc351203637"/>
      <w:r>
        <w:rPr>
          <w:rFonts w:hint="eastAsia" w:ascii="宋体" w:hAnsi="宋体" w:eastAsia="宋体" w:cs="宋体"/>
          <w:b w:val="0"/>
          <w:color w:val="000000" w:themeColor="text1"/>
          <w:sz w:val="24"/>
          <w:szCs w:val="24"/>
          <w14:textFill>
            <w14:solidFill>
              <w14:schemeClr w14:val="tx1"/>
            </w14:solidFill>
          </w14:textFill>
        </w:rPr>
        <w:t>5</w:t>
      </w:r>
      <w:bookmarkEnd w:id="250"/>
      <w:bookmarkStart w:id="252" w:name="_Toc292559367"/>
      <w:bookmarkStart w:id="253" w:name="_Toc297048349"/>
      <w:bookmarkStart w:id="254" w:name="_Toc296891203"/>
      <w:bookmarkStart w:id="255" w:name="_Toc296503163"/>
      <w:bookmarkStart w:id="256" w:name="_Toc296347162"/>
      <w:bookmarkStart w:id="257" w:name="_Toc296346664"/>
      <w:bookmarkStart w:id="258" w:name="_Toc297120463"/>
      <w:bookmarkStart w:id="259" w:name="_Toc292559872"/>
      <w:bookmarkStart w:id="260" w:name="_Toc296944502"/>
      <w:bookmarkStart w:id="261" w:name="_Toc296890991"/>
      <w:r>
        <w:rPr>
          <w:rFonts w:hint="eastAsia" w:ascii="宋体" w:hAnsi="宋体" w:eastAsia="宋体" w:cs="宋体"/>
          <w:b w:val="0"/>
          <w:color w:val="000000" w:themeColor="text1"/>
          <w:sz w:val="24"/>
          <w:szCs w:val="24"/>
          <w14:textFill>
            <w14:solidFill>
              <w14:schemeClr w14:val="tx1"/>
            </w14:solidFill>
          </w14:textFill>
        </w:rPr>
        <w:t>. 工程质量</w:t>
      </w:r>
      <w:bookmarkEnd w:id="251"/>
    </w:p>
    <w:p w14:paraId="401B75F0">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262" w:name="_Toc498419149"/>
      <w:bookmarkStart w:id="263" w:name="_Toc25742486"/>
      <w:bookmarkStart w:id="264" w:name="_Toc47099693"/>
      <w:bookmarkStart w:id="265" w:name="_Toc2406"/>
      <w:bookmarkStart w:id="266" w:name="_Toc22885"/>
      <w:bookmarkStart w:id="267" w:name="_Toc15462"/>
      <w:bookmarkStart w:id="268" w:name="_Toc20020"/>
      <w:r>
        <w:rPr>
          <w:rFonts w:hint="eastAsia" w:ascii="宋体" w:hAnsi="宋体" w:eastAsia="宋体" w:cs="宋体"/>
          <w:color w:val="000000" w:themeColor="text1"/>
          <w:sz w:val="24"/>
          <w14:textFill>
            <w14:solidFill>
              <w14:schemeClr w14:val="tx1"/>
            </w14:solidFill>
          </w14:textFill>
        </w:rPr>
        <w:t>5.1 质量要求</w:t>
      </w:r>
      <w:bookmarkEnd w:id="262"/>
      <w:bookmarkEnd w:id="263"/>
      <w:bookmarkEnd w:id="264"/>
      <w:bookmarkEnd w:id="265"/>
      <w:bookmarkEnd w:id="266"/>
      <w:bookmarkEnd w:id="267"/>
      <w:bookmarkEnd w:id="268"/>
    </w:p>
    <w:p w14:paraId="3FCCA543">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w:t>
      </w:r>
      <w:bookmarkStart w:id="269" w:name="_Toc312677997"/>
      <w:bookmarkStart w:id="270" w:name="_Toc304295527"/>
      <w:bookmarkStart w:id="271" w:name="_Toc297216155"/>
      <w:bookmarkStart w:id="272" w:name="_Toc297123496"/>
      <w:bookmarkStart w:id="273" w:name="_Toc318581164"/>
      <w:bookmarkStart w:id="274" w:name="_Toc300934949"/>
      <w:bookmarkStart w:id="275" w:name="_Toc303539106"/>
      <w:r>
        <w:rPr>
          <w:rFonts w:hint="eastAsia" w:ascii="宋体" w:hAnsi="宋体" w:eastAsia="宋体" w:cs="宋体"/>
          <w:color w:val="000000" w:themeColor="text1"/>
          <w:sz w:val="24"/>
          <w14:textFill>
            <w14:solidFill>
              <w14:schemeClr w14:val="tx1"/>
            </w14:solidFill>
          </w14:textFill>
        </w:rPr>
        <w:t>.1.1 特殊质量标准和要求：。</w:t>
      </w:r>
    </w:p>
    <w:p w14:paraId="6B413DE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关于工程奖项的约定：。</w:t>
      </w:r>
    </w:p>
    <w:p w14:paraId="48C808E5">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276" w:name="_Toc498419150"/>
      <w:bookmarkStart w:id="277" w:name="_Toc29083"/>
      <w:bookmarkStart w:id="278" w:name="_Toc10102"/>
      <w:bookmarkStart w:id="279" w:name="_Toc25742487"/>
      <w:bookmarkStart w:id="280" w:name="_Toc29488"/>
      <w:bookmarkStart w:id="281" w:name="_Toc47099694"/>
      <w:bookmarkStart w:id="282" w:name="_Toc2944"/>
      <w:r>
        <w:rPr>
          <w:rFonts w:hint="eastAsia" w:ascii="宋体" w:hAnsi="宋体" w:eastAsia="宋体" w:cs="宋体"/>
          <w:color w:val="000000" w:themeColor="text1"/>
          <w:sz w:val="24"/>
          <w14:textFill>
            <w14:solidFill>
              <w14:schemeClr w14:val="tx1"/>
            </w14:solidFill>
          </w14:textFill>
        </w:rPr>
        <w:t>5.3 隐蔽工程检查</w:t>
      </w:r>
      <w:bookmarkEnd w:id="276"/>
      <w:bookmarkEnd w:id="277"/>
      <w:bookmarkEnd w:id="278"/>
      <w:bookmarkEnd w:id="279"/>
      <w:bookmarkEnd w:id="280"/>
      <w:bookmarkEnd w:id="281"/>
      <w:bookmarkEnd w:id="282"/>
    </w:p>
    <w:p w14:paraId="22946B5B">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5.3.2承包人提前通知监理人隐蔽工程检查的期限的约定：。</w:t>
      </w:r>
    </w:p>
    <w:p w14:paraId="63E867F5">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监理人不能按时进行检查时，应提前小时提交书面延期要求。</w:t>
      </w:r>
    </w:p>
    <w:p w14:paraId="79B9C32E">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关于延期最长不得超过：小时。</w:t>
      </w:r>
    </w:p>
    <w:p w14:paraId="76FB8679">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283" w:name="_Toc351203638"/>
      <w:r>
        <w:rPr>
          <w:rFonts w:hint="eastAsia" w:ascii="宋体" w:hAnsi="宋体" w:eastAsia="宋体" w:cs="宋体"/>
          <w:b w:val="0"/>
          <w:color w:val="000000" w:themeColor="text1"/>
          <w:sz w:val="24"/>
          <w:szCs w:val="24"/>
          <w14:textFill>
            <w14:solidFill>
              <w14:schemeClr w14:val="tx1"/>
            </w14:solidFill>
          </w14:textFill>
        </w:rPr>
        <w:t>6. 安全文明施工与环境保护</w:t>
      </w:r>
      <w:bookmarkEnd w:id="283"/>
    </w:p>
    <w:p w14:paraId="23494A1B">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6.1安全文明施工</w:t>
      </w:r>
    </w:p>
    <w:p w14:paraId="1D17BE61">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6.1.1 项目安全生产的达标目标及相应事项的约定：。</w:t>
      </w:r>
    </w:p>
    <w:p w14:paraId="32EA29E3">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6.1.4 关于治安保卫的特别约定：。</w:t>
      </w:r>
    </w:p>
    <w:p w14:paraId="237ED5BA">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关于编制施工场地治安管理计划的约定：。</w:t>
      </w:r>
    </w:p>
    <w:p w14:paraId="4AB643E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6.1.5 文明施工</w:t>
      </w:r>
    </w:p>
    <w:p w14:paraId="267A4ED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合同当事人对文明施工的要求：。</w:t>
      </w:r>
    </w:p>
    <w:p w14:paraId="01D21C2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6.1.6 关于安全文明施工费支付比例和支付期限的约定：。</w:t>
      </w:r>
    </w:p>
    <w:bookmarkEnd w:id="269"/>
    <w:bookmarkEnd w:id="270"/>
    <w:bookmarkEnd w:id="271"/>
    <w:bookmarkEnd w:id="272"/>
    <w:bookmarkEnd w:id="273"/>
    <w:bookmarkEnd w:id="274"/>
    <w:bookmarkEnd w:id="275"/>
    <w:p w14:paraId="291AEAFD">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284" w:name="_Toc351203639"/>
      <w:r>
        <w:rPr>
          <w:rFonts w:hint="eastAsia" w:ascii="宋体" w:hAnsi="宋体" w:eastAsia="宋体" w:cs="宋体"/>
          <w:b w:val="0"/>
          <w:color w:val="000000" w:themeColor="text1"/>
          <w:sz w:val="24"/>
          <w:szCs w:val="24"/>
          <w14:textFill>
            <w14:solidFill>
              <w14:schemeClr w14:val="tx1"/>
            </w14:solidFill>
          </w14:textFill>
        </w:rPr>
        <w:t>7. 工期和进度</w:t>
      </w:r>
      <w:bookmarkEnd w:id="284"/>
    </w:p>
    <w:p w14:paraId="7D863378">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7.1 施工组织设计</w:t>
      </w:r>
    </w:p>
    <w:p w14:paraId="0FD26731">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7.1.1 合同当事人约定的施工组织设计应包括的其他内容：。</w:t>
      </w:r>
    </w:p>
    <w:p w14:paraId="2C7C1C94">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7.1.2 施工组织设计的提交和修改</w:t>
      </w:r>
    </w:p>
    <w:p w14:paraId="72F93FD4">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承包人提交详细施工组织设计的期限的约定：。</w:t>
      </w:r>
    </w:p>
    <w:p w14:paraId="296B4F31">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发包人和监理人在收到详细的施工组织设计后确认或提出修改意见的期限：。</w:t>
      </w:r>
    </w:p>
    <w:p w14:paraId="4E8A5A6E">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w:t>
      </w:r>
      <w:bookmarkStart w:id="285" w:name="_Toc300934966"/>
      <w:bookmarkStart w:id="286" w:name="_Toc304295541"/>
      <w:bookmarkStart w:id="287" w:name="_Toc297216173"/>
      <w:bookmarkStart w:id="288" w:name="_Toc312677479"/>
      <w:bookmarkStart w:id="289" w:name="_Toc303539123"/>
      <w:bookmarkStart w:id="290" w:name="_Toc297123514"/>
      <w:bookmarkStart w:id="291" w:name="_Toc312678005"/>
      <w:r>
        <w:rPr>
          <w:rFonts w:hint="eastAsia" w:ascii="宋体" w:hAnsi="宋体" w:eastAsia="宋体" w:cs="宋体"/>
          <w:color w:val="000000" w:themeColor="text1"/>
          <w:sz w:val="24"/>
          <w14:textFill>
            <w14:solidFill>
              <w14:schemeClr w14:val="tx1"/>
            </w14:solidFill>
          </w14:textFill>
        </w:rPr>
        <w:t>.2 施工进度计划</w:t>
      </w:r>
    </w:p>
    <w:p w14:paraId="325B62A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7.2.2 施工进度计划的修订</w:t>
      </w:r>
    </w:p>
    <w:p w14:paraId="4DACAB36">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发包人和监理人在收到修订的施工进度计划后确认或提出修改意见的期限：。</w:t>
      </w:r>
    </w:p>
    <w:p w14:paraId="046E2A98">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7.3 开工</w:t>
      </w:r>
    </w:p>
    <w:p w14:paraId="7A2B8E90">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7.3.1 开工准备</w:t>
      </w:r>
    </w:p>
    <w:p w14:paraId="39180803">
      <w:pPr>
        <w:spacing w:line="360" w:lineRule="auto"/>
        <w:ind w:firstLine="645"/>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关于承包人提交工程开工报审表的期限：。</w:t>
      </w:r>
    </w:p>
    <w:p w14:paraId="526C5C78">
      <w:pPr>
        <w:spacing w:line="360" w:lineRule="auto"/>
        <w:ind w:firstLine="64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关于发包人应完成的其他开工准备工作及期限：。</w:t>
      </w:r>
    </w:p>
    <w:p w14:paraId="03D3D07A">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关于承包人应完成的其他开工准备工作及期限：。</w:t>
      </w:r>
    </w:p>
    <w:p w14:paraId="4892071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7.3.2开工通知</w:t>
      </w:r>
    </w:p>
    <w:p w14:paraId="03007069">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因发包人原因造成监理人未能在计划开工日期之日起天内发出开工通知的，承包人有权提出价格调整要求，或者解除合同。</w:t>
      </w:r>
    </w:p>
    <w:bookmarkEnd w:id="285"/>
    <w:bookmarkEnd w:id="286"/>
    <w:bookmarkEnd w:id="287"/>
    <w:bookmarkEnd w:id="288"/>
    <w:bookmarkEnd w:id="289"/>
    <w:bookmarkEnd w:id="290"/>
    <w:bookmarkEnd w:id="291"/>
    <w:p w14:paraId="17A26C87">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7.4 测量放线</w:t>
      </w:r>
    </w:p>
    <w:p w14:paraId="43D03F29">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7.4.1发包人通过监理人向承包人提供测量基准点、基准线和水准点及其书面资料的期限：。</w:t>
      </w:r>
    </w:p>
    <w:p w14:paraId="47B9F32E">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w:t>
      </w:r>
      <w:bookmarkStart w:id="292" w:name="_Toc312677484"/>
      <w:bookmarkStart w:id="293" w:name="_Toc312678010"/>
      <w:bookmarkStart w:id="294" w:name="_Toc297123516"/>
      <w:bookmarkStart w:id="295" w:name="_Toc304295546"/>
      <w:bookmarkStart w:id="296" w:name="_Toc300934968"/>
      <w:bookmarkStart w:id="297" w:name="_Toc303539125"/>
      <w:bookmarkStart w:id="298" w:name="_Toc297216175"/>
      <w:r>
        <w:rPr>
          <w:rFonts w:hint="eastAsia" w:ascii="宋体" w:hAnsi="宋体" w:eastAsia="宋体" w:cs="宋体"/>
          <w:color w:val="000000" w:themeColor="text1"/>
          <w:sz w:val="24"/>
          <w14:textFill>
            <w14:solidFill>
              <w14:schemeClr w14:val="tx1"/>
            </w14:solidFill>
          </w14:textFill>
        </w:rPr>
        <w:t>.5 工期延误</w:t>
      </w:r>
    </w:p>
    <w:bookmarkEnd w:id="292"/>
    <w:bookmarkEnd w:id="293"/>
    <w:bookmarkEnd w:id="294"/>
    <w:bookmarkEnd w:id="295"/>
    <w:bookmarkEnd w:id="296"/>
    <w:bookmarkEnd w:id="297"/>
    <w:bookmarkEnd w:id="298"/>
    <w:p w14:paraId="7E0FF840">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7.5.1 因发包人原因导致工期延误</w:t>
      </w:r>
    </w:p>
    <w:p w14:paraId="08F52452">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（7）因发包人原因导致工期延误的其他情形：。</w:t>
      </w:r>
    </w:p>
    <w:p w14:paraId="5D2BDC0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w:t>
      </w:r>
      <w:bookmarkStart w:id="299" w:name="_Toc312678012"/>
      <w:bookmarkStart w:id="300" w:name="_Toc318581169"/>
      <w:bookmarkStart w:id="301" w:name="_Toc312677486"/>
      <w:bookmarkStart w:id="302" w:name="_Toc304295548"/>
      <w:bookmarkStart w:id="303" w:name="_Toc300934970"/>
      <w:bookmarkStart w:id="304" w:name="_Toc297123518"/>
      <w:bookmarkStart w:id="305" w:name="_Toc303539127"/>
      <w:bookmarkStart w:id="306" w:name="_Toc297216177"/>
      <w:r>
        <w:rPr>
          <w:rFonts w:hint="eastAsia" w:ascii="宋体" w:hAnsi="宋体" w:eastAsia="宋体" w:cs="宋体"/>
          <w:color w:val="000000" w:themeColor="text1"/>
          <w:sz w:val="24"/>
          <w14:textFill>
            <w14:solidFill>
              <w14:schemeClr w14:val="tx1"/>
            </w14:solidFill>
          </w14:textFill>
        </w:rPr>
        <w:t>.5.2 因承包人原因导致工期延误</w:t>
      </w:r>
    </w:p>
    <w:bookmarkEnd w:id="299"/>
    <w:bookmarkEnd w:id="300"/>
    <w:bookmarkEnd w:id="301"/>
    <w:p w14:paraId="3AD6722C">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因</w:t>
      </w:r>
      <w:bookmarkStart w:id="307" w:name="_Toc312677487"/>
      <w:bookmarkStart w:id="308" w:name="_Toc312678013"/>
      <w:bookmarkStart w:id="309" w:name="_Toc318581170"/>
      <w:r>
        <w:rPr>
          <w:rFonts w:hint="eastAsia" w:ascii="宋体" w:hAnsi="宋体" w:eastAsia="宋体" w:cs="宋体"/>
          <w:color w:val="000000" w:themeColor="text1"/>
          <w:sz w:val="24"/>
          <w14:textFill>
            <w14:solidFill>
              <w14:schemeClr w14:val="tx1"/>
            </w14:solidFill>
          </w14:textFill>
        </w:rPr>
        <w:t>承包人原因造成工期延误，逾期竣工违约金的计算方法为：</w:t>
      </w:r>
    </w:p>
    <w:p w14:paraId="09BF59D8">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w:t>
      </w:r>
      <w:bookmarkEnd w:id="302"/>
      <w:bookmarkEnd w:id="303"/>
      <w:bookmarkEnd w:id="304"/>
      <w:bookmarkEnd w:id="305"/>
      <w:bookmarkEnd w:id="306"/>
      <w:bookmarkEnd w:id="307"/>
      <w:bookmarkEnd w:id="308"/>
    </w:p>
    <w:bookmarkEnd w:id="309"/>
    <w:p w14:paraId="4A28676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因承包人原因造成工期延误，逾</w:t>
      </w:r>
      <w:bookmarkStart w:id="310" w:name="_Toc318581171"/>
      <w:bookmarkStart w:id="311" w:name="_Toc312678014"/>
      <w:r>
        <w:rPr>
          <w:rFonts w:hint="eastAsia" w:ascii="宋体" w:hAnsi="宋体" w:eastAsia="宋体" w:cs="宋体"/>
          <w:color w:val="000000" w:themeColor="text1"/>
          <w:sz w:val="24"/>
          <w14:textFill>
            <w14:solidFill>
              <w14:schemeClr w14:val="tx1"/>
            </w14:solidFill>
          </w14:textFill>
        </w:rPr>
        <w:t>期竣工违约金的上限：。</w:t>
      </w:r>
    </w:p>
    <w:bookmarkEnd w:id="310"/>
    <w:bookmarkEnd w:id="311"/>
    <w:p w14:paraId="44AB8EF5">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w:t>
      </w:r>
      <w:bookmarkStart w:id="312" w:name="_Toc304295549"/>
      <w:bookmarkStart w:id="313" w:name="_Toc312678015"/>
      <w:bookmarkStart w:id="314" w:name="_Toc297123519"/>
      <w:bookmarkStart w:id="315" w:name="_Toc300934971"/>
      <w:bookmarkStart w:id="316" w:name="_Toc303539128"/>
      <w:bookmarkStart w:id="317" w:name="_Toc297216178"/>
      <w:r>
        <w:rPr>
          <w:rFonts w:hint="eastAsia" w:ascii="宋体" w:hAnsi="宋体" w:eastAsia="宋体" w:cs="宋体"/>
          <w:color w:val="000000" w:themeColor="text1"/>
          <w:sz w:val="24"/>
          <w14:textFill>
            <w14:solidFill>
              <w14:schemeClr w14:val="tx1"/>
            </w14:solidFill>
          </w14:textFill>
        </w:rPr>
        <w:t>.6 不</w:t>
      </w:r>
      <w:bookmarkEnd w:id="312"/>
      <w:bookmarkEnd w:id="313"/>
      <w:bookmarkEnd w:id="314"/>
      <w:bookmarkEnd w:id="315"/>
      <w:bookmarkEnd w:id="316"/>
      <w:bookmarkEnd w:id="317"/>
      <w:r>
        <w:rPr>
          <w:rFonts w:hint="eastAsia" w:ascii="宋体" w:hAnsi="宋体" w:eastAsia="宋体" w:cs="宋体"/>
          <w:color w:val="000000" w:themeColor="text1"/>
          <w:sz w:val="24"/>
          <w14:textFill>
            <w14:solidFill>
              <w14:schemeClr w14:val="tx1"/>
            </w14:solidFill>
          </w14:textFill>
        </w:rPr>
        <w:t>利物质条件</w:t>
      </w:r>
    </w:p>
    <w:p w14:paraId="1AA9FA52">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bookmarkStart w:id="318" w:name="_Toc312678016"/>
      <w:bookmarkStart w:id="319" w:name="_Toc304295550"/>
      <w:bookmarkStart w:id="320" w:name="_Toc297123520"/>
      <w:bookmarkStart w:id="321" w:name="_Toc297216179"/>
      <w:bookmarkStart w:id="322" w:name="_Toc300934972"/>
      <w:bookmarkStart w:id="323" w:name="_Toc318581172"/>
      <w:bookmarkStart w:id="324" w:name="_Toc303539129"/>
      <w:r>
        <w:rPr>
          <w:rFonts w:hint="eastAsia" w:ascii="宋体" w:hAnsi="宋体" w:eastAsia="宋体" w:cs="宋体"/>
          <w:color w:val="000000" w:themeColor="text1"/>
          <w:sz w:val="24"/>
          <w14:textFill>
            <w14:solidFill>
              <w14:schemeClr w14:val="tx1"/>
            </w14:solidFill>
          </w14:textFill>
        </w:rPr>
        <w:t>不利物质条件的其他情形和有关约定：。</w:t>
      </w:r>
    </w:p>
    <w:bookmarkEnd w:id="318"/>
    <w:bookmarkEnd w:id="319"/>
    <w:bookmarkEnd w:id="320"/>
    <w:bookmarkEnd w:id="321"/>
    <w:bookmarkEnd w:id="322"/>
    <w:bookmarkEnd w:id="323"/>
    <w:bookmarkEnd w:id="324"/>
    <w:p w14:paraId="2FAD55B3">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w:t>
      </w:r>
      <w:bookmarkStart w:id="325" w:name="_Toc297123521"/>
      <w:bookmarkStart w:id="326" w:name="_Toc300934973"/>
      <w:bookmarkStart w:id="327" w:name="_Toc297216180"/>
      <w:bookmarkStart w:id="328" w:name="_Toc312678017"/>
      <w:bookmarkStart w:id="329" w:name="_Toc303539130"/>
      <w:bookmarkStart w:id="330" w:name="_Toc304295551"/>
      <w:r>
        <w:rPr>
          <w:rFonts w:hint="eastAsia" w:ascii="宋体" w:hAnsi="宋体" w:eastAsia="宋体" w:cs="宋体"/>
          <w:color w:val="000000" w:themeColor="text1"/>
          <w:sz w:val="24"/>
          <w14:textFill>
            <w14:solidFill>
              <w14:schemeClr w14:val="tx1"/>
            </w14:solidFill>
          </w14:textFill>
        </w:rPr>
        <w:t>.7异常恶劣的气候条件</w:t>
      </w:r>
    </w:p>
    <w:bookmarkEnd w:id="325"/>
    <w:bookmarkEnd w:id="326"/>
    <w:bookmarkEnd w:id="327"/>
    <w:bookmarkEnd w:id="328"/>
    <w:bookmarkEnd w:id="329"/>
    <w:bookmarkEnd w:id="330"/>
    <w:p w14:paraId="255CE51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发包人和承包人同意以下情形视为异常恶劣的气候条件：</w:t>
      </w:r>
    </w:p>
    <w:p w14:paraId="2D9B40B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p>
    <w:p w14:paraId="3CB2181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w:t>
      </w:r>
    </w:p>
    <w:p w14:paraId="0617EA1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w:t>
      </w:r>
    </w:p>
    <w:p w14:paraId="24231DAB">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331" w:name="_Toc25742488"/>
      <w:bookmarkStart w:id="332" w:name="_Toc47099695"/>
      <w:bookmarkStart w:id="333" w:name="_Toc31478"/>
      <w:bookmarkStart w:id="334" w:name="_Toc498419151"/>
      <w:bookmarkStart w:id="335" w:name="_Toc3707"/>
      <w:bookmarkStart w:id="336" w:name="_Toc9556"/>
      <w:bookmarkStart w:id="337" w:name="_Toc18114"/>
      <w:r>
        <w:rPr>
          <w:rFonts w:hint="eastAsia" w:ascii="宋体" w:hAnsi="宋体" w:eastAsia="宋体" w:cs="宋体"/>
          <w:color w:val="000000" w:themeColor="text1"/>
          <w:sz w:val="24"/>
          <w14:textFill>
            <w14:solidFill>
              <w14:schemeClr w14:val="tx1"/>
            </w14:solidFill>
          </w14:textFill>
        </w:rPr>
        <w:t>7.9 提前竣工的奖励</w:t>
      </w:r>
      <w:bookmarkEnd w:id="331"/>
      <w:bookmarkEnd w:id="332"/>
      <w:bookmarkEnd w:id="333"/>
      <w:bookmarkEnd w:id="334"/>
      <w:bookmarkEnd w:id="335"/>
      <w:bookmarkEnd w:id="336"/>
      <w:bookmarkEnd w:id="337"/>
    </w:p>
    <w:p w14:paraId="2B70B5AA">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7.9.2提前竣工的奖励：。</w:t>
      </w:r>
    </w:p>
    <w:p w14:paraId="2E7F2A01">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338" w:name="_Toc351203640"/>
      <w:r>
        <w:rPr>
          <w:rFonts w:hint="eastAsia" w:ascii="宋体" w:hAnsi="宋体" w:eastAsia="宋体" w:cs="宋体"/>
          <w:b w:val="0"/>
          <w:color w:val="000000" w:themeColor="text1"/>
          <w:sz w:val="24"/>
          <w:szCs w:val="24"/>
          <w14:textFill>
            <w14:solidFill>
              <w14:schemeClr w14:val="tx1"/>
            </w14:solidFill>
          </w14:textFill>
        </w:rPr>
        <w:t>8. 材料与设备</w:t>
      </w:r>
      <w:bookmarkEnd w:id="338"/>
    </w:p>
    <w:bookmarkEnd w:id="252"/>
    <w:bookmarkEnd w:id="253"/>
    <w:bookmarkEnd w:id="254"/>
    <w:bookmarkEnd w:id="255"/>
    <w:bookmarkEnd w:id="256"/>
    <w:bookmarkEnd w:id="257"/>
    <w:bookmarkEnd w:id="258"/>
    <w:bookmarkEnd w:id="259"/>
    <w:bookmarkEnd w:id="260"/>
    <w:bookmarkEnd w:id="261"/>
    <w:p w14:paraId="101F9FCC">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8</w:t>
      </w:r>
      <w:bookmarkStart w:id="339" w:name="_Toc303539136"/>
      <w:bookmarkStart w:id="340" w:name="_Toc297120467"/>
      <w:bookmarkStart w:id="341" w:name="_Toc312677493"/>
      <w:bookmarkStart w:id="342" w:name="_Toc296503167"/>
      <w:bookmarkStart w:id="343" w:name="_Toc292559877"/>
      <w:bookmarkStart w:id="344" w:name="_Toc296944506"/>
      <w:bookmarkStart w:id="345" w:name="_Toc297123527"/>
      <w:bookmarkStart w:id="346" w:name="_Toc300934979"/>
      <w:bookmarkStart w:id="347" w:name="_Toc296891207"/>
      <w:bookmarkStart w:id="348" w:name="_Toc292559372"/>
      <w:bookmarkStart w:id="349" w:name="_Toc296347166"/>
      <w:bookmarkStart w:id="350" w:name="_Toc297048353"/>
      <w:bookmarkStart w:id="351" w:name="_Toc280868654"/>
      <w:bookmarkStart w:id="352" w:name="_Toc296890995"/>
      <w:bookmarkStart w:id="353" w:name="_Toc297216186"/>
      <w:bookmarkStart w:id="354" w:name="_Toc296346668"/>
      <w:bookmarkStart w:id="355" w:name="_Toc312678019"/>
      <w:bookmarkStart w:id="356" w:name="_Toc304295556"/>
      <w:bookmarkStart w:id="357" w:name="_Toc280868656"/>
      <w:bookmarkStart w:id="358" w:name="_Toc280868655"/>
      <w:bookmarkStart w:id="359" w:name="_Toc267251424"/>
      <w:r>
        <w:rPr>
          <w:rFonts w:hint="eastAsia" w:ascii="宋体" w:hAnsi="宋体" w:eastAsia="宋体" w:cs="宋体"/>
          <w:color w:val="000000" w:themeColor="text1"/>
          <w:sz w:val="24"/>
          <w14:textFill>
            <w14:solidFill>
              <w14:schemeClr w14:val="tx1"/>
            </w14:solidFill>
          </w14:textFill>
        </w:rPr>
        <w:t>.4材料与工程设备的保管与使用</w:t>
      </w:r>
    </w:p>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14:paraId="5966865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8</w:t>
      </w:r>
      <w:bookmarkStart w:id="360" w:name="_Toc292559373"/>
      <w:bookmarkStart w:id="361" w:name="_Toc292559878"/>
      <w:bookmarkStart w:id="362" w:name="_Toc300934980"/>
      <w:bookmarkStart w:id="363" w:name="_Toc297216187"/>
      <w:bookmarkStart w:id="364" w:name="_Toc296346669"/>
      <w:bookmarkStart w:id="365" w:name="_Toc304295557"/>
      <w:bookmarkStart w:id="366" w:name="_Toc297123528"/>
      <w:bookmarkStart w:id="367" w:name="_Toc296890996"/>
      <w:bookmarkStart w:id="368" w:name="_Toc296944507"/>
      <w:bookmarkStart w:id="369" w:name="_Toc312678020"/>
      <w:bookmarkStart w:id="370" w:name="_Toc297048354"/>
      <w:bookmarkStart w:id="371" w:name="_Toc296891208"/>
      <w:bookmarkStart w:id="372" w:name="_Toc303539137"/>
      <w:bookmarkStart w:id="373" w:name="_Toc296347167"/>
      <w:bookmarkStart w:id="374" w:name="_Toc318581173"/>
      <w:bookmarkStart w:id="375" w:name="_Toc312677494"/>
      <w:bookmarkStart w:id="376" w:name="_Toc297120468"/>
      <w:bookmarkStart w:id="377" w:name="_Toc296503168"/>
      <w:r>
        <w:rPr>
          <w:rFonts w:hint="eastAsia" w:ascii="宋体" w:hAnsi="宋体" w:eastAsia="宋体" w:cs="宋体"/>
          <w:color w:val="000000" w:themeColor="text1"/>
          <w:sz w:val="24"/>
          <w14:textFill>
            <w14:solidFill>
              <w14:schemeClr w14:val="tx1"/>
            </w14:solidFill>
          </w14:textFill>
        </w:rPr>
        <w:t>.4.1发包人供应的材料设备的保管费用的承担：。</w:t>
      </w:r>
      <w:bookmarkEnd w:id="360"/>
      <w:bookmarkEnd w:id="361"/>
    </w:p>
    <w:p w14:paraId="145D6FD4">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378" w:name="_Toc32573"/>
      <w:bookmarkStart w:id="379" w:name="_Toc47099696"/>
      <w:bookmarkStart w:id="380" w:name="_Toc498419152"/>
      <w:bookmarkStart w:id="381" w:name="_Toc11809"/>
      <w:bookmarkStart w:id="382" w:name="_Toc28576"/>
      <w:bookmarkStart w:id="383" w:name="_Toc20329"/>
      <w:bookmarkStart w:id="384" w:name="_Toc25742489"/>
      <w:r>
        <w:rPr>
          <w:rFonts w:hint="eastAsia" w:ascii="宋体" w:hAnsi="宋体" w:eastAsia="宋体" w:cs="宋体"/>
          <w:color w:val="000000" w:themeColor="text1"/>
          <w:sz w:val="24"/>
          <w14:textFill>
            <w14:solidFill>
              <w14:schemeClr w14:val="tx1"/>
            </w14:solidFill>
          </w14:textFill>
        </w:rPr>
        <w:t>8.6 样品</w:t>
      </w:r>
      <w:bookmarkEnd w:id="378"/>
      <w:bookmarkEnd w:id="379"/>
      <w:bookmarkEnd w:id="380"/>
      <w:bookmarkEnd w:id="381"/>
      <w:bookmarkEnd w:id="382"/>
      <w:bookmarkEnd w:id="383"/>
      <w:bookmarkEnd w:id="384"/>
    </w:p>
    <w:p w14:paraId="21BE0D83">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8.6.1</w:t>
      </w:r>
      <w:r>
        <w:rPr>
          <w:rFonts w:hint="eastAsia" w:ascii="宋体" w:hAnsi="宋体" w:eastAsia="宋体" w:cs="宋体"/>
          <w:color w:val="000000" w:themeColor="text1"/>
          <w:sz w:val="24"/>
          <w14:textFill>
            <w14:solidFill>
              <w14:schemeClr w14:val="tx1"/>
            </w14:solidFill>
          </w14:textFill>
        </w:rPr>
        <w:tab/>
      </w:r>
      <w:r>
        <w:rPr>
          <w:rFonts w:hint="eastAsia" w:ascii="宋体" w:hAnsi="宋体" w:eastAsia="宋体" w:cs="宋体"/>
          <w:color w:val="000000" w:themeColor="text1"/>
          <w:sz w:val="24"/>
          <w14:textFill>
            <w14:solidFill>
              <w14:schemeClr w14:val="tx1"/>
            </w14:solidFill>
          </w14:textFill>
        </w:rPr>
        <w:t>样品的报送与封存</w:t>
      </w:r>
    </w:p>
    <w:p w14:paraId="508C96AB">
      <w:pPr>
        <w:autoSpaceDE w:val="0"/>
        <w:autoSpaceDN w:val="0"/>
        <w:adjustRightInd w:val="0"/>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需要承包人报送样品的材料或工程设备，样品的种类、名称、规格、数量要求：</w:t>
      </w:r>
    </w:p>
    <w:p w14:paraId="5EBFF3BC">
      <w:pPr>
        <w:autoSpaceDE w:val="0"/>
        <w:autoSpaceDN w:val="0"/>
        <w:adjustRightInd w:val="0"/>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w:t>
      </w:r>
    </w:p>
    <w:p w14:paraId="0595D99D">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385" w:name="_Toc26906"/>
      <w:bookmarkStart w:id="386" w:name="_Toc47099697"/>
      <w:bookmarkStart w:id="387" w:name="_Toc10704"/>
      <w:bookmarkStart w:id="388" w:name="_Toc15393"/>
      <w:bookmarkStart w:id="389" w:name="_Toc5097"/>
      <w:bookmarkStart w:id="390" w:name="_Toc498419153"/>
      <w:bookmarkStart w:id="391" w:name="_Toc25742490"/>
      <w:r>
        <w:rPr>
          <w:rFonts w:hint="eastAsia" w:ascii="宋体" w:hAnsi="宋体" w:eastAsia="宋体" w:cs="宋体"/>
          <w:color w:val="000000" w:themeColor="text1"/>
          <w:sz w:val="24"/>
          <w14:textFill>
            <w14:solidFill>
              <w14:schemeClr w14:val="tx1"/>
            </w14:solidFill>
          </w14:textFill>
        </w:rPr>
        <w:t>8.8 施工设备和临时设施</w:t>
      </w:r>
      <w:bookmarkEnd w:id="385"/>
      <w:bookmarkEnd w:id="386"/>
      <w:bookmarkEnd w:id="387"/>
      <w:bookmarkEnd w:id="388"/>
      <w:bookmarkEnd w:id="389"/>
      <w:bookmarkEnd w:id="390"/>
      <w:bookmarkEnd w:id="391"/>
    </w:p>
    <w:p w14:paraId="0ED503ED">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8.8.1 承包人提供的施工设备和临时设施</w:t>
      </w:r>
    </w:p>
    <w:p w14:paraId="0D6988EB">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关于修建临时设施费用承担的约定：。</w:t>
      </w:r>
    </w:p>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14:paraId="37AC8CB8">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392" w:name="_Toc351203641"/>
      <w:r>
        <w:rPr>
          <w:rFonts w:hint="eastAsia" w:ascii="宋体" w:hAnsi="宋体" w:eastAsia="宋体" w:cs="宋体"/>
          <w:b w:val="0"/>
          <w:color w:val="000000" w:themeColor="text1"/>
          <w:sz w:val="24"/>
          <w:szCs w:val="24"/>
          <w14:textFill>
            <w14:solidFill>
              <w14:schemeClr w14:val="tx1"/>
            </w14:solidFill>
          </w14:textFill>
        </w:rPr>
        <w:t>9</w:t>
      </w:r>
      <w:bookmarkEnd w:id="357"/>
      <w:bookmarkEnd w:id="358"/>
      <w:bookmarkEnd w:id="359"/>
      <w:bookmarkStart w:id="393" w:name="_Toc297123533"/>
      <w:bookmarkStart w:id="394" w:name="_Toc312678021"/>
      <w:bookmarkStart w:id="395" w:name="_Toc304295559"/>
      <w:bookmarkStart w:id="396" w:name="_Toc312677495"/>
      <w:bookmarkStart w:id="397" w:name="_Toc300934982"/>
      <w:bookmarkStart w:id="398" w:name="_Toc303539139"/>
      <w:bookmarkStart w:id="399" w:name="_Toc297216192"/>
      <w:bookmarkStart w:id="400" w:name="_Toc296347172"/>
      <w:bookmarkStart w:id="401" w:name="_Toc296346674"/>
      <w:bookmarkStart w:id="402" w:name="_Toc267251427"/>
      <w:bookmarkStart w:id="403" w:name="_Toc296891213"/>
      <w:bookmarkStart w:id="404" w:name="_Toc296944512"/>
      <w:bookmarkStart w:id="405" w:name="_Toc267251428"/>
      <w:bookmarkStart w:id="406" w:name="_Toc297120473"/>
      <w:bookmarkStart w:id="407" w:name="_Toc296891001"/>
      <w:bookmarkStart w:id="408" w:name="_Toc296503173"/>
      <w:bookmarkStart w:id="409" w:name="_Toc297048359"/>
      <w:bookmarkStart w:id="410" w:name="_Toc292559883"/>
      <w:bookmarkStart w:id="411" w:name="_Toc292559378"/>
      <w:r>
        <w:rPr>
          <w:rFonts w:hint="eastAsia" w:ascii="宋体" w:hAnsi="宋体" w:eastAsia="宋体" w:cs="宋体"/>
          <w:b w:val="0"/>
          <w:color w:val="000000" w:themeColor="text1"/>
          <w:sz w:val="24"/>
          <w:szCs w:val="24"/>
          <w14:textFill>
            <w14:solidFill>
              <w14:schemeClr w14:val="tx1"/>
            </w14:solidFill>
          </w14:textFill>
        </w:rPr>
        <w:t>. 试验与检验</w:t>
      </w:r>
      <w:bookmarkEnd w:id="392"/>
    </w:p>
    <w:bookmarkEnd w:id="393"/>
    <w:bookmarkEnd w:id="394"/>
    <w:bookmarkEnd w:id="395"/>
    <w:bookmarkEnd w:id="396"/>
    <w:bookmarkEnd w:id="397"/>
    <w:bookmarkEnd w:id="398"/>
    <w:bookmarkEnd w:id="399"/>
    <w:p w14:paraId="103E8F6C">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9</w:t>
      </w:r>
      <w:bookmarkStart w:id="412" w:name="_Toc297123534"/>
      <w:bookmarkStart w:id="413" w:name="_Toc312677496"/>
      <w:bookmarkStart w:id="414" w:name="_Toc304295560"/>
      <w:bookmarkStart w:id="415" w:name="_Toc312678022"/>
      <w:bookmarkStart w:id="416" w:name="_Toc300934983"/>
      <w:bookmarkStart w:id="417" w:name="_Toc303539140"/>
      <w:bookmarkStart w:id="418" w:name="_Toc297216193"/>
      <w:r>
        <w:rPr>
          <w:rFonts w:hint="eastAsia" w:ascii="宋体" w:hAnsi="宋体" w:eastAsia="宋体" w:cs="宋体"/>
          <w:color w:val="000000" w:themeColor="text1"/>
          <w:sz w:val="24"/>
          <w14:textFill>
            <w14:solidFill>
              <w14:schemeClr w14:val="tx1"/>
            </w14:solidFill>
          </w14:textFill>
        </w:rPr>
        <w:t>.1试验设备与试验人员</w:t>
      </w:r>
    </w:p>
    <w:bookmarkEnd w:id="412"/>
    <w:bookmarkEnd w:id="413"/>
    <w:bookmarkEnd w:id="414"/>
    <w:bookmarkEnd w:id="415"/>
    <w:bookmarkEnd w:id="416"/>
    <w:bookmarkEnd w:id="417"/>
    <w:bookmarkEnd w:id="418"/>
    <w:p w14:paraId="6515680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9</w:t>
      </w:r>
      <w:bookmarkStart w:id="419" w:name="_Toc303539141"/>
      <w:bookmarkStart w:id="420" w:name="_Toc312677497"/>
      <w:bookmarkStart w:id="421" w:name="_Toc304295561"/>
      <w:bookmarkStart w:id="422" w:name="_Toc312678023"/>
      <w:bookmarkStart w:id="423" w:name="_Toc297123535"/>
      <w:bookmarkStart w:id="424" w:name="_Toc297216194"/>
      <w:bookmarkStart w:id="425" w:name="_Toc300934984"/>
      <w:bookmarkStart w:id="426" w:name="_Toc318581174"/>
      <w:r>
        <w:rPr>
          <w:rFonts w:hint="eastAsia" w:ascii="宋体" w:hAnsi="宋体" w:eastAsia="宋体" w:cs="宋体"/>
          <w:color w:val="000000" w:themeColor="text1"/>
          <w:sz w:val="24"/>
          <w14:textFill>
            <w14:solidFill>
              <w14:schemeClr w14:val="tx1"/>
            </w14:solidFill>
          </w14:textFill>
        </w:rPr>
        <w:t>.1.2 试验设备</w:t>
      </w:r>
    </w:p>
    <w:p w14:paraId="25E9BB0F">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施工现场需要配置的试验场所：</w:t>
      </w:r>
      <w:bookmarkEnd w:id="419"/>
      <w:bookmarkEnd w:id="420"/>
      <w:bookmarkEnd w:id="421"/>
      <w:bookmarkEnd w:id="422"/>
      <w:bookmarkEnd w:id="423"/>
      <w:bookmarkEnd w:id="424"/>
      <w:bookmarkEnd w:id="425"/>
      <w:bookmarkStart w:id="427" w:name="_Toc297216195"/>
      <w:bookmarkStart w:id="428" w:name="_Toc297123536"/>
      <w:bookmarkStart w:id="429" w:name="_Toc312677498"/>
      <w:bookmarkStart w:id="430" w:name="_Toc312678024"/>
      <w:bookmarkStart w:id="431" w:name="_Toc304295562"/>
      <w:bookmarkStart w:id="432" w:name="_Toc303539142"/>
      <w:bookmarkStart w:id="433" w:name="_Toc300934985"/>
      <w:r>
        <w:rPr>
          <w:rFonts w:hint="eastAsia" w:ascii="宋体" w:hAnsi="宋体" w:eastAsia="宋体" w:cs="宋体"/>
          <w:color w:val="000000" w:themeColor="text1"/>
          <w:sz w:val="24"/>
          <w14:textFill>
            <w14:solidFill>
              <w14:schemeClr w14:val="tx1"/>
            </w14:solidFill>
          </w14:textFill>
        </w:rPr>
        <w:t>。</w:t>
      </w:r>
    </w:p>
    <w:p w14:paraId="7554F5FA">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施工现场需要配备的试验设备：。</w:t>
      </w:r>
    </w:p>
    <w:p w14:paraId="469469F6">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施工现场需要具备的其他试验条件：。</w:t>
      </w:r>
    </w:p>
    <w:p w14:paraId="7C23DFB4">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434" w:name="_Toc47099698"/>
      <w:bookmarkStart w:id="435" w:name="_Toc22492"/>
      <w:bookmarkStart w:id="436" w:name="_Toc24301"/>
      <w:bookmarkStart w:id="437" w:name="_Toc22387"/>
      <w:bookmarkStart w:id="438" w:name="_Toc15426"/>
      <w:bookmarkStart w:id="439" w:name="_Toc498419154"/>
      <w:bookmarkStart w:id="440" w:name="_Toc25742491"/>
      <w:r>
        <w:rPr>
          <w:rFonts w:hint="eastAsia" w:ascii="宋体" w:hAnsi="宋体" w:eastAsia="宋体" w:cs="宋体"/>
          <w:color w:val="000000" w:themeColor="text1"/>
          <w:sz w:val="24"/>
          <w14:textFill>
            <w14:solidFill>
              <w14:schemeClr w14:val="tx1"/>
            </w14:solidFill>
          </w14:textFill>
        </w:rPr>
        <w:t>9.4 现场工艺试验</w:t>
      </w:r>
      <w:bookmarkEnd w:id="434"/>
      <w:bookmarkEnd w:id="435"/>
      <w:bookmarkEnd w:id="436"/>
      <w:bookmarkEnd w:id="437"/>
      <w:bookmarkEnd w:id="438"/>
      <w:bookmarkEnd w:id="439"/>
      <w:bookmarkEnd w:id="440"/>
    </w:p>
    <w:p w14:paraId="649631AB">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现场工艺试验的有关约定：。</w:t>
      </w:r>
    </w:p>
    <w:bookmarkEnd w:id="426"/>
    <w:bookmarkEnd w:id="427"/>
    <w:bookmarkEnd w:id="428"/>
    <w:bookmarkEnd w:id="429"/>
    <w:bookmarkEnd w:id="430"/>
    <w:bookmarkEnd w:id="431"/>
    <w:bookmarkEnd w:id="432"/>
    <w:bookmarkEnd w:id="433"/>
    <w:p w14:paraId="17C15228">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441" w:name="_Toc351203642"/>
      <w:r>
        <w:rPr>
          <w:rFonts w:hint="eastAsia" w:ascii="宋体" w:hAnsi="宋体" w:eastAsia="宋体" w:cs="宋体"/>
          <w:b w:val="0"/>
          <w:color w:val="000000" w:themeColor="text1"/>
          <w:sz w:val="24"/>
          <w:szCs w:val="24"/>
          <w14:textFill>
            <w14:solidFill>
              <w14:schemeClr w14:val="tx1"/>
            </w14:solidFill>
          </w14:textFill>
        </w:rPr>
        <w:t>1</w:t>
      </w:r>
      <w:bookmarkEnd w:id="400"/>
      <w:bookmarkEnd w:id="401"/>
      <w:bookmarkEnd w:id="402"/>
      <w:bookmarkEnd w:id="403"/>
      <w:bookmarkEnd w:id="404"/>
      <w:bookmarkEnd w:id="405"/>
      <w:bookmarkEnd w:id="406"/>
      <w:bookmarkEnd w:id="407"/>
      <w:bookmarkEnd w:id="408"/>
      <w:bookmarkEnd w:id="409"/>
      <w:bookmarkEnd w:id="410"/>
      <w:bookmarkEnd w:id="411"/>
      <w:bookmarkStart w:id="442" w:name="_Toc296944532"/>
      <w:bookmarkStart w:id="443" w:name="_Toc296346694"/>
      <w:bookmarkStart w:id="444" w:name="_Toc304295566"/>
      <w:bookmarkStart w:id="445" w:name="_Toc296503193"/>
      <w:bookmarkStart w:id="446" w:name="_Toc296347192"/>
      <w:bookmarkStart w:id="447" w:name="_Toc292559903"/>
      <w:bookmarkStart w:id="448" w:name="_Toc292559398"/>
      <w:bookmarkStart w:id="449" w:name="_Toc300934989"/>
      <w:bookmarkStart w:id="450" w:name="_Toc296891233"/>
      <w:bookmarkStart w:id="451" w:name="_Toc296891021"/>
      <w:bookmarkStart w:id="452" w:name="_Toc297216199"/>
      <w:bookmarkStart w:id="453" w:name="_Toc297048379"/>
      <w:bookmarkStart w:id="454" w:name="_Toc297123540"/>
      <w:bookmarkStart w:id="455" w:name="_Toc297120493"/>
      <w:bookmarkStart w:id="456" w:name="_Toc303539146"/>
      <w:bookmarkStart w:id="457" w:name="_Toc312677499"/>
      <w:bookmarkStart w:id="458" w:name="_Toc312678025"/>
      <w:bookmarkStart w:id="459" w:name="_Toc267251433"/>
      <w:bookmarkStart w:id="460" w:name="_Toc267251437"/>
      <w:bookmarkStart w:id="461" w:name="_Toc267251440"/>
      <w:bookmarkStart w:id="462" w:name="_Toc267251439"/>
      <w:bookmarkStart w:id="463" w:name="_Toc267251435"/>
      <w:bookmarkStart w:id="464" w:name="_Toc267251441"/>
      <w:bookmarkStart w:id="465" w:name="_Toc267251442"/>
      <w:r>
        <w:rPr>
          <w:rFonts w:hint="eastAsia" w:ascii="宋体" w:hAnsi="宋体" w:eastAsia="宋体" w:cs="宋体"/>
          <w:b w:val="0"/>
          <w:color w:val="000000" w:themeColor="text1"/>
          <w:sz w:val="24"/>
          <w:szCs w:val="24"/>
          <w14:textFill>
            <w14:solidFill>
              <w14:schemeClr w14:val="tx1"/>
            </w14:solidFill>
          </w14:textFill>
        </w:rPr>
        <w:t>0. 变更</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bookmarkEnd w:id="457"/>
    <w:bookmarkEnd w:id="458"/>
    <w:p w14:paraId="30577A98">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bookmarkStart w:id="466" w:name="_Toc304295567"/>
      <w:bookmarkStart w:id="467" w:name="_Toc296347193"/>
      <w:bookmarkStart w:id="468" w:name="_Toc297048380"/>
      <w:bookmarkStart w:id="469" w:name="_Toc292559399"/>
      <w:bookmarkStart w:id="470" w:name="_Toc296346695"/>
      <w:bookmarkStart w:id="471" w:name="_Toc292559904"/>
      <w:bookmarkStart w:id="472" w:name="_Toc312677500"/>
      <w:bookmarkStart w:id="473" w:name="_Toc312678026"/>
      <w:bookmarkStart w:id="474" w:name="_Toc303539147"/>
      <w:bookmarkStart w:id="475" w:name="_Toc296503194"/>
      <w:bookmarkStart w:id="476" w:name="_Toc297123541"/>
      <w:bookmarkStart w:id="477" w:name="_Toc296891234"/>
      <w:bookmarkStart w:id="478" w:name="_Toc296891022"/>
      <w:bookmarkStart w:id="479" w:name="_Toc297120494"/>
      <w:bookmarkStart w:id="480" w:name="_Toc297216200"/>
      <w:bookmarkStart w:id="481" w:name="_Toc300934990"/>
      <w:bookmarkStart w:id="482" w:name="_Toc296944533"/>
      <w:r>
        <w:rPr>
          <w:rFonts w:hint="eastAsia" w:ascii="宋体" w:hAnsi="宋体" w:eastAsia="宋体" w:cs="宋体"/>
          <w:color w:val="000000" w:themeColor="text1"/>
          <w:sz w:val="24"/>
          <w14:textFill>
            <w14:solidFill>
              <w14:schemeClr w14:val="tx1"/>
            </w14:solidFill>
          </w14:textFill>
        </w:rPr>
        <w:t>0.1变更的范围</w:t>
      </w:r>
    </w:p>
    <w:p w14:paraId="25FA9A7B">
      <w:pPr>
        <w:spacing w:line="360" w:lineRule="auto"/>
        <w:ind w:firstLine="6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关于变更的范围的约定：。</w:t>
      </w:r>
    </w:p>
    <w:p w14:paraId="771E0464">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483" w:name="_Toc25742492"/>
      <w:bookmarkStart w:id="484" w:name="_Toc10913"/>
      <w:bookmarkStart w:id="485" w:name="_Toc23722"/>
      <w:bookmarkStart w:id="486" w:name="_Toc2705"/>
      <w:bookmarkStart w:id="487" w:name="_Toc2615"/>
      <w:bookmarkStart w:id="488" w:name="_Toc498419155"/>
      <w:bookmarkStart w:id="489" w:name="_Toc47099699"/>
      <w:r>
        <w:rPr>
          <w:rFonts w:hint="eastAsia" w:ascii="宋体" w:hAnsi="宋体" w:eastAsia="宋体" w:cs="宋体"/>
          <w:color w:val="000000" w:themeColor="text1"/>
          <w:sz w:val="24"/>
          <w14:textFill>
            <w14:solidFill>
              <w14:schemeClr w14:val="tx1"/>
            </w14:solidFill>
          </w14:textFill>
        </w:rPr>
        <w:t>10.4 变更估价</w:t>
      </w:r>
      <w:bookmarkEnd w:id="483"/>
      <w:bookmarkEnd w:id="484"/>
      <w:bookmarkEnd w:id="485"/>
      <w:bookmarkEnd w:id="486"/>
      <w:bookmarkEnd w:id="487"/>
      <w:bookmarkEnd w:id="488"/>
      <w:bookmarkEnd w:id="489"/>
    </w:p>
    <w:p w14:paraId="4DA12E7E">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10.4.1 变更估价原则</w:t>
      </w:r>
    </w:p>
    <w:p w14:paraId="7EAA0308">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关于变更估价的约定: 。</w:t>
      </w:r>
    </w:p>
    <w:p w14:paraId="2F6B68BB">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Start w:id="490" w:name="_Toc297123544"/>
      <w:bookmarkStart w:id="491" w:name="_Toc296891025"/>
      <w:bookmarkStart w:id="492" w:name="_Toc303539150"/>
      <w:bookmarkStart w:id="493" w:name="_Toc296503197"/>
      <w:bookmarkStart w:id="494" w:name="_Toc297120497"/>
      <w:bookmarkStart w:id="495" w:name="_Toc296891237"/>
      <w:bookmarkStart w:id="496" w:name="_Toc297216203"/>
      <w:bookmarkStart w:id="497" w:name="_Toc292559402"/>
      <w:bookmarkStart w:id="498" w:name="_Toc292559907"/>
      <w:bookmarkStart w:id="499" w:name="_Toc296346698"/>
      <w:bookmarkStart w:id="500" w:name="_Toc300934993"/>
      <w:bookmarkStart w:id="501" w:name="_Toc297048383"/>
      <w:bookmarkStart w:id="502" w:name="_Toc296944536"/>
      <w:bookmarkStart w:id="503" w:name="_Toc296347196"/>
      <w:bookmarkStart w:id="504" w:name="_Toc312677503"/>
      <w:bookmarkStart w:id="505" w:name="_Toc312678029"/>
      <w:bookmarkStart w:id="506" w:name="_Toc304295570"/>
      <w:r>
        <w:rPr>
          <w:rFonts w:hint="eastAsia" w:ascii="宋体" w:hAnsi="宋体" w:eastAsia="宋体" w:cs="宋体"/>
          <w:color w:val="000000" w:themeColor="text1"/>
          <w:sz w:val="24"/>
          <w14:textFill>
            <w14:solidFill>
              <w14:schemeClr w14:val="tx1"/>
            </w14:solidFill>
          </w14:textFill>
        </w:rPr>
        <w:t>0.5承</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Start w:id="507" w:name="_Toc297123545"/>
      <w:bookmarkStart w:id="508" w:name="_Toc297120503"/>
      <w:bookmarkStart w:id="509" w:name="_Toc292559913"/>
      <w:bookmarkStart w:id="510" w:name="_Toc300934994"/>
      <w:bookmarkStart w:id="511" w:name="_Toc297048389"/>
      <w:bookmarkStart w:id="512" w:name="_Toc296503203"/>
      <w:bookmarkStart w:id="513" w:name="_Toc303539151"/>
      <w:bookmarkStart w:id="514" w:name="_Toc296944542"/>
      <w:bookmarkStart w:id="515" w:name="_Toc297216204"/>
      <w:bookmarkStart w:id="516" w:name="_Toc292559408"/>
      <w:bookmarkStart w:id="517" w:name="_Toc296891243"/>
      <w:bookmarkStart w:id="518" w:name="_Toc296891031"/>
      <w:bookmarkStart w:id="519" w:name="_Toc296346704"/>
      <w:bookmarkStart w:id="520" w:name="_Toc296347202"/>
      <w:r>
        <w:rPr>
          <w:rFonts w:hint="eastAsia" w:ascii="宋体" w:hAnsi="宋体" w:eastAsia="宋体" w:cs="宋体"/>
          <w:color w:val="000000" w:themeColor="text1"/>
          <w:sz w:val="24"/>
          <w14:textFill>
            <w14:solidFill>
              <w14:schemeClr w14:val="tx1"/>
            </w14:solidFill>
          </w14:textFill>
        </w:rPr>
        <w:t>包人的合理化建议</w:t>
      </w:r>
    </w:p>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14:paraId="0673C4F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监理人审查承包人合理化建议的期限：。</w:t>
      </w:r>
    </w:p>
    <w:p w14:paraId="59E3846A">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发包人审批承包人合理化建议的期限：。</w:t>
      </w:r>
    </w:p>
    <w:p w14:paraId="07320B90">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w:t>
      </w:r>
      <w:bookmarkStart w:id="521" w:name="_Toc292559409"/>
      <w:bookmarkStart w:id="522" w:name="_Toc296503204"/>
      <w:bookmarkStart w:id="523" w:name="_Toc300934995"/>
      <w:bookmarkStart w:id="524" w:name="_Toc296891244"/>
      <w:bookmarkStart w:id="525" w:name="_Toc297048390"/>
      <w:bookmarkStart w:id="526" w:name="_Toc292559914"/>
      <w:bookmarkStart w:id="527" w:name="_Toc296346705"/>
      <w:bookmarkStart w:id="528" w:name="_Toc303539152"/>
      <w:bookmarkStart w:id="529" w:name="_Toc297216205"/>
      <w:bookmarkStart w:id="530" w:name="_Toc296944543"/>
      <w:bookmarkStart w:id="531" w:name="_Toc318581175"/>
      <w:bookmarkStart w:id="532" w:name="_Toc297123546"/>
      <w:bookmarkStart w:id="533" w:name="_Toc312678030"/>
      <w:bookmarkStart w:id="534" w:name="_Toc297120504"/>
      <w:bookmarkStart w:id="535" w:name="_Toc296891032"/>
      <w:bookmarkStart w:id="536" w:name="_Toc304295571"/>
      <w:bookmarkStart w:id="537" w:name="_Toc312677504"/>
      <w:bookmarkStart w:id="538" w:name="_Toc296347203"/>
      <w:r>
        <w:rPr>
          <w:rFonts w:hint="eastAsia" w:ascii="宋体" w:hAnsi="宋体" w:eastAsia="宋体" w:cs="宋体"/>
          <w:color w:val="000000" w:themeColor="text1"/>
          <w:sz w:val="24"/>
          <w14:textFill>
            <w14:solidFill>
              <w14:schemeClr w14:val="tx1"/>
            </w14:solidFill>
          </w14:textFill>
        </w:rPr>
        <w:t>包人提出的合理化建议降低了合同价格或者提高了工程经济效益的奖励的方法和金额为：</w:t>
      </w:r>
    </w:p>
    <w:p w14:paraId="7DB83AF8">
      <w:pPr>
        <w:spacing w:line="360" w:lineRule="auto"/>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w:t>
      </w:r>
    </w:p>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14:paraId="1EB0DABC">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539" w:name="_Toc47099700"/>
      <w:bookmarkStart w:id="540" w:name="_Toc2948"/>
      <w:bookmarkStart w:id="541" w:name="_Toc10327"/>
      <w:bookmarkStart w:id="542" w:name="_Toc498419156"/>
      <w:bookmarkStart w:id="543" w:name="_Toc29738"/>
      <w:bookmarkStart w:id="544" w:name="_Toc25742493"/>
      <w:bookmarkStart w:id="545" w:name="_Toc10618"/>
      <w:r>
        <w:rPr>
          <w:rFonts w:hint="eastAsia" w:ascii="宋体" w:hAnsi="宋体" w:eastAsia="宋体" w:cs="宋体"/>
          <w:color w:val="000000" w:themeColor="text1"/>
          <w:sz w:val="24"/>
          <w14:textFill>
            <w14:solidFill>
              <w14:schemeClr w14:val="tx1"/>
            </w14:solidFill>
          </w14:textFill>
        </w:rPr>
        <w:t>1</w:t>
      </w:r>
      <w:bookmarkStart w:id="546" w:name="_Toc296891239"/>
      <w:bookmarkStart w:id="547" w:name="_Toc292559909"/>
      <w:bookmarkStart w:id="548" w:name="_Toc292559404"/>
      <w:bookmarkStart w:id="549" w:name="_Toc312678033"/>
      <w:bookmarkStart w:id="550" w:name="_Toc297120499"/>
      <w:bookmarkStart w:id="551" w:name="_Toc303539154"/>
      <w:bookmarkStart w:id="552" w:name="_Toc296891027"/>
      <w:bookmarkStart w:id="553" w:name="_Toc304295574"/>
      <w:bookmarkStart w:id="554" w:name="_Toc312677507"/>
      <w:bookmarkStart w:id="555" w:name="_Toc297048385"/>
      <w:bookmarkStart w:id="556" w:name="_Toc296503199"/>
      <w:bookmarkStart w:id="557" w:name="_Toc296346700"/>
      <w:bookmarkStart w:id="558" w:name="_Toc297123548"/>
      <w:bookmarkStart w:id="559" w:name="_Toc297216207"/>
      <w:bookmarkStart w:id="560" w:name="_Toc296347198"/>
      <w:bookmarkStart w:id="561" w:name="_Toc296944538"/>
      <w:bookmarkStart w:id="562" w:name="_Toc300934997"/>
      <w:r>
        <w:rPr>
          <w:rFonts w:hint="eastAsia" w:ascii="宋体" w:hAnsi="宋体" w:eastAsia="宋体" w:cs="宋体"/>
          <w:color w:val="000000" w:themeColor="text1"/>
          <w:sz w:val="24"/>
          <w14:textFill>
            <w14:solidFill>
              <w14:schemeClr w14:val="tx1"/>
            </w14:solidFill>
          </w14:textFill>
        </w:rPr>
        <w:t>0.7 暂估价</w:t>
      </w:r>
      <w:bookmarkEnd w:id="539"/>
      <w:bookmarkEnd w:id="540"/>
      <w:bookmarkEnd w:id="541"/>
      <w:bookmarkEnd w:id="542"/>
      <w:bookmarkEnd w:id="543"/>
      <w:bookmarkEnd w:id="544"/>
      <w:bookmarkEnd w:id="545"/>
    </w:p>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14:paraId="6A4D3ADE">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暂</w:t>
      </w:r>
      <w:bookmarkStart w:id="563" w:name="_Toc312677508"/>
      <w:bookmarkStart w:id="564" w:name="_Toc312678034"/>
      <w:bookmarkStart w:id="565" w:name="_Toc318581176"/>
      <w:r>
        <w:rPr>
          <w:rFonts w:hint="eastAsia" w:ascii="宋体" w:hAnsi="宋体" w:eastAsia="宋体" w:cs="宋体"/>
          <w:color w:val="000000" w:themeColor="text1"/>
          <w:sz w:val="24"/>
          <w14:textFill>
            <w14:solidFill>
              <w14:schemeClr w14:val="tx1"/>
            </w14:solidFill>
          </w14:textFill>
        </w:rPr>
        <w:t>估价材料和工程设备的明细详见工程量清单</w:t>
      </w:r>
    </w:p>
    <w:bookmarkEnd w:id="563"/>
    <w:bookmarkEnd w:id="564"/>
    <w:bookmarkEnd w:id="565"/>
    <w:p w14:paraId="6D889C0F">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bookmarkStart w:id="566" w:name="_Toc312678035"/>
      <w:bookmarkStart w:id="567" w:name="_Toc318581177"/>
      <w:bookmarkStart w:id="568" w:name="_Toc312677509"/>
      <w:r>
        <w:rPr>
          <w:rFonts w:hint="eastAsia" w:ascii="宋体" w:hAnsi="宋体" w:eastAsia="宋体" w:cs="宋体"/>
          <w:color w:val="000000" w:themeColor="text1"/>
          <w:sz w:val="24"/>
          <w14:textFill>
            <w14:solidFill>
              <w14:schemeClr w14:val="tx1"/>
            </w14:solidFill>
          </w14:textFill>
        </w:rPr>
        <w:t>0.7.1 依法必须招标的暂估价项目</w:t>
      </w:r>
    </w:p>
    <w:bookmarkEnd w:id="566"/>
    <w:bookmarkEnd w:id="567"/>
    <w:bookmarkEnd w:id="568"/>
    <w:p w14:paraId="078826D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对于依法必须招标的暂估价项目的确认和批准采取第种方式确定。</w:t>
      </w:r>
    </w:p>
    <w:p w14:paraId="05D11E82">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10.7.2 不属于依法必须招标的暂估价项目</w:t>
      </w:r>
    </w:p>
    <w:p w14:paraId="5BBB27C2">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对于不属于依法必须招标的暂估价项目的确认和批准采取第 种方式确定。</w:t>
      </w:r>
    </w:p>
    <w:p w14:paraId="4CAD822B">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第3种方式：承包人直接实施的暂估价项目</w:t>
      </w:r>
    </w:p>
    <w:p w14:paraId="2F2FDAA9">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承包人直接实施的暂估价项目的约定：。</w:t>
      </w:r>
    </w:p>
    <w:p w14:paraId="037053CF">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10.8 暂列金额</w:t>
      </w:r>
    </w:p>
    <w:p w14:paraId="1BCBD349">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合同当事人关于暂列金额使用的约定：。</w:t>
      </w:r>
    </w:p>
    <w:p w14:paraId="1448D079">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569" w:name="_Toc351203643"/>
      <w:r>
        <w:rPr>
          <w:rFonts w:hint="eastAsia" w:ascii="宋体" w:hAnsi="宋体" w:eastAsia="宋体" w:cs="宋体"/>
          <w:b w:val="0"/>
          <w:color w:val="000000" w:themeColor="text1"/>
          <w:sz w:val="24"/>
          <w:szCs w:val="24"/>
          <w14:textFill>
            <w14:solidFill>
              <w14:schemeClr w14:val="tx1"/>
            </w14:solidFill>
          </w14:textFill>
        </w:rPr>
        <w:t>11. 价格调整</w:t>
      </w:r>
      <w:bookmarkEnd w:id="569"/>
    </w:p>
    <w:p w14:paraId="3D2FAD3C">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bookmarkStart w:id="570" w:name="_Toc292559406"/>
      <w:bookmarkStart w:id="571" w:name="_Toc296891029"/>
      <w:bookmarkStart w:id="572" w:name="_Toc304295577"/>
      <w:bookmarkStart w:id="573" w:name="_Toc297123550"/>
      <w:bookmarkStart w:id="574" w:name="_Toc297216209"/>
      <w:bookmarkStart w:id="575" w:name="_Toc296347200"/>
      <w:bookmarkStart w:id="576" w:name="_Toc300935000"/>
      <w:bookmarkStart w:id="577" w:name="_Toc296944540"/>
      <w:bookmarkStart w:id="578" w:name="_Toc296503201"/>
      <w:bookmarkStart w:id="579" w:name="_Toc312678039"/>
      <w:bookmarkStart w:id="580" w:name="_Toc303539157"/>
      <w:bookmarkStart w:id="581" w:name="_Toc292559911"/>
      <w:bookmarkStart w:id="582" w:name="_Toc296346702"/>
      <w:bookmarkStart w:id="583" w:name="_Toc297120501"/>
      <w:bookmarkStart w:id="584" w:name="_Toc297048387"/>
      <w:bookmarkStart w:id="585" w:name="_Toc296891241"/>
      <w:r>
        <w:rPr>
          <w:rFonts w:hint="eastAsia" w:ascii="宋体" w:hAnsi="宋体" w:eastAsia="宋体" w:cs="宋体"/>
          <w:color w:val="000000" w:themeColor="text1"/>
          <w:sz w:val="24"/>
          <w14:textFill>
            <w14:solidFill>
              <w14:schemeClr w14:val="tx1"/>
            </w14:solidFill>
          </w14:textFill>
        </w:rPr>
        <w:t>11.1 市场价格波动引起的调整</w:t>
      </w:r>
    </w:p>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14:paraId="2ADFCFD7">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市场价格波动是否调整合同价格的约定：。</w:t>
      </w:r>
    </w:p>
    <w:p w14:paraId="538285D1">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因市场价格波动调整合同价格，采用以下第种方式对合同价格进行调整：</w:t>
      </w:r>
    </w:p>
    <w:p w14:paraId="56AF0F0B">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第1种方式：采用价格指数进行价格调整。</w:t>
      </w:r>
    </w:p>
    <w:p w14:paraId="74592285">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关于各可调因子、定值和变值权重，以及基本价格指数及其来源的约定：；  </w:t>
      </w:r>
    </w:p>
    <w:p w14:paraId="601912B6">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第2种方式：采用造价信息进行价格调整。</w:t>
      </w:r>
    </w:p>
    <w:p w14:paraId="149F234F">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（2）关于基准价格的约定：。</w:t>
      </w:r>
    </w:p>
    <w:p w14:paraId="0EFFEA85">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专用合同条款①承包人在已标价工程量清单或预算书中载明的材料单价低于基准价格的：专用合同条款合同履行期间材料单价涨幅以基准价格为基础超过%时，或材料单价跌幅以已标价工程量清单或预算书中载明材料单价为基础超过%时，其超过部分据实调整。</w:t>
      </w:r>
    </w:p>
    <w:p w14:paraId="75E1EA80">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②承包人在已标价工程量清单或预算书中载明的材料单价高于基准价格的：专用合同条款合同履行期间材料单价跌幅以基准价格为基础超过%时，材料单价涨幅以已标价工程量清单或预算书中载明材料单价为基础超过%时，其超过部分据实调整。</w:t>
      </w:r>
    </w:p>
    <w:p w14:paraId="6B1E5EF2">
      <w:pPr>
        <w:spacing w:line="360" w:lineRule="auto"/>
        <w:ind w:firstLine="64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③承包人在已标价工程量清单或预算书中载明的材料单价等于基准单价的：专用合同条款合同履行期间材料单价涨跌幅以基准单价为基础超过±%时，其超过部分据实调整。</w:t>
      </w:r>
    </w:p>
    <w:p w14:paraId="6C6FB09C">
      <w:pPr>
        <w:spacing w:line="360" w:lineRule="auto"/>
        <w:ind w:firstLine="64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第3种方式：其他价格调整方式：。</w:t>
      </w:r>
    </w:p>
    <w:bookmarkEnd w:id="459"/>
    <w:bookmarkEnd w:id="460"/>
    <w:bookmarkEnd w:id="461"/>
    <w:bookmarkEnd w:id="462"/>
    <w:bookmarkEnd w:id="463"/>
    <w:bookmarkEnd w:id="464"/>
    <w:p w14:paraId="7DF7A404">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586" w:name="_Toc296347204"/>
      <w:bookmarkStart w:id="587" w:name="_Toc292559915"/>
      <w:bookmarkStart w:id="588" w:name="_Toc296891245"/>
      <w:bookmarkStart w:id="589" w:name="_Toc296346706"/>
      <w:bookmarkStart w:id="590" w:name="_Toc296944544"/>
      <w:bookmarkStart w:id="591" w:name="_Toc292559410"/>
      <w:bookmarkStart w:id="592" w:name="_Toc297120505"/>
      <w:bookmarkStart w:id="593" w:name="_Toc296503205"/>
      <w:bookmarkStart w:id="594" w:name="_Toc296891033"/>
      <w:bookmarkStart w:id="595" w:name="_Toc297048391"/>
      <w:bookmarkStart w:id="596" w:name="_Toc351203644"/>
      <w:bookmarkStart w:id="597" w:name="_Toc304295579"/>
      <w:bookmarkStart w:id="598" w:name="_Toc303539159"/>
      <w:bookmarkStart w:id="599" w:name="_Toc297216211"/>
      <w:bookmarkStart w:id="600" w:name="_Toc297123552"/>
      <w:bookmarkStart w:id="601" w:name="_Toc300935002"/>
      <w:bookmarkStart w:id="602" w:name="_Toc312678040"/>
      <w:r>
        <w:rPr>
          <w:rFonts w:hint="eastAsia" w:ascii="宋体" w:hAnsi="宋体" w:eastAsia="宋体" w:cs="宋体"/>
          <w:b w:val="0"/>
          <w:color w:val="000000" w:themeColor="text1"/>
          <w:sz w:val="24"/>
          <w:szCs w:val="24"/>
          <w14:textFill>
            <w14:solidFill>
              <w14:schemeClr w14:val="tx1"/>
            </w14:solidFill>
          </w14:textFill>
        </w:rPr>
        <w:t xml:space="preserve">12. </w:t>
      </w:r>
      <w:bookmarkEnd w:id="586"/>
      <w:bookmarkEnd w:id="587"/>
      <w:bookmarkEnd w:id="588"/>
      <w:bookmarkEnd w:id="589"/>
      <w:bookmarkEnd w:id="590"/>
      <w:bookmarkEnd w:id="591"/>
      <w:bookmarkEnd w:id="592"/>
      <w:bookmarkEnd w:id="593"/>
      <w:bookmarkEnd w:id="594"/>
      <w:bookmarkEnd w:id="595"/>
      <w:r>
        <w:rPr>
          <w:rFonts w:hint="eastAsia" w:ascii="宋体" w:hAnsi="宋体" w:eastAsia="宋体" w:cs="宋体"/>
          <w:b w:val="0"/>
          <w:color w:val="000000" w:themeColor="text1"/>
          <w:sz w:val="24"/>
          <w:szCs w:val="24"/>
          <w14:textFill>
            <w14:solidFill>
              <w14:schemeClr w14:val="tx1"/>
            </w14:solidFill>
          </w14:textFill>
        </w:rPr>
        <w:t>合同价格、计量与支付</w:t>
      </w:r>
      <w:bookmarkEnd w:id="596"/>
    </w:p>
    <w:bookmarkEnd w:id="597"/>
    <w:bookmarkEnd w:id="598"/>
    <w:bookmarkEnd w:id="599"/>
    <w:bookmarkEnd w:id="600"/>
    <w:bookmarkEnd w:id="601"/>
    <w:bookmarkEnd w:id="602"/>
    <w:p w14:paraId="351EE125">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bookmarkStart w:id="603" w:name="_Toc292559916"/>
      <w:bookmarkStart w:id="604" w:name="_Toc292559411"/>
      <w:bookmarkStart w:id="605" w:name="_Toc267251461"/>
      <w:bookmarkStart w:id="606" w:name="_Toc297120506"/>
      <w:bookmarkStart w:id="607" w:name="_Toc296891246"/>
      <w:bookmarkStart w:id="608" w:name="_Toc296346707"/>
      <w:bookmarkStart w:id="609" w:name="_Toc297048392"/>
      <w:bookmarkStart w:id="610" w:name="_Toc296891034"/>
      <w:bookmarkStart w:id="611" w:name="_Toc296347205"/>
      <w:bookmarkStart w:id="612" w:name="_Toc296944545"/>
      <w:bookmarkStart w:id="613" w:name="_Toc296503206"/>
      <w:bookmarkStart w:id="614" w:name="_Toc297123553"/>
      <w:bookmarkStart w:id="615" w:name="_Toc312678041"/>
      <w:bookmarkStart w:id="616" w:name="_Toc303539160"/>
      <w:bookmarkStart w:id="617" w:name="_Toc300935003"/>
      <w:bookmarkStart w:id="618" w:name="_Toc297216212"/>
      <w:bookmarkStart w:id="619" w:name="_Toc304295580"/>
      <w:r>
        <w:rPr>
          <w:rFonts w:hint="eastAsia" w:ascii="宋体" w:hAnsi="宋体" w:eastAsia="宋体" w:cs="宋体"/>
          <w:color w:val="000000" w:themeColor="text1"/>
          <w:sz w:val="24"/>
          <w14:textFill>
            <w14:solidFill>
              <w14:schemeClr w14:val="tx1"/>
            </w14:solidFill>
          </w14:textFill>
        </w:rPr>
        <w:t>12.1 合</w:t>
      </w:r>
      <w:bookmarkEnd w:id="603"/>
      <w:bookmarkEnd w:id="604"/>
      <w:bookmarkEnd w:id="605"/>
      <w:r>
        <w:rPr>
          <w:rFonts w:hint="eastAsia" w:ascii="宋体" w:hAnsi="宋体" w:eastAsia="宋体" w:cs="宋体"/>
          <w:color w:val="000000" w:themeColor="text1"/>
          <w:sz w:val="24"/>
          <w14:textFill>
            <w14:solidFill>
              <w14:schemeClr w14:val="tx1"/>
            </w14:solidFill>
          </w14:textFill>
        </w:rPr>
        <w:t>同价</w:t>
      </w:r>
      <w:bookmarkEnd w:id="606"/>
      <w:bookmarkEnd w:id="607"/>
      <w:bookmarkEnd w:id="608"/>
      <w:bookmarkEnd w:id="609"/>
      <w:bookmarkEnd w:id="610"/>
      <w:bookmarkEnd w:id="611"/>
      <w:bookmarkEnd w:id="612"/>
      <w:bookmarkEnd w:id="613"/>
      <w:r>
        <w:rPr>
          <w:rFonts w:hint="eastAsia" w:ascii="宋体" w:hAnsi="宋体" w:eastAsia="宋体" w:cs="宋体"/>
          <w:color w:val="000000" w:themeColor="text1"/>
          <w:sz w:val="24"/>
          <w14:textFill>
            <w14:solidFill>
              <w14:schemeClr w14:val="tx1"/>
            </w14:solidFill>
          </w14:textFill>
        </w:rPr>
        <w:t>格形式</w:t>
      </w:r>
    </w:p>
    <w:bookmarkEnd w:id="614"/>
    <w:bookmarkEnd w:id="615"/>
    <w:bookmarkEnd w:id="616"/>
    <w:bookmarkEnd w:id="617"/>
    <w:bookmarkEnd w:id="618"/>
    <w:bookmarkEnd w:id="619"/>
    <w:p w14:paraId="61DD591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1、单价合同。</w:t>
      </w:r>
    </w:p>
    <w:p w14:paraId="7254B3E3">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综合单价包含的风险范围：。</w:t>
      </w:r>
    </w:p>
    <w:p w14:paraId="6AD2922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风险费用的计算方法：。</w:t>
      </w:r>
    </w:p>
    <w:p w14:paraId="0CBFA593">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风险范围以外合同价格的调整方法：。</w:t>
      </w:r>
    </w:p>
    <w:p w14:paraId="53CD91C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2、总价合同。</w:t>
      </w:r>
    </w:p>
    <w:p w14:paraId="50828073">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总价包含的风险范围：。</w:t>
      </w:r>
    </w:p>
    <w:p w14:paraId="733E6C55">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风险费用的计算方法：。</w:t>
      </w:r>
    </w:p>
    <w:p w14:paraId="2833A62E">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风险范围以外合同价格的调整方法：。</w:t>
      </w:r>
    </w:p>
    <w:p w14:paraId="46B01935">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3、其他价格方式：。</w:t>
      </w:r>
    </w:p>
    <w:p w14:paraId="52EC2C3C">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bookmarkStart w:id="620" w:name="_Toc304295581"/>
      <w:bookmarkStart w:id="621" w:name="_Toc297216213"/>
      <w:bookmarkStart w:id="622" w:name="_Toc300935004"/>
      <w:bookmarkStart w:id="623" w:name="_Toc303539161"/>
      <w:bookmarkStart w:id="624" w:name="_Toc297123554"/>
      <w:bookmarkStart w:id="625" w:name="_Toc312678042"/>
      <w:bookmarkStart w:id="626" w:name="_Toc296891247"/>
      <w:bookmarkStart w:id="627" w:name="_Toc297120507"/>
      <w:bookmarkStart w:id="628" w:name="_Toc296346708"/>
      <w:bookmarkStart w:id="629" w:name="_Toc297048393"/>
      <w:bookmarkStart w:id="630" w:name="_Toc296347206"/>
      <w:bookmarkStart w:id="631" w:name="_Toc292559412"/>
      <w:bookmarkStart w:id="632" w:name="_Toc296503207"/>
      <w:bookmarkStart w:id="633" w:name="_Toc296891035"/>
      <w:bookmarkStart w:id="634" w:name="_Toc296944546"/>
      <w:bookmarkStart w:id="635" w:name="_Toc292559917"/>
      <w:r>
        <w:rPr>
          <w:rFonts w:hint="eastAsia" w:ascii="宋体" w:hAnsi="宋体" w:eastAsia="宋体" w:cs="宋体"/>
          <w:color w:val="000000" w:themeColor="text1"/>
          <w:sz w:val="24"/>
          <w14:textFill>
            <w14:solidFill>
              <w14:schemeClr w14:val="tx1"/>
            </w14:solidFill>
          </w14:textFill>
        </w:rPr>
        <w:t>12.2 预付款</w:t>
      </w:r>
    </w:p>
    <w:bookmarkEnd w:id="620"/>
    <w:bookmarkEnd w:id="621"/>
    <w:bookmarkEnd w:id="622"/>
    <w:bookmarkEnd w:id="623"/>
    <w:bookmarkEnd w:id="624"/>
    <w:bookmarkEnd w:id="625"/>
    <w:p w14:paraId="4BDE2C0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12.2.1 预付款的支付</w:t>
      </w:r>
    </w:p>
    <w:p w14:paraId="637727A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预付款支付比例或金额：。</w:t>
      </w:r>
    </w:p>
    <w:p w14:paraId="2AF348D0">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预付款支付期限：。</w:t>
      </w:r>
    </w:p>
    <w:p w14:paraId="7FBF8777">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预付款扣回的方式：。</w:t>
      </w:r>
    </w:p>
    <w:p w14:paraId="3CB5C20E">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12.2.2 预付款担保</w:t>
      </w:r>
    </w:p>
    <w:p w14:paraId="047556E2">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承包人提交预付款担保的期限：。</w:t>
      </w:r>
    </w:p>
    <w:p w14:paraId="75D60ED5">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预付款担保的形式为：。</w:t>
      </w:r>
    </w:p>
    <w:bookmarkEnd w:id="626"/>
    <w:bookmarkEnd w:id="627"/>
    <w:bookmarkEnd w:id="628"/>
    <w:bookmarkEnd w:id="629"/>
    <w:bookmarkEnd w:id="630"/>
    <w:bookmarkEnd w:id="631"/>
    <w:bookmarkEnd w:id="632"/>
    <w:bookmarkEnd w:id="633"/>
    <w:bookmarkEnd w:id="634"/>
    <w:bookmarkEnd w:id="635"/>
    <w:p w14:paraId="68F844E2">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12.3 计量</w:t>
      </w:r>
    </w:p>
    <w:p w14:paraId="41AC485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12.3.1 计量原则</w:t>
      </w:r>
    </w:p>
    <w:p w14:paraId="7001DDC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工程量计算规则：。</w:t>
      </w:r>
    </w:p>
    <w:p w14:paraId="1D988EE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12.3.2 计量周期</w:t>
      </w:r>
    </w:p>
    <w:p w14:paraId="4581E307">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关于计量周期的约定：。</w:t>
      </w:r>
    </w:p>
    <w:p w14:paraId="2768D5D5">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12.3.3 单价合同的计量</w:t>
      </w:r>
    </w:p>
    <w:p w14:paraId="0C776B3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关于单价合同计量的约定：。</w:t>
      </w:r>
    </w:p>
    <w:p w14:paraId="49DAD99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12.3.4 总价合同的计量</w:t>
      </w:r>
    </w:p>
    <w:p w14:paraId="625A7E06">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关于总价合同计量的约定：。</w:t>
      </w:r>
    </w:p>
    <w:p w14:paraId="6574750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12.3.5总价合同采用支付分解表计量支付的，是否适用第12.3.4 项〔总价合同的计量〕约定进行计量：。</w:t>
      </w:r>
    </w:p>
    <w:p w14:paraId="2E131777">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12.3.6 其他价格形式合同的计量</w:t>
      </w:r>
    </w:p>
    <w:p w14:paraId="60434BB3">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其他价格形式的计量方式和程序：。</w:t>
      </w:r>
    </w:p>
    <w:p w14:paraId="3F5DCA76">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12.4 工程进度款支付</w:t>
      </w:r>
    </w:p>
    <w:p w14:paraId="09ECFE99">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bookmarkStart w:id="636" w:name="_Toc297216215"/>
      <w:bookmarkStart w:id="637" w:name="_Toc297120511"/>
      <w:bookmarkStart w:id="638" w:name="_Toc297123556"/>
      <w:bookmarkStart w:id="639" w:name="_Toc300935006"/>
      <w:bookmarkStart w:id="640" w:name="_Toc296347210"/>
      <w:bookmarkStart w:id="641" w:name="_Toc292559416"/>
      <w:bookmarkStart w:id="642" w:name="_Toc297048397"/>
      <w:bookmarkStart w:id="643" w:name="_Toc296944550"/>
      <w:bookmarkStart w:id="644" w:name="_Toc296503211"/>
      <w:bookmarkStart w:id="645" w:name="_Toc296891251"/>
      <w:bookmarkStart w:id="646" w:name="_Toc296891039"/>
      <w:bookmarkStart w:id="647" w:name="_Toc303539163"/>
      <w:bookmarkStart w:id="648" w:name="_Toc296346712"/>
      <w:bookmarkStart w:id="649" w:name="_Toc292559921"/>
      <w:r>
        <w:rPr>
          <w:rFonts w:hint="eastAsia" w:ascii="宋体" w:hAnsi="宋体" w:eastAsia="宋体" w:cs="宋体"/>
          <w:color w:val="000000" w:themeColor="text1"/>
          <w:sz w:val="24"/>
          <w14:textFill>
            <w14:solidFill>
              <w14:schemeClr w14:val="tx1"/>
            </w14:solidFill>
          </w14:textFill>
        </w:rPr>
        <w:t>12.4.1 付款周期</w:t>
      </w:r>
    </w:p>
    <w:p w14:paraId="7E527F0B">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关于付款周期的约定：。</w:t>
      </w:r>
    </w:p>
    <w:p w14:paraId="46EE111F">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12.4.2 进度付款申请单的编制</w:t>
      </w:r>
    </w:p>
    <w:p w14:paraId="565E3BF6">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关于进度付款申请单编制的约定：。</w:t>
      </w:r>
    </w:p>
    <w:p w14:paraId="59D7D9C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rPr>
          <w:rFonts w:hint="eastAsia" w:ascii="宋体" w:hAnsi="宋体" w:eastAsia="宋体" w:cs="宋体"/>
          <w:color w:val="000000" w:themeColor="text1"/>
          <w:sz w:val="24"/>
          <w14:textFill>
            <w14:solidFill>
              <w14:schemeClr w14:val="tx1"/>
            </w14:solidFill>
          </w14:textFill>
        </w:rPr>
        <w:t>2.4.3 进度付款申请单的提交</w:t>
      </w:r>
    </w:p>
    <w:p w14:paraId="1F5D922B">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（1）单价合同进度付款申请单提交的约定：。</w:t>
      </w:r>
    </w:p>
    <w:p w14:paraId="6D86F71F">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（2）总价合同进度付款申请单提交的约定：。</w:t>
      </w:r>
    </w:p>
    <w:p w14:paraId="4E1E02F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（3）其他价格形式合同进度付款申请单提交的约定：。</w:t>
      </w:r>
    </w:p>
    <w:p w14:paraId="6A3B2340">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12.4.4 进度款审核和支付</w:t>
      </w:r>
    </w:p>
    <w:p w14:paraId="6A6BD4E2">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（1）监理人审查并报送发包人的期限：。</w:t>
      </w:r>
    </w:p>
    <w:p w14:paraId="55D8617E">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发包人完成审批并签发进度款支付证书的期限：。</w:t>
      </w:r>
    </w:p>
    <w:p w14:paraId="779EB875">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（2）发包人支付进度款的期限：。</w:t>
      </w:r>
    </w:p>
    <w:p w14:paraId="467201A9">
      <w:pPr>
        <w:spacing w:line="360" w:lineRule="auto"/>
        <w:ind w:firstLine="600" w:firstLineChars="25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发包人逾期支付进度款的违约金的计算方式：。</w:t>
      </w:r>
    </w:p>
    <w:p w14:paraId="23EEA061">
      <w:pPr>
        <w:spacing w:line="360" w:lineRule="auto"/>
        <w:ind w:firstLine="600" w:firstLineChars="25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12.4.6 支付分解表的编制</w:t>
      </w:r>
    </w:p>
    <w:p w14:paraId="0B324AAE">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2、总价合同支付分解表的编制与审批：。</w:t>
      </w:r>
    </w:p>
    <w:p w14:paraId="7947565F">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3、单价合同的总价项目支付分解表的编制与审批：。</w:t>
      </w:r>
    </w:p>
    <w:bookmarkEnd w:id="465"/>
    <w:p w14:paraId="63A89DB5">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650" w:name="_Toc351203645"/>
      <w:bookmarkStart w:id="651" w:name="_Toc296346720"/>
      <w:bookmarkStart w:id="652" w:name="_Toc296944558"/>
      <w:bookmarkStart w:id="653" w:name="_Toc303539172"/>
      <w:bookmarkStart w:id="654" w:name="_Toc292559929"/>
      <w:bookmarkStart w:id="655" w:name="_Toc304295593"/>
      <w:bookmarkStart w:id="656" w:name="_Toc296891259"/>
      <w:bookmarkStart w:id="657" w:name="_Toc296891047"/>
      <w:bookmarkStart w:id="658" w:name="_Toc297120519"/>
      <w:bookmarkStart w:id="659" w:name="_Toc297123564"/>
      <w:bookmarkStart w:id="660" w:name="_Toc300935015"/>
      <w:bookmarkStart w:id="661" w:name="_Toc296503219"/>
      <w:bookmarkStart w:id="662" w:name="_Toc296347218"/>
      <w:bookmarkStart w:id="663" w:name="_Toc292559424"/>
      <w:bookmarkStart w:id="664" w:name="_Toc297216223"/>
      <w:bookmarkStart w:id="665" w:name="_Toc312678053"/>
      <w:bookmarkStart w:id="666" w:name="_Toc297048405"/>
      <w:r>
        <w:rPr>
          <w:rFonts w:hint="eastAsia" w:ascii="宋体" w:hAnsi="宋体" w:eastAsia="宋体" w:cs="宋体"/>
          <w:b w:val="0"/>
          <w:color w:val="000000" w:themeColor="text1"/>
          <w:sz w:val="24"/>
          <w:szCs w:val="24"/>
          <w14:textFill>
            <w14:solidFill>
              <w14:schemeClr w14:val="tx1"/>
            </w14:solidFill>
          </w14:textFill>
        </w:rPr>
        <w:t>13.验收和工程试车</w:t>
      </w:r>
      <w:bookmarkEnd w:id="650"/>
    </w:p>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14:paraId="16F0E7F5">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13.1 分部分项工程验收</w:t>
      </w:r>
    </w:p>
    <w:p w14:paraId="1183CE1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13.1.2监理人不能按时进行验收时，应提前小时提交书面延期要求。</w:t>
      </w:r>
    </w:p>
    <w:p w14:paraId="10C0484B">
      <w:pPr>
        <w:spacing w:line="360" w:lineRule="auto"/>
        <w:ind w:firstLine="480" w:firstLineChars="200"/>
        <w:rPr>
          <w:rFonts w:hint="eastAsia" w:ascii="宋体" w:hAnsi="宋体" w:eastAsia="宋体" w:cs="宋体"/>
          <w:b/>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关于延期最长不得超过：小时。</w:t>
      </w:r>
    </w:p>
    <w:p w14:paraId="5EF34774">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bookmarkStart w:id="667" w:name="_Toc296944562"/>
      <w:bookmarkStart w:id="668" w:name="_Toc300935016"/>
      <w:bookmarkStart w:id="669" w:name="_Toc296346724"/>
      <w:bookmarkStart w:id="670" w:name="_Toc296891263"/>
      <w:bookmarkStart w:id="671" w:name="_Toc297216224"/>
      <w:bookmarkStart w:id="672" w:name="_Toc296891051"/>
      <w:bookmarkStart w:id="673" w:name="_Toc292559428"/>
      <w:bookmarkStart w:id="674" w:name="_Toc304295596"/>
      <w:bookmarkStart w:id="675" w:name="_Toc297123565"/>
      <w:bookmarkStart w:id="676" w:name="_Toc292559933"/>
      <w:bookmarkStart w:id="677" w:name="_Toc303539173"/>
      <w:bookmarkStart w:id="678" w:name="_Toc296503223"/>
      <w:bookmarkStart w:id="679" w:name="_Toc312678056"/>
      <w:bookmarkStart w:id="680" w:name="_Toc297120523"/>
      <w:bookmarkStart w:id="681" w:name="_Toc297048409"/>
      <w:bookmarkStart w:id="682" w:name="_Toc296347222"/>
      <w:bookmarkStart w:id="683" w:name="_Toc267251476"/>
      <w:bookmarkStart w:id="684" w:name="_Toc267251475"/>
      <w:bookmarkStart w:id="685" w:name="_Toc267251470"/>
      <w:bookmarkStart w:id="686" w:name="_Toc267251471"/>
      <w:bookmarkStart w:id="687" w:name="_Toc267251473"/>
      <w:bookmarkStart w:id="688" w:name="_Toc267251472"/>
      <w:bookmarkStart w:id="689" w:name="_Toc267251474"/>
      <w:r>
        <w:rPr>
          <w:rFonts w:hint="eastAsia" w:ascii="宋体" w:hAnsi="宋体" w:eastAsia="宋体" w:cs="宋体"/>
          <w:color w:val="000000" w:themeColor="text1"/>
          <w:sz w:val="24"/>
          <w14:textFill>
            <w14:solidFill>
              <w14:schemeClr w14:val="tx1"/>
            </w14:solidFill>
          </w14:textFill>
        </w:rPr>
        <w:t>13.2 竣工验收</w:t>
      </w:r>
    </w:p>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14:paraId="1EF1757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bookmarkStart w:id="690" w:name="_Toc280868704"/>
      <w:bookmarkStart w:id="691" w:name="_Toc280868705"/>
      <w:bookmarkStart w:id="692" w:name="_Toc280868706"/>
      <w:bookmarkStart w:id="693" w:name="_Toc280868707"/>
      <w:bookmarkStart w:id="694" w:name="_Toc280868708"/>
      <w:bookmarkStart w:id="695" w:name="_Toc280868709"/>
      <w:r>
        <w:rPr>
          <w:rFonts w:hint="eastAsia" w:ascii="宋体" w:hAnsi="宋体" w:eastAsia="宋体" w:cs="宋体"/>
          <w:color w:val="000000" w:themeColor="text1"/>
          <w:sz w:val="24"/>
          <w14:textFill>
            <w14:solidFill>
              <w14:schemeClr w14:val="tx1"/>
            </w14:solidFill>
          </w14:textFill>
        </w:rPr>
        <w:t>13.2.2竣工验收程序</w:t>
      </w:r>
    </w:p>
    <w:bookmarkEnd w:id="690"/>
    <w:p w14:paraId="1FF7339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关于竣工验收程序的约定：。</w:t>
      </w:r>
    </w:p>
    <w:p w14:paraId="07FB2880">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发包人不按照本项约定组织竣工验收、颁发工程接收证书的违约金的计算方法：</w:t>
      </w:r>
    </w:p>
    <w:p w14:paraId="2DE29A74">
      <w:pPr>
        <w:spacing w:line="360"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w:t>
      </w:r>
    </w:p>
    <w:bookmarkEnd w:id="691"/>
    <w:p w14:paraId="647FE376">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13.2.5移交、接收全部与部分工程</w:t>
      </w:r>
    </w:p>
    <w:bookmarkEnd w:id="692"/>
    <w:p w14:paraId="2877DA73">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承包人向发包人移交工程的期限：。</w:t>
      </w:r>
    </w:p>
    <w:p w14:paraId="7050AB1D">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发包人未按本合同约定接收全部或部分工程的，违约金的计算方法为：。</w:t>
      </w:r>
    </w:p>
    <w:bookmarkEnd w:id="693"/>
    <w:p w14:paraId="623D77B3">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承包人未按时移交工程的，违约金的计算方法为：。</w:t>
      </w:r>
    </w:p>
    <w:p w14:paraId="0130B428">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13.3 工程试车</w:t>
      </w:r>
    </w:p>
    <w:bookmarkEnd w:id="694"/>
    <w:p w14:paraId="0084D4E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13.3.1 试车程序</w:t>
      </w:r>
    </w:p>
    <w:p w14:paraId="0380A65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工程试车内容：。</w:t>
      </w:r>
    </w:p>
    <w:p w14:paraId="1D15A140">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（1）单机无负荷试车费用由承担；</w:t>
      </w:r>
    </w:p>
    <w:p w14:paraId="4619BBF0">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（2）无负荷联动试车费用由承担。</w:t>
      </w:r>
    </w:p>
    <w:p w14:paraId="4437BB5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13.3.3 投料试车</w:t>
      </w:r>
    </w:p>
    <w:p w14:paraId="74A9DE1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关于投料试车相关事项的约定：。</w:t>
      </w:r>
    </w:p>
    <w:p w14:paraId="4D9D3565">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696" w:name="_Toc20371"/>
      <w:bookmarkStart w:id="697" w:name="_Toc30137"/>
      <w:bookmarkStart w:id="698" w:name="_Toc11872"/>
      <w:bookmarkStart w:id="699" w:name="_Toc498419157"/>
      <w:bookmarkStart w:id="700" w:name="_Toc47099701"/>
      <w:bookmarkStart w:id="701" w:name="_Toc30415"/>
      <w:bookmarkStart w:id="702" w:name="_Toc25742494"/>
      <w:r>
        <w:rPr>
          <w:rFonts w:hint="eastAsia" w:ascii="宋体" w:hAnsi="宋体" w:eastAsia="宋体" w:cs="宋体"/>
          <w:color w:val="000000" w:themeColor="text1"/>
          <w:sz w:val="24"/>
          <w14:textFill>
            <w14:solidFill>
              <w14:schemeClr w14:val="tx1"/>
            </w14:solidFill>
          </w14:textFill>
        </w:rPr>
        <w:t>13.6 竣工退场</w:t>
      </w:r>
      <w:bookmarkEnd w:id="696"/>
      <w:bookmarkEnd w:id="697"/>
      <w:bookmarkEnd w:id="698"/>
      <w:bookmarkEnd w:id="699"/>
      <w:bookmarkEnd w:id="700"/>
      <w:bookmarkEnd w:id="701"/>
      <w:bookmarkEnd w:id="702"/>
    </w:p>
    <w:p w14:paraId="166B7AD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13.6.1 竣工退场</w:t>
      </w:r>
    </w:p>
    <w:p w14:paraId="1A53C58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承包人完成竣工退场的期限：。</w:t>
      </w:r>
    </w:p>
    <w:p w14:paraId="76CE3FAF">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703" w:name="_Toc351203646"/>
      <w:r>
        <w:rPr>
          <w:rFonts w:hint="eastAsia" w:ascii="宋体" w:hAnsi="宋体" w:eastAsia="宋体" w:cs="宋体"/>
          <w:b w:val="0"/>
          <w:color w:val="000000" w:themeColor="text1"/>
          <w:sz w:val="24"/>
          <w:szCs w:val="24"/>
          <w14:textFill>
            <w14:solidFill>
              <w14:schemeClr w14:val="tx1"/>
            </w14:solidFill>
          </w14:textFill>
        </w:rPr>
        <w:t>14. 竣工结算</w:t>
      </w:r>
      <w:bookmarkEnd w:id="703"/>
    </w:p>
    <w:p w14:paraId="27732487">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14.1 竣工结算申请</w:t>
      </w:r>
    </w:p>
    <w:p w14:paraId="60C4BADE">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承包人提交竣工结算申请单的期限：。</w:t>
      </w:r>
    </w:p>
    <w:p w14:paraId="23170A86">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竣工结算申请单应包括的内容：。</w:t>
      </w:r>
    </w:p>
    <w:p w14:paraId="0E7DBCF1">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704" w:name="_Toc47099702"/>
      <w:bookmarkStart w:id="705" w:name="_Toc25742495"/>
      <w:bookmarkStart w:id="706" w:name="_Toc498419158"/>
      <w:bookmarkStart w:id="707" w:name="_Toc12282"/>
      <w:bookmarkStart w:id="708" w:name="_Toc14737"/>
      <w:bookmarkStart w:id="709" w:name="_Toc17920"/>
      <w:bookmarkStart w:id="710" w:name="_Toc7420"/>
      <w:r>
        <w:rPr>
          <w:rFonts w:hint="eastAsia" w:ascii="宋体" w:hAnsi="宋体" w:eastAsia="宋体" w:cs="宋体"/>
          <w:color w:val="000000" w:themeColor="text1"/>
          <w:sz w:val="24"/>
          <w14:textFill>
            <w14:solidFill>
              <w14:schemeClr w14:val="tx1"/>
            </w14:solidFill>
          </w14:textFill>
        </w:rPr>
        <w:t>14.2 竣工结算审核</w:t>
      </w:r>
      <w:bookmarkEnd w:id="704"/>
      <w:bookmarkEnd w:id="705"/>
      <w:bookmarkEnd w:id="706"/>
      <w:bookmarkEnd w:id="707"/>
      <w:bookmarkEnd w:id="708"/>
      <w:bookmarkEnd w:id="709"/>
      <w:bookmarkEnd w:id="710"/>
    </w:p>
    <w:p w14:paraId="650BA06A">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发包人审批竣工付款申请单的期限：。</w:t>
      </w:r>
    </w:p>
    <w:p w14:paraId="30AC09C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发包人完成竣工付款的期限：。</w:t>
      </w:r>
    </w:p>
    <w:p w14:paraId="06BD9CBA">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关于竣工付款证书异议部分复核的方式和程序：。</w:t>
      </w:r>
    </w:p>
    <w:p w14:paraId="2FAA3B06">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14.4 最终结清</w:t>
      </w:r>
    </w:p>
    <w:p w14:paraId="330F8E8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14.4.1 最终结清申请单</w:t>
      </w:r>
    </w:p>
    <w:p w14:paraId="5C6581EA">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承包人提交最终结清申请单的份数：。</w:t>
      </w:r>
    </w:p>
    <w:p w14:paraId="401444B6">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承包人提交最终结算申请单的期限：。 </w:t>
      </w:r>
    </w:p>
    <w:p w14:paraId="62A0A4D6">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14.4.2 最终结清证书和支付</w:t>
      </w:r>
    </w:p>
    <w:p w14:paraId="0DDFA662">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（1）发包人完成最终结清申请单的审批并颁发最终结清证书的期限：。</w:t>
      </w:r>
    </w:p>
    <w:p w14:paraId="4AF503B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（2）发包人完成支付的期限：。</w:t>
      </w:r>
    </w:p>
    <w:bookmarkEnd w:id="683"/>
    <w:bookmarkEnd w:id="684"/>
    <w:bookmarkEnd w:id="685"/>
    <w:bookmarkEnd w:id="686"/>
    <w:bookmarkEnd w:id="687"/>
    <w:bookmarkEnd w:id="688"/>
    <w:bookmarkEnd w:id="689"/>
    <w:bookmarkEnd w:id="695"/>
    <w:p w14:paraId="5015075D">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711" w:name="_Toc351203647"/>
      <w:bookmarkStart w:id="712" w:name="_Toc267251483"/>
      <w:bookmarkStart w:id="713" w:name="_Toc267251484"/>
      <w:bookmarkStart w:id="714" w:name="_Toc267251482"/>
      <w:bookmarkStart w:id="715" w:name="_Toc267251485"/>
      <w:bookmarkStart w:id="716" w:name="_Toc267251489"/>
      <w:bookmarkStart w:id="717" w:name="_Toc267251488"/>
      <w:bookmarkStart w:id="718" w:name="_Toc267251486"/>
      <w:bookmarkStart w:id="719" w:name="_Toc267251490"/>
      <w:bookmarkStart w:id="720" w:name="_Toc267251499"/>
      <w:bookmarkStart w:id="721" w:name="_Toc267251494"/>
      <w:bookmarkStart w:id="722" w:name="_Toc267251501"/>
      <w:bookmarkStart w:id="723" w:name="_Toc267251495"/>
      <w:bookmarkStart w:id="724" w:name="_Toc267251502"/>
      <w:bookmarkStart w:id="725" w:name="_Toc267251496"/>
      <w:bookmarkStart w:id="726" w:name="_Toc267251503"/>
      <w:bookmarkStart w:id="727" w:name="_Toc267251492"/>
      <w:bookmarkStart w:id="728" w:name="_Toc267251493"/>
      <w:bookmarkStart w:id="729" w:name="_Toc267251491"/>
      <w:bookmarkStart w:id="730" w:name="_Toc267251497"/>
      <w:bookmarkStart w:id="731" w:name="_Toc267251498"/>
      <w:bookmarkStart w:id="732" w:name="_Toc267251506"/>
      <w:bookmarkStart w:id="733" w:name="_Toc267251504"/>
      <w:bookmarkStart w:id="734" w:name="_Toc267251507"/>
      <w:bookmarkStart w:id="735" w:name="_Toc267251508"/>
      <w:bookmarkStart w:id="736" w:name="_Toc267251509"/>
      <w:bookmarkStart w:id="737" w:name="_Toc267251511"/>
      <w:bookmarkStart w:id="738" w:name="_Toc267251513"/>
      <w:bookmarkStart w:id="739" w:name="_Toc267251510"/>
      <w:bookmarkStart w:id="740" w:name="_Toc267251514"/>
      <w:bookmarkStart w:id="741" w:name="_Toc267251515"/>
      <w:r>
        <w:rPr>
          <w:rFonts w:hint="eastAsia" w:ascii="宋体" w:hAnsi="宋体" w:eastAsia="宋体" w:cs="宋体"/>
          <w:b w:val="0"/>
          <w:color w:val="000000" w:themeColor="text1"/>
          <w:sz w:val="24"/>
          <w:szCs w:val="24"/>
          <w14:textFill>
            <w14:solidFill>
              <w14:schemeClr w14:val="tx1"/>
            </w14:solidFill>
          </w14:textFill>
        </w:rPr>
        <w:t>15. 缺陷责任期与保修</w:t>
      </w:r>
      <w:bookmarkEnd w:id="711"/>
    </w:p>
    <w:p w14:paraId="7D3EF8E4">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15.2缺陷责任期</w:t>
      </w:r>
      <w:bookmarkEnd w:id="712"/>
    </w:p>
    <w:p w14:paraId="73D24E0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缺陷责任期的具体期限：。</w:t>
      </w:r>
    </w:p>
    <w:p w14:paraId="2105EF25">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742" w:name="_Toc498419159"/>
      <w:bookmarkStart w:id="743" w:name="_Toc6117"/>
      <w:bookmarkStart w:id="744" w:name="_Toc23832"/>
      <w:bookmarkStart w:id="745" w:name="_Toc3816"/>
      <w:bookmarkStart w:id="746" w:name="_Toc4409"/>
      <w:bookmarkStart w:id="747" w:name="_Toc47099703"/>
      <w:bookmarkStart w:id="748" w:name="_Toc25742496"/>
      <w:r>
        <w:rPr>
          <w:rFonts w:hint="eastAsia" w:ascii="宋体" w:hAnsi="宋体" w:eastAsia="宋体" w:cs="宋体"/>
          <w:color w:val="000000" w:themeColor="text1"/>
          <w:sz w:val="24"/>
          <w14:textFill>
            <w14:solidFill>
              <w14:schemeClr w14:val="tx1"/>
            </w14:solidFill>
          </w14:textFill>
        </w:rPr>
        <w:t>15.3 质量保证金</w:t>
      </w:r>
      <w:bookmarkEnd w:id="742"/>
      <w:bookmarkEnd w:id="743"/>
      <w:bookmarkEnd w:id="744"/>
      <w:bookmarkEnd w:id="745"/>
      <w:bookmarkEnd w:id="746"/>
      <w:bookmarkEnd w:id="747"/>
      <w:bookmarkEnd w:id="748"/>
    </w:p>
    <w:p w14:paraId="2BAF7911">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关于是否扣留质量保证金的约定：。在工程项目竣工前，承包人按专用合同条款第3.7条提供履约担保的，发包人不得同时预留工程质量保证金。</w:t>
      </w:r>
    </w:p>
    <w:p w14:paraId="0BC148F7">
      <w:pPr>
        <w:spacing w:line="360" w:lineRule="auto"/>
        <w:ind w:firstLine="680" w:firstLineChars="200"/>
        <w:rPr>
          <w:rFonts w:hint="eastAsia" w:ascii="宋体" w:hAnsi="宋体" w:eastAsia="宋体" w:cs="宋体"/>
          <w:color w:val="000000" w:themeColor="text1"/>
          <w:szCs w:val="21"/>
          <w14:textFill>
            <w14:solidFill>
              <w14:schemeClr w14:val="tx1"/>
            </w14:solidFill>
          </w14:textFill>
        </w:rPr>
      </w:pPr>
    </w:p>
    <w:p w14:paraId="3A2B0566">
      <w:pPr>
        <w:spacing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749" w:name="_Toc498419160"/>
      <w:bookmarkStart w:id="750" w:name="_Toc11632"/>
      <w:bookmarkStart w:id="751" w:name="_Toc5038"/>
      <w:bookmarkStart w:id="752" w:name="_Toc25742497"/>
      <w:bookmarkStart w:id="753" w:name="_Toc6088"/>
      <w:bookmarkStart w:id="754" w:name="_Toc47099704"/>
      <w:bookmarkStart w:id="755" w:name="_Toc13578"/>
      <w:r>
        <w:rPr>
          <w:rFonts w:hint="eastAsia" w:ascii="宋体" w:hAnsi="宋体" w:eastAsia="宋体" w:cs="宋体"/>
          <w:color w:val="000000" w:themeColor="text1"/>
          <w:sz w:val="24"/>
          <w14:textFill>
            <w14:solidFill>
              <w14:schemeClr w14:val="tx1"/>
            </w14:solidFill>
          </w14:textFill>
        </w:rPr>
        <w:t>15.3.1 承包人提供质量保证金的方式</w:t>
      </w:r>
      <w:bookmarkEnd w:id="749"/>
      <w:bookmarkEnd w:id="750"/>
      <w:bookmarkEnd w:id="751"/>
      <w:bookmarkEnd w:id="752"/>
      <w:bookmarkEnd w:id="753"/>
      <w:bookmarkEnd w:id="754"/>
      <w:bookmarkEnd w:id="755"/>
    </w:p>
    <w:p w14:paraId="263140CB">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质量保证金采用以下第种方式：</w:t>
      </w:r>
    </w:p>
    <w:p w14:paraId="682C4456">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（1）质量保证金保函，保证金额为：； </w:t>
      </w:r>
    </w:p>
    <w:p w14:paraId="0652E0D3">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（2）%的工程款；</w:t>
      </w:r>
    </w:p>
    <w:p w14:paraId="7D0A2CF4">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（3）其他方式:。</w:t>
      </w:r>
    </w:p>
    <w:p w14:paraId="03942AE1">
      <w:pPr>
        <w:spacing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756" w:name="_Toc498419161"/>
      <w:bookmarkStart w:id="757" w:name="_Toc29032"/>
      <w:bookmarkStart w:id="758" w:name="_Toc11603"/>
      <w:bookmarkStart w:id="759" w:name="_Toc47099705"/>
      <w:bookmarkStart w:id="760" w:name="_Toc25742498"/>
      <w:bookmarkStart w:id="761" w:name="_Toc210"/>
      <w:bookmarkStart w:id="762" w:name="_Toc12264"/>
      <w:r>
        <w:rPr>
          <w:rFonts w:hint="eastAsia" w:ascii="宋体" w:hAnsi="宋体" w:eastAsia="宋体" w:cs="宋体"/>
          <w:color w:val="000000" w:themeColor="text1"/>
          <w:sz w:val="24"/>
          <w14:textFill>
            <w14:solidFill>
              <w14:schemeClr w14:val="tx1"/>
            </w14:solidFill>
          </w14:textFill>
        </w:rPr>
        <w:t>15.3.2 质量保证金的扣留</w:t>
      </w:r>
      <w:bookmarkEnd w:id="756"/>
      <w:bookmarkEnd w:id="757"/>
      <w:bookmarkEnd w:id="758"/>
      <w:bookmarkEnd w:id="759"/>
      <w:bookmarkEnd w:id="760"/>
      <w:bookmarkEnd w:id="761"/>
      <w:bookmarkEnd w:id="762"/>
    </w:p>
    <w:p w14:paraId="6EE88658">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质量保证金的扣留采取以下第种方式：</w:t>
      </w:r>
    </w:p>
    <w:p w14:paraId="6A18D9D7">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（1）在支付工程进度款时逐次扣留，在此情形下，质量保证金的计算基数不包括预付款的支付、扣回以及价格调整的金额；</w:t>
      </w:r>
    </w:p>
    <w:p w14:paraId="2B56F45C">
      <w:pPr>
        <w:autoSpaceDE w:val="0"/>
        <w:autoSpaceDN w:val="0"/>
        <w:adjustRightInd w:val="0"/>
        <w:spacing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763" w:name="_Toc498419162"/>
      <w:bookmarkStart w:id="764" w:name="_Toc25742499"/>
      <w:bookmarkStart w:id="765" w:name="_Toc12822"/>
      <w:bookmarkStart w:id="766" w:name="_Toc9227"/>
      <w:bookmarkStart w:id="767" w:name="_Toc3163"/>
      <w:bookmarkStart w:id="768" w:name="_Toc14639"/>
      <w:bookmarkStart w:id="769" w:name="_Toc47099706"/>
      <w:r>
        <w:rPr>
          <w:rFonts w:hint="eastAsia" w:ascii="宋体" w:hAnsi="宋体" w:eastAsia="宋体" w:cs="宋体"/>
          <w:color w:val="000000" w:themeColor="text1"/>
          <w:sz w:val="24"/>
          <w14:textFill>
            <w14:solidFill>
              <w14:schemeClr w14:val="tx1"/>
            </w14:solidFill>
          </w14:textFill>
        </w:rPr>
        <w:t>（2）工程竣工结算时一次性扣留质量保证金；</w:t>
      </w:r>
      <w:bookmarkEnd w:id="763"/>
      <w:bookmarkEnd w:id="764"/>
      <w:bookmarkEnd w:id="765"/>
      <w:bookmarkEnd w:id="766"/>
      <w:bookmarkEnd w:id="767"/>
      <w:bookmarkEnd w:id="768"/>
      <w:bookmarkEnd w:id="769"/>
    </w:p>
    <w:p w14:paraId="41EE9E56">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（3）其他扣留方式:。</w:t>
      </w:r>
    </w:p>
    <w:p w14:paraId="3C2088A7">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关于质量保证金的补充约定：。</w:t>
      </w:r>
    </w:p>
    <w:bookmarkEnd w:id="713"/>
    <w:bookmarkEnd w:id="714"/>
    <w:p w14:paraId="6572FAAA">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15.4保修</w:t>
      </w:r>
    </w:p>
    <w:bookmarkEnd w:id="715"/>
    <w:p w14:paraId="0CEA37D3">
      <w:pPr>
        <w:spacing w:line="360" w:lineRule="auto"/>
        <w:ind w:firstLine="468" w:firstLineChars="19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15.4.1 保修责任</w:t>
      </w:r>
    </w:p>
    <w:p w14:paraId="2144DCC5">
      <w:pPr>
        <w:spacing w:line="360" w:lineRule="auto"/>
        <w:ind w:firstLine="468" w:firstLineChars="19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工程保修期为：。</w:t>
      </w:r>
    </w:p>
    <w:p w14:paraId="3BDEBCC1">
      <w:pPr>
        <w:spacing w:line="360" w:lineRule="auto"/>
        <w:ind w:firstLine="468" w:firstLineChars="19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15.4.3 修复通知</w:t>
      </w:r>
    </w:p>
    <w:p w14:paraId="5CE9BA9F">
      <w:pPr>
        <w:spacing w:line="360" w:lineRule="auto"/>
        <w:ind w:firstLine="468" w:firstLineChars="195"/>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承包人收到保修通知并到达工程现场的合理时间：。</w:t>
      </w:r>
    </w:p>
    <w:bookmarkEnd w:id="716"/>
    <w:bookmarkEnd w:id="717"/>
    <w:bookmarkEnd w:id="718"/>
    <w:bookmarkEnd w:id="719"/>
    <w:p w14:paraId="3CB7CAAA">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770" w:name="_Toc351203648"/>
      <w:bookmarkStart w:id="771" w:name="_Toc280868717"/>
      <w:bookmarkStart w:id="772" w:name="_Toc280868718"/>
      <w:r>
        <w:rPr>
          <w:rFonts w:hint="eastAsia" w:ascii="宋体" w:hAnsi="宋体" w:eastAsia="宋体" w:cs="宋体"/>
          <w:b w:val="0"/>
          <w:color w:val="000000" w:themeColor="text1"/>
          <w:sz w:val="24"/>
          <w:szCs w:val="24"/>
          <w14:textFill>
            <w14:solidFill>
              <w14:schemeClr w14:val="tx1"/>
            </w14:solidFill>
          </w14:textFill>
        </w:rPr>
        <w:t>16. 违约</w:t>
      </w:r>
      <w:bookmarkEnd w:id="770"/>
    </w:p>
    <w:p w14:paraId="123515C0">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773" w:name="_Toc31270"/>
      <w:bookmarkStart w:id="774" w:name="_Toc26893"/>
      <w:bookmarkStart w:id="775" w:name="_Toc4683"/>
      <w:bookmarkStart w:id="776" w:name="_Toc20730"/>
      <w:bookmarkStart w:id="777" w:name="_Toc47099707"/>
      <w:bookmarkStart w:id="778" w:name="_Toc25742500"/>
      <w:bookmarkStart w:id="779" w:name="_Toc498419163"/>
      <w:r>
        <w:rPr>
          <w:rFonts w:hint="eastAsia" w:ascii="宋体" w:hAnsi="宋体" w:eastAsia="宋体" w:cs="宋体"/>
          <w:color w:val="000000" w:themeColor="text1"/>
          <w:sz w:val="24"/>
          <w14:textFill>
            <w14:solidFill>
              <w14:schemeClr w14:val="tx1"/>
            </w14:solidFill>
          </w14:textFill>
        </w:rPr>
        <w:t>16.1 发包人违约</w:t>
      </w:r>
      <w:bookmarkEnd w:id="773"/>
      <w:bookmarkEnd w:id="774"/>
      <w:bookmarkEnd w:id="775"/>
      <w:bookmarkEnd w:id="776"/>
      <w:bookmarkEnd w:id="777"/>
      <w:bookmarkEnd w:id="778"/>
      <w:bookmarkEnd w:id="779"/>
    </w:p>
    <w:p w14:paraId="77C8160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16.1.1发包人违约的情形</w:t>
      </w:r>
    </w:p>
    <w:p w14:paraId="0B72DEF1">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发包人违约的其他情形：。</w:t>
      </w:r>
    </w:p>
    <w:p w14:paraId="31691EC5">
      <w:pPr>
        <w:spacing w:line="360" w:lineRule="auto"/>
        <w:ind w:left="1200" w:hanging="1200" w:hangingChars="5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16.1.2 发包人违约的责任</w:t>
      </w:r>
    </w:p>
    <w:p w14:paraId="4C91E6D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发包人违约责任的承担方式和计算方法：</w:t>
      </w:r>
    </w:p>
    <w:p w14:paraId="5A452BF4">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（1）因发包人原因未能在计划开工日期前7天内下达开工通知的违约责任：。</w:t>
      </w:r>
    </w:p>
    <w:p w14:paraId="2E0815C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（2）因发包人原因未能按合同约定支付合同价款的违约责任：。</w:t>
      </w:r>
    </w:p>
    <w:p w14:paraId="3D534EAF">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（3）发包人违反第10.1款〔变更的范围〕第（2）项约定，自行实施被取消的工作或转由他人实施的违约责任：。</w:t>
      </w:r>
    </w:p>
    <w:p w14:paraId="27271492">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（4）发包人提供的材料、工程设备的规格、数量或质量不符合合同约定，或因发包人原因导致交货日期延误或交货地点变更等情况的违约责任：。</w:t>
      </w:r>
    </w:p>
    <w:p w14:paraId="7CC52892">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（5）因发包人违反合同约定造成暂停施工的违约责任：。</w:t>
      </w:r>
    </w:p>
    <w:p w14:paraId="5AE591D3">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（6）发包人无正当理由没有在约定期限内发出复工指示，导致承包人无法复工的违约责任：。</w:t>
      </w:r>
    </w:p>
    <w:p w14:paraId="0D97376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（7）其他：。</w:t>
      </w:r>
    </w:p>
    <w:p w14:paraId="04E9FD3A">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16.1.3 因发包人违约解除合同</w:t>
      </w:r>
    </w:p>
    <w:p w14:paraId="27A3387B">
      <w:pPr>
        <w:autoSpaceDE w:val="0"/>
        <w:autoSpaceDN w:val="0"/>
        <w:adjustRightInd w:val="0"/>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承包人按16.1.1项〔发包人违约的情形〕约定暂停施工满天后发包人仍不纠正其违约行为并致使合同目的不能实现的，承包人有权解除合同。</w:t>
      </w:r>
    </w:p>
    <w:p w14:paraId="38DE6A39">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780" w:name="_Toc31947"/>
      <w:bookmarkStart w:id="781" w:name="_Toc12608"/>
      <w:bookmarkStart w:id="782" w:name="_Toc32120"/>
      <w:bookmarkStart w:id="783" w:name="_Toc47099708"/>
      <w:bookmarkStart w:id="784" w:name="_Toc9984"/>
      <w:bookmarkStart w:id="785" w:name="_Toc498419164"/>
      <w:bookmarkStart w:id="786" w:name="_Toc25742501"/>
      <w:r>
        <w:rPr>
          <w:rFonts w:hint="eastAsia" w:ascii="宋体" w:hAnsi="宋体" w:eastAsia="宋体" w:cs="宋体"/>
          <w:color w:val="000000" w:themeColor="text1"/>
          <w:sz w:val="24"/>
          <w14:textFill>
            <w14:solidFill>
              <w14:schemeClr w14:val="tx1"/>
            </w14:solidFill>
          </w14:textFill>
        </w:rPr>
        <w:t>16.2 承包人违约</w:t>
      </w:r>
      <w:bookmarkEnd w:id="780"/>
      <w:bookmarkEnd w:id="781"/>
      <w:bookmarkEnd w:id="782"/>
      <w:bookmarkEnd w:id="783"/>
      <w:bookmarkEnd w:id="784"/>
      <w:bookmarkEnd w:id="785"/>
      <w:bookmarkEnd w:id="786"/>
    </w:p>
    <w:p w14:paraId="4133BCD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16.2.1 承包人违约的情形</w:t>
      </w:r>
    </w:p>
    <w:p w14:paraId="2CB30E01">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承包人违约的其他情形：。</w:t>
      </w:r>
    </w:p>
    <w:p w14:paraId="44838B6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16.2.2承包人违约的责任</w:t>
      </w:r>
    </w:p>
    <w:p w14:paraId="3E20B802">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承包人违约责任的承担方式和计算方法：。    </w:t>
      </w:r>
    </w:p>
    <w:p w14:paraId="1D4F6C5F">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16.2.3 因承包人违约解除合同</w:t>
      </w:r>
    </w:p>
    <w:p w14:paraId="0B079AB9">
      <w:pPr>
        <w:spacing w:before="120"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关于承包人违约解除合同的特别约定：。</w:t>
      </w:r>
    </w:p>
    <w:p w14:paraId="5B805290">
      <w:pPr>
        <w:spacing w:before="120"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发包人继续使用承包人在施工现场的材料、设备、临时工程、承包人文件和由承包人或以其名义编制的其他文件的费用承担方式：。</w:t>
      </w:r>
    </w:p>
    <w:p w14:paraId="0560581D">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787" w:name="_Toc351203649"/>
      <w:r>
        <w:rPr>
          <w:rFonts w:hint="eastAsia" w:ascii="宋体" w:hAnsi="宋体" w:eastAsia="宋体" w:cs="宋体"/>
          <w:b w:val="0"/>
          <w:color w:val="000000" w:themeColor="text1"/>
          <w:sz w:val="24"/>
          <w:szCs w:val="24"/>
          <w14:textFill>
            <w14:solidFill>
              <w14:schemeClr w14:val="tx1"/>
            </w14:solidFill>
          </w14:textFill>
        </w:rPr>
        <w:t>17. 不可抗力</w:t>
      </w:r>
      <w:bookmarkEnd w:id="771"/>
      <w:bookmarkEnd w:id="787"/>
    </w:p>
    <w:p w14:paraId="1D98ADA5">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17.1 不可抗力的确认</w:t>
      </w:r>
    </w:p>
    <w:p w14:paraId="2AFBA33C">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除通用合同条款约定的不可抗力事件之外，视为不可抗力的其他情形： 。</w:t>
      </w:r>
    </w:p>
    <w:p w14:paraId="1F9C2D6B">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788" w:name="_Toc27247"/>
      <w:bookmarkStart w:id="789" w:name="_Toc19509"/>
      <w:bookmarkStart w:id="790" w:name="_Toc18684"/>
      <w:bookmarkStart w:id="791" w:name="_Toc47099709"/>
      <w:bookmarkStart w:id="792" w:name="_Toc498419165"/>
      <w:bookmarkStart w:id="793" w:name="_Toc22834"/>
      <w:bookmarkStart w:id="794" w:name="_Toc25742502"/>
      <w:r>
        <w:rPr>
          <w:rFonts w:hint="eastAsia" w:ascii="宋体" w:hAnsi="宋体" w:eastAsia="宋体" w:cs="宋体"/>
          <w:color w:val="000000" w:themeColor="text1"/>
          <w:sz w:val="24"/>
          <w14:textFill>
            <w14:solidFill>
              <w14:schemeClr w14:val="tx1"/>
            </w14:solidFill>
          </w14:textFill>
        </w:rPr>
        <w:t>17.4 因不可抗力解除合同</w:t>
      </w:r>
      <w:bookmarkEnd w:id="788"/>
      <w:bookmarkEnd w:id="789"/>
      <w:bookmarkEnd w:id="790"/>
      <w:bookmarkEnd w:id="791"/>
      <w:bookmarkEnd w:id="792"/>
      <w:bookmarkEnd w:id="793"/>
      <w:bookmarkEnd w:id="794"/>
    </w:p>
    <w:p w14:paraId="787F6372">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合同解除后，发包人应在商定或确定发包人应支付款项后天内完成款项的支付。</w:t>
      </w:r>
    </w:p>
    <w:p w14:paraId="1647AAA9">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795" w:name="_Toc351203650"/>
      <w:r>
        <w:rPr>
          <w:rFonts w:hint="eastAsia" w:ascii="宋体" w:hAnsi="宋体" w:eastAsia="宋体" w:cs="宋体"/>
          <w:b w:val="0"/>
          <w:color w:val="000000" w:themeColor="text1"/>
          <w:sz w:val="24"/>
          <w:szCs w:val="24"/>
          <w14:textFill>
            <w14:solidFill>
              <w14:schemeClr w14:val="tx1"/>
            </w14:solidFill>
          </w14:textFill>
        </w:rPr>
        <w:t>18. 保险</w:t>
      </w:r>
      <w:bookmarkEnd w:id="795"/>
    </w:p>
    <w:bookmarkEnd w:id="772"/>
    <w:p w14:paraId="5A9CFDD7">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18.1 工程保险</w:t>
      </w:r>
    </w:p>
    <w:p w14:paraId="1BC8EBF5">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关于工程保险的特别约定：。</w:t>
      </w:r>
    </w:p>
    <w:p w14:paraId="5C4C75FA">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796" w:name="_Toc20282"/>
      <w:bookmarkStart w:id="797" w:name="_Toc47099710"/>
      <w:bookmarkStart w:id="798" w:name="_Toc25193"/>
      <w:bookmarkStart w:id="799" w:name="_Toc14377"/>
      <w:bookmarkStart w:id="800" w:name="_Toc25742503"/>
      <w:bookmarkStart w:id="801" w:name="_Toc498419166"/>
      <w:bookmarkStart w:id="802" w:name="_Toc28048"/>
      <w:r>
        <w:rPr>
          <w:rFonts w:hint="eastAsia" w:ascii="宋体" w:hAnsi="宋体" w:eastAsia="宋体" w:cs="宋体"/>
          <w:color w:val="000000" w:themeColor="text1"/>
          <w:sz w:val="24"/>
          <w14:textFill>
            <w14:solidFill>
              <w14:schemeClr w14:val="tx1"/>
            </w14:solidFill>
          </w14:textFill>
        </w:rPr>
        <w:t>18.3 其他保险</w:t>
      </w:r>
      <w:bookmarkEnd w:id="796"/>
      <w:bookmarkEnd w:id="797"/>
      <w:bookmarkEnd w:id="798"/>
      <w:bookmarkEnd w:id="799"/>
      <w:bookmarkEnd w:id="800"/>
      <w:bookmarkEnd w:id="801"/>
      <w:bookmarkEnd w:id="802"/>
    </w:p>
    <w:p w14:paraId="5F14F6AA">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关于其他保险的约定：。</w:t>
      </w:r>
    </w:p>
    <w:p w14:paraId="11336280">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承包人是否应为其施工设备等办理财产保险：。</w:t>
      </w:r>
    </w:p>
    <w:p w14:paraId="16C4132E">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18.7 通知义务</w:t>
      </w:r>
    </w:p>
    <w:p w14:paraId="7D73F6DC">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关于变更保险合同时的通知义务的约定：。</w:t>
      </w:r>
    </w:p>
    <w:bookmarkEnd w:id="720"/>
    <w:bookmarkEnd w:id="721"/>
    <w:bookmarkEnd w:id="722"/>
    <w:bookmarkEnd w:id="723"/>
    <w:bookmarkEnd w:id="724"/>
    <w:bookmarkEnd w:id="725"/>
    <w:bookmarkEnd w:id="726"/>
    <w:bookmarkEnd w:id="727"/>
    <w:bookmarkEnd w:id="728"/>
    <w:bookmarkEnd w:id="729"/>
    <w:bookmarkEnd w:id="730"/>
    <w:bookmarkEnd w:id="731"/>
    <w:p w14:paraId="14036ABF">
      <w:pPr>
        <w:pStyle w:val="5"/>
        <w:spacing w:before="120" w:after="120" w:line="360" w:lineRule="auto"/>
        <w:rPr>
          <w:rFonts w:hint="eastAsia" w:ascii="宋体" w:hAnsi="宋体" w:eastAsia="宋体" w:cs="宋体"/>
          <w:b w:val="0"/>
          <w:color w:val="000000" w:themeColor="text1"/>
          <w:sz w:val="24"/>
          <w:szCs w:val="24"/>
          <w14:textFill>
            <w14:solidFill>
              <w14:schemeClr w14:val="tx1"/>
            </w14:solidFill>
          </w14:textFill>
        </w:rPr>
      </w:pPr>
      <w:bookmarkStart w:id="803" w:name="_Toc351203651"/>
      <w:r>
        <w:rPr>
          <w:rFonts w:hint="eastAsia" w:ascii="宋体" w:hAnsi="宋体" w:eastAsia="宋体" w:cs="宋体"/>
          <w:b w:val="0"/>
          <w:color w:val="000000" w:themeColor="text1"/>
          <w:sz w:val="24"/>
          <w:szCs w:val="24"/>
          <w14:textFill>
            <w14:solidFill>
              <w14:schemeClr w14:val="tx1"/>
            </w14:solidFill>
          </w14:textFill>
        </w:rPr>
        <w:t>20. 争议解决</w:t>
      </w:r>
      <w:bookmarkEnd w:id="803"/>
    </w:p>
    <w:bookmarkEnd w:id="732"/>
    <w:bookmarkEnd w:id="733"/>
    <w:p w14:paraId="35DB5DC7">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804" w:name="_Toc498419167"/>
      <w:bookmarkStart w:id="805" w:name="_Toc25742504"/>
      <w:bookmarkStart w:id="806" w:name="_Toc15178"/>
      <w:bookmarkStart w:id="807" w:name="_Toc47099711"/>
      <w:bookmarkStart w:id="808" w:name="_Toc26048"/>
      <w:bookmarkStart w:id="809" w:name="_Toc6958"/>
      <w:bookmarkStart w:id="810" w:name="_Toc14557"/>
      <w:r>
        <w:rPr>
          <w:rFonts w:hint="eastAsia" w:ascii="宋体" w:hAnsi="宋体" w:eastAsia="宋体" w:cs="宋体"/>
          <w:color w:val="000000" w:themeColor="text1"/>
          <w:sz w:val="24"/>
          <w14:textFill>
            <w14:solidFill>
              <w14:schemeClr w14:val="tx1"/>
            </w14:solidFill>
          </w14:textFill>
        </w:rPr>
        <w:t>20.3 争</w:t>
      </w:r>
      <w:bookmarkEnd w:id="734"/>
      <w:r>
        <w:rPr>
          <w:rFonts w:hint="eastAsia" w:ascii="宋体" w:hAnsi="宋体" w:eastAsia="宋体" w:cs="宋体"/>
          <w:color w:val="000000" w:themeColor="text1"/>
          <w:sz w:val="24"/>
          <w14:textFill>
            <w14:solidFill>
              <w14:schemeClr w14:val="tx1"/>
            </w14:solidFill>
          </w14:textFill>
        </w:rPr>
        <w:t>议评审</w:t>
      </w:r>
      <w:bookmarkEnd w:id="804"/>
      <w:bookmarkEnd w:id="805"/>
      <w:bookmarkEnd w:id="806"/>
      <w:bookmarkEnd w:id="807"/>
      <w:bookmarkEnd w:id="808"/>
      <w:bookmarkEnd w:id="809"/>
      <w:bookmarkEnd w:id="810"/>
    </w:p>
    <w:p w14:paraId="3BADB9D1">
      <w:pPr>
        <w:spacing w:line="360" w:lineRule="auto"/>
        <w:ind w:left="241" w:leftChars="71" w:firstLine="360" w:firstLineChars="15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合同当事人是否同意将工程争议提交争议评审小组决定：。  </w:t>
      </w:r>
    </w:p>
    <w:p w14:paraId="1894D872">
      <w:pPr>
        <w:spacing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811" w:name="_Toc7438"/>
      <w:bookmarkStart w:id="812" w:name="_Toc498419168"/>
      <w:bookmarkStart w:id="813" w:name="_Toc25742505"/>
      <w:bookmarkStart w:id="814" w:name="_Toc13804"/>
      <w:bookmarkStart w:id="815" w:name="_Toc31449"/>
      <w:bookmarkStart w:id="816" w:name="_Toc6352"/>
      <w:bookmarkStart w:id="817" w:name="_Toc47099712"/>
      <w:r>
        <w:rPr>
          <w:rFonts w:hint="eastAsia" w:ascii="宋体" w:hAnsi="宋体" w:eastAsia="宋体" w:cs="宋体"/>
          <w:color w:val="000000" w:themeColor="text1"/>
          <w:sz w:val="24"/>
          <w14:textFill>
            <w14:solidFill>
              <w14:schemeClr w14:val="tx1"/>
            </w14:solidFill>
          </w14:textFill>
        </w:rPr>
        <w:t>20.3.1 争议评审小组的确定</w:t>
      </w:r>
      <w:bookmarkEnd w:id="811"/>
      <w:bookmarkEnd w:id="812"/>
      <w:bookmarkEnd w:id="813"/>
      <w:bookmarkEnd w:id="814"/>
      <w:bookmarkEnd w:id="815"/>
      <w:bookmarkEnd w:id="816"/>
      <w:bookmarkEnd w:id="817"/>
    </w:p>
    <w:p w14:paraId="67C4BA97">
      <w:pPr>
        <w:spacing w:line="360" w:lineRule="auto"/>
        <w:ind w:firstLine="480" w:firstLineChars="200"/>
        <w:rPr>
          <w:rFonts w:hint="eastAsia"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争议评审小组成员的确定：。</w:t>
      </w:r>
    </w:p>
    <w:p w14:paraId="57B5C6A0">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选定争议评审员的期限：。</w:t>
      </w:r>
    </w:p>
    <w:p w14:paraId="7B85EFA2">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争议评审小组成员的报酬承担方式：。</w:t>
      </w:r>
    </w:p>
    <w:p w14:paraId="556B02DF">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其他事项的约定：。</w:t>
      </w:r>
    </w:p>
    <w:p w14:paraId="1FBC0BCC">
      <w:pPr>
        <w:autoSpaceDE w:val="0"/>
        <w:autoSpaceDN w:val="0"/>
        <w:adjustRightInd w:val="0"/>
        <w:spacing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818" w:name="_Toc22161"/>
      <w:bookmarkStart w:id="819" w:name="_Toc47099713"/>
      <w:bookmarkStart w:id="820" w:name="_Toc25742506"/>
      <w:bookmarkStart w:id="821" w:name="_Toc11408"/>
      <w:bookmarkStart w:id="822" w:name="_Toc7974"/>
      <w:bookmarkStart w:id="823" w:name="_Toc498419169"/>
      <w:bookmarkStart w:id="824" w:name="_Toc19264"/>
      <w:r>
        <w:rPr>
          <w:rFonts w:hint="eastAsia" w:ascii="宋体" w:hAnsi="宋体" w:eastAsia="宋体" w:cs="宋体"/>
          <w:color w:val="000000" w:themeColor="text1"/>
          <w:sz w:val="24"/>
          <w14:textFill>
            <w14:solidFill>
              <w14:schemeClr w14:val="tx1"/>
            </w14:solidFill>
          </w14:textFill>
        </w:rPr>
        <w:t>20.3.2 争议评审小组的决定</w:t>
      </w:r>
      <w:bookmarkEnd w:id="818"/>
      <w:bookmarkEnd w:id="819"/>
      <w:bookmarkEnd w:id="820"/>
      <w:bookmarkEnd w:id="821"/>
      <w:bookmarkEnd w:id="822"/>
      <w:bookmarkEnd w:id="823"/>
      <w:bookmarkEnd w:id="824"/>
    </w:p>
    <w:p w14:paraId="118DB904">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合同当事人关于本项的约定：。</w:t>
      </w:r>
    </w:p>
    <w:p w14:paraId="64BD05F6">
      <w:pPr>
        <w:spacing w:after="120" w:line="360" w:lineRule="auto"/>
        <w:ind w:firstLine="480" w:firstLineChars="200"/>
        <w:outlineLvl w:val="0"/>
        <w:rPr>
          <w:rFonts w:hint="eastAsia" w:ascii="宋体" w:hAnsi="宋体" w:eastAsia="宋体" w:cs="宋体"/>
          <w:color w:val="000000" w:themeColor="text1"/>
          <w:sz w:val="24"/>
          <w14:textFill>
            <w14:solidFill>
              <w14:schemeClr w14:val="tx1"/>
            </w14:solidFill>
          </w14:textFill>
        </w:rPr>
      </w:pPr>
      <w:bookmarkStart w:id="825" w:name="_Toc47099714"/>
      <w:bookmarkStart w:id="826" w:name="_Toc30709"/>
      <w:bookmarkStart w:id="827" w:name="_Toc23881"/>
      <w:bookmarkStart w:id="828" w:name="_Toc27858"/>
      <w:bookmarkStart w:id="829" w:name="_Toc20711"/>
      <w:bookmarkStart w:id="830" w:name="_Toc498419170"/>
      <w:bookmarkStart w:id="831" w:name="_Toc25742507"/>
      <w:r>
        <w:rPr>
          <w:rFonts w:hint="eastAsia" w:ascii="宋体" w:hAnsi="宋体" w:eastAsia="宋体" w:cs="宋体"/>
          <w:color w:val="000000" w:themeColor="text1"/>
          <w:sz w:val="24"/>
          <w14:textFill>
            <w14:solidFill>
              <w14:schemeClr w14:val="tx1"/>
            </w14:solidFill>
          </w14:textFill>
        </w:rPr>
        <w:t>20.4仲裁或诉讼</w:t>
      </w:r>
      <w:bookmarkEnd w:id="735"/>
      <w:bookmarkEnd w:id="825"/>
      <w:bookmarkEnd w:id="826"/>
      <w:bookmarkEnd w:id="827"/>
      <w:bookmarkEnd w:id="828"/>
      <w:bookmarkEnd w:id="829"/>
      <w:bookmarkEnd w:id="830"/>
      <w:bookmarkEnd w:id="831"/>
    </w:p>
    <w:p w14:paraId="6D408EE6">
      <w:pPr>
        <w:spacing w:after="120"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因合同及合同有关事项发生的争议，按下列第种方式解决：</w:t>
      </w:r>
    </w:p>
    <w:p w14:paraId="12DF5CEA">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（1）向仲裁委员会申请仲裁；</w:t>
      </w:r>
    </w:p>
    <w:p w14:paraId="59631F6D">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（2）向人民法院起诉。</w:t>
      </w:r>
      <w:bookmarkEnd w:id="736"/>
      <w:bookmarkEnd w:id="737"/>
      <w:bookmarkEnd w:id="738"/>
      <w:bookmarkEnd w:id="739"/>
      <w:bookmarkEnd w:id="740"/>
      <w:bookmarkEnd w:id="741"/>
    </w:p>
    <w:p w14:paraId="7AF22C98">
      <w:bookmarkStart w:id="832" w:name="_GoBack"/>
      <w:bookmarkEnd w:id="83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185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1"/>
    <w:basedOn w:val="1"/>
    <w:next w:val="1"/>
    <w:qFormat/>
    <w:uiPriority w:val="9"/>
    <w:pPr>
      <w:keepNext/>
      <w:keepLines/>
      <w:autoSpaceDE w:val="0"/>
      <w:autoSpaceDN w:val="0"/>
      <w:adjustRightInd w:val="0"/>
      <w:spacing w:before="240" w:after="120" w:line="300" w:lineRule="auto"/>
      <w:jc w:val="center"/>
      <w:outlineLvl w:val="0"/>
    </w:pPr>
    <w:rPr>
      <w:b/>
      <w:kern w:val="44"/>
      <w:sz w:val="32"/>
    </w:rPr>
  </w:style>
  <w:style w:type="paragraph" w:styleId="4">
    <w:name w:val="heading 3"/>
    <w:basedOn w:val="1"/>
    <w:next w:val="1"/>
    <w:qFormat/>
    <w:uiPriority w:val="0"/>
    <w:pPr>
      <w:keepNext/>
      <w:keepLines/>
      <w:widowControl/>
      <w:spacing w:before="260" w:after="260" w:line="413" w:lineRule="auto"/>
      <w:jc w:val="left"/>
      <w:outlineLvl w:val="2"/>
    </w:pPr>
    <w:rPr>
      <w:rFonts w:ascii="Times New Roman"/>
      <w:b/>
      <w:bCs/>
      <w:sz w:val="32"/>
      <w:szCs w:val="32"/>
    </w:rPr>
  </w:style>
  <w:style w:type="paragraph" w:styleId="5">
    <w:name w:val="heading 4"/>
    <w:basedOn w:val="1"/>
    <w:next w:val="1"/>
    <w:qFormat/>
    <w:uiPriority w:val="9"/>
    <w:pPr>
      <w:keepNext/>
      <w:keepLines/>
      <w:spacing w:before="280" w:after="290" w:line="372" w:lineRule="auto"/>
      <w:outlineLvl w:val="3"/>
    </w:pPr>
    <w:rPr>
      <w:rFonts w:ascii="Arial" w:hAnsi="Arial" w:eastAsia="黑体"/>
      <w:b/>
      <w:bCs/>
      <w:kern w:val="2"/>
      <w:sz w:val="28"/>
      <w:szCs w:val="28"/>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autoSpaceDE w:val="0"/>
      <w:autoSpaceDN w:val="0"/>
      <w:adjustRightInd w:val="0"/>
      <w:ind w:firstLine="420"/>
      <w:jc w:val="left"/>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2025-05-14T03:53:05Z</dcterms:created>
  <dc:creator>Administrator</dc:creator>
  <cp:lastModifiedBy>溙亰</cp:lastModifiedBy>
  <dcterms:modified xsi:type="dcterms:W3CDTF">2025-05-14T03:53:11Z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eyJoZGlkIjoiZDY3MzRiNjJjOTBiNTY1MjhhMTJhZTI0MWRhNWIzMzIiLCJ1c2VySWQiOiIyMDUwOTkwNjQifQ==</vt:lpwstr>
  </property>
  <property fmtid="{D5CDD505-2E9C-101B-9397-08002B2CF9AE}" pid="4" name="ICV">
    <vt:lpwstr>6AA5F03BFCBE4299BF2B82FAC8A7A4F2_12</vt:lpwstr>
  </property>
</Properties>
</file>