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A5288">
      <w:pPr>
        <w:jc w:val="left"/>
        <w:outlineLvl w:val="2"/>
      </w:pPr>
      <w:bookmarkStart w:id="0" w:name="_Toc1499967141"/>
      <w:bookmarkStart w:id="1" w:name="_Toc1583624870"/>
      <w:r>
        <w:rPr>
          <w:rFonts w:hint="eastAsia"/>
          <w:lang w:val="en-US" w:eastAsia="zh-CN"/>
        </w:rPr>
        <w:t>3</w:t>
      </w:r>
      <w:r>
        <w:rPr>
          <w:rFonts w:hint="eastAsia"/>
        </w:rPr>
        <w:t>包（监理）</w:t>
      </w:r>
      <w:bookmarkEnd w:id="0"/>
      <w:bookmarkEnd w:id="1"/>
    </w:p>
    <w:p w14:paraId="0C4161A9">
      <w:pPr>
        <w:keepNext/>
        <w:keepLines/>
        <w:widowControl w:val="0"/>
        <w:tabs>
          <w:tab w:val="left" w:pos="425"/>
        </w:tabs>
        <w:spacing w:before="0" w:beforeLines="0" w:beforeAutospacing="0" w:after="0" w:afterLines="0" w:afterAutospacing="0" w:line="440" w:lineRule="exact"/>
        <w:jc w:val="both"/>
        <w:outlineLvl w:val="3"/>
        <w:rPr>
          <w:rFonts w:ascii="Times New Roman" w:hAnsi="Times New Roman" w:eastAsia="宋体" w:cs="Times New Roman"/>
          <w:b/>
          <w:kern w:val="44"/>
          <w:sz w:val="24"/>
          <w:szCs w:val="24"/>
          <w:lang w:val="en-US" w:eastAsia="zh-CN" w:bidi="ar-SA"/>
        </w:rPr>
      </w:pPr>
      <w:bookmarkStart w:id="4" w:name="_GoBack"/>
      <w:bookmarkEnd w:id="4"/>
      <w:bookmarkStart w:id="2" w:name="_Toc824814119"/>
      <w:bookmarkStart w:id="3" w:name="_Toc413014450"/>
      <w:r>
        <w:rPr>
          <w:rFonts w:ascii="等线" w:hAnsi="等线" w:eastAsia="等线" w:cs="Times New Roman"/>
          <w:b/>
          <w:kern w:val="44"/>
          <w:sz w:val="24"/>
          <w:szCs w:val="24"/>
          <w:lang w:val="en-US" w:eastAsia="zh-CN" w:bidi="ar-SA"/>
        </w:rPr>
        <w:t>一、项目概况</w:t>
      </w:r>
    </w:p>
    <w:p w14:paraId="13D8D405">
      <w:pPr>
        <w:widowControl w:val="0"/>
        <w:spacing w:beforeLines="0" w:afterLines="0" w:line="440" w:lineRule="exact"/>
        <w:ind w:firstLine="488" w:firstLineChars="200"/>
        <w:jc w:val="both"/>
        <w:rPr>
          <w:rFonts w:hint="eastAsia"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（一）</w:t>
      </w:r>
      <w:r>
        <w:rPr>
          <w:rFonts w:ascii="宋体" w:hAnsi="宋体" w:eastAsia="宋体" w:cs="宋体"/>
          <w:spacing w:val="2"/>
          <w:kern w:val="2"/>
          <w:sz w:val="24"/>
          <w:szCs w:val="24"/>
          <w:lang w:val="en-US" w:eastAsia="zh-CN" w:bidi="ar-SA"/>
        </w:rPr>
        <w:t>项目名称：</w:t>
      </w:r>
      <w:r>
        <w:rPr>
          <w:rFonts w:hint="eastAsia" w:ascii="宋体" w:hAnsi="宋体" w:eastAsia="宋体" w:cs="宋体"/>
          <w:spacing w:val="2"/>
          <w:kern w:val="2"/>
          <w:sz w:val="24"/>
          <w:szCs w:val="24"/>
          <w:lang w:val="en-US" w:eastAsia="zh-CN" w:bidi="ar-SA"/>
        </w:rPr>
        <w:t>海南省人力资源开发局业务系统国产化替代改造（2024年）项目</w:t>
      </w:r>
      <w:r>
        <w:rPr>
          <w:rFonts w:ascii="宋体" w:hAnsi="宋体" w:eastAsia="宋体" w:cs="宋体"/>
          <w:spacing w:val="2"/>
          <w:kern w:val="2"/>
          <w:sz w:val="24"/>
          <w:szCs w:val="24"/>
          <w:lang w:val="en-US" w:eastAsia="zh-CN" w:bidi="ar-SA"/>
        </w:rPr>
        <w:t>（监理</w:t>
      </w:r>
      <w:r>
        <w:rPr>
          <w:rFonts w:hint="eastAsia" w:ascii="宋体" w:hAnsi="宋体" w:eastAsia="宋体" w:cs="宋体"/>
          <w:spacing w:val="2"/>
          <w:kern w:val="2"/>
          <w:sz w:val="24"/>
          <w:szCs w:val="24"/>
          <w:lang w:val="en-US" w:eastAsia="zh-CN" w:bidi="ar-SA"/>
        </w:rPr>
        <w:t>服务</w:t>
      </w:r>
      <w:r>
        <w:rPr>
          <w:rFonts w:ascii="宋体" w:hAnsi="宋体" w:eastAsia="宋体" w:cs="宋体"/>
          <w:spacing w:val="2"/>
          <w:kern w:val="2"/>
          <w:sz w:val="24"/>
          <w:szCs w:val="24"/>
          <w:lang w:val="en-US" w:eastAsia="zh-CN" w:bidi="ar-SA"/>
        </w:rPr>
        <w:t>）</w:t>
      </w:r>
      <w:r>
        <w:rPr>
          <w:rFonts w:hint="eastAsia" w:ascii="宋体" w:hAnsi="宋体" w:eastAsia="宋体" w:cs="宋体"/>
          <w:spacing w:val="2"/>
          <w:kern w:val="2"/>
          <w:sz w:val="24"/>
          <w:szCs w:val="24"/>
          <w:lang w:val="en-US" w:eastAsia="zh-CN" w:bidi="ar-SA"/>
        </w:rPr>
        <w:t>；</w:t>
      </w:r>
    </w:p>
    <w:p w14:paraId="122573E0">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hint="eastAsia" w:ascii="宋体" w:hAnsi="宋体" w:eastAsia="宋体" w:cs="宋体"/>
          <w:spacing w:val="2"/>
          <w:kern w:val="2"/>
          <w:sz w:val="24"/>
          <w:szCs w:val="24"/>
          <w:lang w:val="en-US" w:eastAsia="zh-CN" w:bidi="ar-SA"/>
        </w:rPr>
        <w:t>（二）</w:t>
      </w:r>
      <w:r>
        <w:rPr>
          <w:rFonts w:ascii="宋体" w:hAnsi="宋体" w:eastAsia="宋体" w:cs="宋体"/>
          <w:spacing w:val="2"/>
          <w:kern w:val="2"/>
          <w:sz w:val="24"/>
          <w:szCs w:val="24"/>
          <w:lang w:val="en-US" w:eastAsia="zh-CN" w:bidi="ar-SA"/>
        </w:rPr>
        <w:t>项目地点：</w:t>
      </w:r>
      <w:r>
        <w:rPr>
          <w:rFonts w:hint="eastAsia" w:ascii="宋体" w:hAnsi="宋体" w:eastAsia="宋体" w:cs="宋体"/>
          <w:spacing w:val="2"/>
          <w:kern w:val="2"/>
          <w:sz w:val="24"/>
          <w:szCs w:val="24"/>
          <w:lang w:val="en-US" w:eastAsia="zh-CN" w:bidi="ar-SA"/>
        </w:rPr>
        <w:t>海南省海口市海南省人力资源开发局。</w:t>
      </w:r>
    </w:p>
    <w:p w14:paraId="7673AD85">
      <w:pPr>
        <w:keepNext/>
        <w:keepLines/>
        <w:widowControl w:val="0"/>
        <w:tabs>
          <w:tab w:val="left" w:pos="425"/>
        </w:tabs>
        <w:spacing w:before="0" w:beforeLines="0" w:beforeAutospacing="0" w:after="0" w:afterLines="0" w:afterAutospacing="0" w:line="440" w:lineRule="exact"/>
        <w:jc w:val="both"/>
        <w:outlineLvl w:val="3"/>
        <w:rPr>
          <w:rFonts w:ascii="等线" w:hAnsi="等线" w:eastAsia="等线" w:cs="Times New Roman"/>
          <w:b/>
          <w:kern w:val="44"/>
          <w:sz w:val="24"/>
          <w:szCs w:val="24"/>
          <w:lang w:val="en-US" w:eastAsia="zh-CN" w:bidi="ar-SA"/>
        </w:rPr>
      </w:pPr>
      <w:r>
        <w:rPr>
          <w:rFonts w:ascii="等线" w:hAnsi="等线" w:eastAsia="等线" w:cs="Times New Roman"/>
          <w:b/>
          <w:kern w:val="44"/>
          <w:sz w:val="24"/>
          <w:szCs w:val="24"/>
          <w:lang w:val="en-US" w:eastAsia="zh-CN" w:bidi="ar-SA"/>
        </w:rPr>
        <w:t>二、监理内容</w:t>
      </w:r>
    </w:p>
    <w:p w14:paraId="65BEAB5C">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本包监理</w:t>
      </w:r>
      <w:r>
        <w:rPr>
          <w:rFonts w:hint="eastAsia" w:ascii="宋体" w:hAnsi="宋体" w:eastAsia="宋体" w:cs="宋体"/>
          <w:spacing w:val="2"/>
          <w:kern w:val="2"/>
          <w:sz w:val="24"/>
          <w:szCs w:val="24"/>
          <w:lang w:val="en-US" w:eastAsia="zh-CN" w:bidi="ar-SA"/>
        </w:rPr>
        <w:t>服务</w:t>
      </w:r>
      <w:r>
        <w:rPr>
          <w:rFonts w:ascii="宋体" w:hAnsi="宋体" w:eastAsia="宋体" w:cs="宋体"/>
          <w:spacing w:val="2"/>
          <w:kern w:val="2"/>
          <w:sz w:val="24"/>
          <w:szCs w:val="24"/>
          <w:lang w:val="en-US" w:eastAsia="zh-CN" w:bidi="ar-SA"/>
        </w:rPr>
        <w:t>范围为</w:t>
      </w:r>
      <w:r>
        <w:rPr>
          <w:rFonts w:hint="eastAsia" w:ascii="宋体" w:hAnsi="宋体" w:eastAsia="宋体" w:cs="宋体"/>
          <w:spacing w:val="2"/>
          <w:kern w:val="2"/>
          <w:sz w:val="24"/>
          <w:szCs w:val="24"/>
          <w:lang w:val="en-US" w:eastAsia="zh-CN" w:bidi="ar-SA"/>
        </w:rPr>
        <w:t>海南省人力资源开发局业务系统国产化替代改造（2024年）项目</w:t>
      </w:r>
      <w:r>
        <w:rPr>
          <w:rFonts w:ascii="宋体" w:hAnsi="宋体" w:eastAsia="宋体" w:cs="宋体"/>
          <w:spacing w:val="2"/>
          <w:kern w:val="2"/>
          <w:sz w:val="24"/>
          <w:szCs w:val="24"/>
          <w:lang w:val="en-US" w:eastAsia="zh-CN" w:bidi="ar-SA"/>
        </w:rPr>
        <w:t>建设内容的监理。</w:t>
      </w:r>
    </w:p>
    <w:p w14:paraId="4B5D1AA4">
      <w:pPr>
        <w:keepNext/>
        <w:keepLines/>
        <w:widowControl w:val="0"/>
        <w:tabs>
          <w:tab w:val="left" w:pos="425"/>
        </w:tabs>
        <w:spacing w:before="0" w:beforeLines="0" w:beforeAutospacing="0" w:after="0" w:afterLines="0" w:afterAutospacing="0" w:line="440" w:lineRule="exact"/>
        <w:jc w:val="both"/>
        <w:outlineLvl w:val="3"/>
        <w:rPr>
          <w:rFonts w:ascii="等线" w:hAnsi="等线" w:eastAsia="等线" w:cs="Times New Roman"/>
          <w:b/>
          <w:kern w:val="44"/>
          <w:sz w:val="24"/>
          <w:szCs w:val="24"/>
          <w:lang w:val="en-US" w:eastAsia="zh-CN" w:bidi="ar-SA"/>
        </w:rPr>
      </w:pPr>
      <w:r>
        <w:rPr>
          <w:rFonts w:ascii="等线" w:hAnsi="等线" w:eastAsia="等线" w:cs="Times New Roman"/>
          <w:b/>
          <w:kern w:val="44"/>
          <w:sz w:val="24"/>
          <w:szCs w:val="24"/>
          <w:lang w:val="en-US" w:eastAsia="zh-CN" w:bidi="ar-SA"/>
        </w:rPr>
        <w:t>三、监理服务周期</w:t>
      </w:r>
    </w:p>
    <w:p w14:paraId="1442DDB8">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本项目监理服务周期自签订合同之日起，至建设项目完成竣工验收。</w:t>
      </w:r>
    </w:p>
    <w:p w14:paraId="3A720F2B">
      <w:pPr>
        <w:keepNext/>
        <w:keepLines/>
        <w:widowControl w:val="0"/>
        <w:tabs>
          <w:tab w:val="left" w:pos="425"/>
        </w:tabs>
        <w:spacing w:before="0" w:beforeLines="0" w:beforeAutospacing="0" w:after="0" w:afterLines="0" w:afterAutospacing="0" w:line="440" w:lineRule="exact"/>
        <w:jc w:val="both"/>
        <w:outlineLvl w:val="3"/>
        <w:rPr>
          <w:rFonts w:ascii="等线" w:hAnsi="等线" w:eastAsia="等线" w:cs="Times New Roman"/>
          <w:b/>
          <w:kern w:val="44"/>
          <w:sz w:val="24"/>
          <w:szCs w:val="24"/>
          <w:lang w:val="en-US" w:eastAsia="zh-CN" w:bidi="ar-SA"/>
        </w:rPr>
      </w:pPr>
      <w:r>
        <w:rPr>
          <w:rFonts w:ascii="等线" w:hAnsi="等线" w:eastAsia="等线" w:cs="Times New Roman"/>
          <w:b/>
          <w:kern w:val="44"/>
          <w:sz w:val="24"/>
          <w:szCs w:val="24"/>
          <w:lang w:val="en-US" w:eastAsia="zh-CN" w:bidi="ar-SA"/>
        </w:rPr>
        <w:t>四、监理技术要求</w:t>
      </w:r>
    </w:p>
    <w:p w14:paraId="7BA923B2">
      <w:pPr>
        <w:keepNext/>
        <w:keepLines/>
        <w:widowControl w:val="0"/>
        <w:tabs>
          <w:tab w:val="left" w:pos="425"/>
        </w:tabs>
        <w:spacing w:before="0" w:beforeLines="0" w:after="0" w:afterLines="0" w:line="440" w:lineRule="exact"/>
        <w:jc w:val="both"/>
        <w:outlineLvl w:val="4"/>
        <w:rPr>
          <w:rFonts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（一）</w:t>
      </w:r>
      <w:r>
        <w:rPr>
          <w:rFonts w:ascii="Cambria" w:hAnsi="Cambria" w:eastAsia="黑体" w:cs="Times New Roman"/>
          <w:b w:val="0"/>
          <w:bCs w:val="0"/>
          <w:kern w:val="2"/>
          <w:sz w:val="24"/>
          <w:szCs w:val="24"/>
          <w:lang w:val="en-US" w:eastAsia="zh-CN" w:bidi="ar-SA"/>
        </w:rPr>
        <w:t>监理范围</w:t>
      </w:r>
    </w:p>
    <w:p w14:paraId="32C8C381">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重点对项目建设过程中</w:t>
      </w:r>
      <w:r>
        <w:rPr>
          <w:rFonts w:hint="eastAsia" w:ascii="宋体" w:hAnsi="宋体" w:eastAsia="宋体" w:cs="宋体"/>
          <w:spacing w:val="2"/>
          <w:kern w:val="2"/>
          <w:sz w:val="24"/>
          <w:szCs w:val="24"/>
          <w:lang w:val="en-US" w:eastAsia="zh-CN" w:bidi="ar-SA"/>
        </w:rPr>
        <w:t>软件</w:t>
      </w:r>
      <w:r>
        <w:rPr>
          <w:rFonts w:ascii="宋体" w:hAnsi="宋体" w:eastAsia="宋体" w:cs="宋体"/>
          <w:spacing w:val="2"/>
          <w:kern w:val="2"/>
          <w:sz w:val="24"/>
          <w:szCs w:val="24"/>
          <w:lang w:val="en-US" w:eastAsia="zh-CN" w:bidi="ar-SA"/>
        </w:rPr>
        <w:t>的采购、</w:t>
      </w:r>
      <w:r>
        <w:rPr>
          <w:rFonts w:hint="eastAsia" w:ascii="宋体" w:hAnsi="宋体" w:eastAsia="宋体" w:cs="宋体"/>
          <w:spacing w:val="2"/>
          <w:kern w:val="2"/>
          <w:sz w:val="24"/>
          <w:szCs w:val="24"/>
          <w:lang w:val="en-US" w:eastAsia="zh-CN" w:bidi="ar-SA"/>
        </w:rPr>
        <w:t>部署</w:t>
      </w:r>
      <w:r>
        <w:rPr>
          <w:rFonts w:ascii="宋体" w:hAnsi="宋体" w:eastAsia="宋体" w:cs="宋体"/>
          <w:spacing w:val="2"/>
          <w:kern w:val="2"/>
          <w:sz w:val="24"/>
          <w:szCs w:val="24"/>
          <w:lang w:val="en-US" w:eastAsia="zh-CN" w:bidi="ar-SA"/>
        </w:rPr>
        <w:t>调试、系统集成、软件开发</w:t>
      </w:r>
      <w:r>
        <w:rPr>
          <w:rFonts w:hint="eastAsia" w:ascii="宋体" w:hAnsi="宋体" w:eastAsia="宋体" w:cs="宋体"/>
          <w:spacing w:val="2"/>
          <w:kern w:val="2"/>
          <w:sz w:val="24"/>
          <w:szCs w:val="24"/>
          <w:lang w:val="en-US" w:eastAsia="zh-CN" w:bidi="ar-SA"/>
        </w:rPr>
        <w:t>、系统和数据迁移</w:t>
      </w:r>
      <w:r>
        <w:rPr>
          <w:rFonts w:ascii="宋体" w:hAnsi="宋体" w:eastAsia="宋体" w:cs="宋体"/>
          <w:spacing w:val="2"/>
          <w:kern w:val="2"/>
          <w:sz w:val="24"/>
          <w:szCs w:val="24"/>
          <w:lang w:val="en-US" w:eastAsia="zh-CN" w:bidi="ar-SA"/>
        </w:rPr>
        <w:t>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14:paraId="1419CE62">
      <w:pPr>
        <w:keepNext/>
        <w:keepLines/>
        <w:widowControl w:val="0"/>
        <w:tabs>
          <w:tab w:val="left" w:pos="425"/>
        </w:tabs>
        <w:spacing w:before="0" w:beforeLines="0" w:after="0" w:afterLines="0" w:line="440" w:lineRule="exact"/>
        <w:jc w:val="both"/>
        <w:outlineLvl w:val="4"/>
        <w:rPr>
          <w:rFonts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（二）</w:t>
      </w:r>
      <w:r>
        <w:rPr>
          <w:rFonts w:ascii="Cambria" w:hAnsi="Cambria" w:eastAsia="黑体" w:cs="Times New Roman"/>
          <w:b w:val="0"/>
          <w:bCs w:val="0"/>
          <w:kern w:val="2"/>
          <w:sz w:val="24"/>
          <w:szCs w:val="24"/>
          <w:lang w:val="en-US" w:eastAsia="zh-CN" w:bidi="ar-SA"/>
        </w:rPr>
        <w:t>监理目标控制方案</w:t>
      </w:r>
    </w:p>
    <w:p w14:paraId="4AF2856C">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以工程建设合同、监理委托合同、国家（GB/T19668.1-19668.6《</w:t>
      </w:r>
      <w:r>
        <w:rPr>
          <w:rFonts w:hint="eastAsia" w:ascii="宋体" w:hAnsi="宋体" w:eastAsia="宋体" w:cs="宋体"/>
          <w:spacing w:val="2"/>
          <w:kern w:val="2"/>
          <w:sz w:val="24"/>
          <w:szCs w:val="24"/>
          <w:lang w:val="en-US" w:eastAsia="zh-CN" w:bidi="ar-SA"/>
        </w:rPr>
        <w:t>信息技术服务 监理</w:t>
      </w:r>
      <w:r>
        <w:rPr>
          <w:rFonts w:ascii="宋体" w:hAnsi="宋体" w:eastAsia="宋体" w:cs="宋体"/>
          <w:spacing w:val="2"/>
          <w:kern w:val="2"/>
          <w:sz w:val="24"/>
          <w:szCs w:val="24"/>
          <w:lang w:val="en-US" w:eastAsia="zh-CN" w:bidi="ar-SA"/>
        </w:rPr>
        <w:t>》</w:t>
      </w:r>
      <w:r>
        <w:rPr>
          <w:rFonts w:hint="eastAsia" w:ascii="宋体" w:hAnsi="宋体" w:eastAsia="宋体" w:cs="宋体"/>
          <w:spacing w:val="2"/>
          <w:kern w:val="2"/>
          <w:sz w:val="24"/>
          <w:szCs w:val="24"/>
          <w:lang w:val="en-US" w:eastAsia="zh-CN" w:bidi="ar-SA"/>
        </w:rPr>
        <w:t>）</w:t>
      </w:r>
      <w:r>
        <w:rPr>
          <w:rFonts w:ascii="宋体" w:hAnsi="宋体" w:eastAsia="宋体" w:cs="宋体"/>
          <w:spacing w:val="2"/>
          <w:kern w:val="2"/>
          <w:sz w:val="24"/>
          <w:szCs w:val="24"/>
          <w:lang w:val="en-US" w:eastAsia="zh-CN" w:bidi="ar-SA"/>
        </w:rPr>
        <w:t>及有关法规、技术规范与标准、项目建设单位需求为依据，通过专业的控制手段，协助建设单位全面 地进行技术咨询和技术监督，对工程全过程进行监督、管理、指导、评价，并采取相应 的组织措施、技术措施、经济措施和合同措施，确保建设行为合法、合理、科学、经济，使建设进度、投资、质量达到建设合同规定的目标。</w:t>
      </w:r>
    </w:p>
    <w:p w14:paraId="2F7B1F7E">
      <w:pPr>
        <w:keepNext/>
        <w:keepLines/>
        <w:widowControl w:val="0"/>
        <w:tabs>
          <w:tab w:val="left" w:pos="425"/>
        </w:tabs>
        <w:spacing w:before="0" w:beforeLines="0" w:after="0" w:afterLines="0" w:line="440" w:lineRule="exact"/>
        <w:jc w:val="both"/>
        <w:outlineLvl w:val="4"/>
        <w:rPr>
          <w:rFonts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（三）</w:t>
      </w:r>
      <w:r>
        <w:rPr>
          <w:rFonts w:ascii="Cambria" w:hAnsi="Cambria" w:eastAsia="黑体" w:cs="Times New Roman"/>
          <w:b w:val="0"/>
          <w:bCs w:val="0"/>
          <w:kern w:val="2"/>
          <w:sz w:val="24"/>
          <w:szCs w:val="24"/>
          <w:lang w:val="en-US" w:eastAsia="zh-CN" w:bidi="ar-SA"/>
        </w:rPr>
        <w:t>工程监理重点难点分析</w:t>
      </w:r>
    </w:p>
    <w:p w14:paraId="3C3B78EC">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投标人应根据本项目建设的特点，从实际出发分析本项目监理工作的重点、难点，并根据分析的结果制定相应的监理工作规划、对策和策略，以便日后有针对性的开展建设工程的监理服务工作。</w:t>
      </w:r>
    </w:p>
    <w:p w14:paraId="6EE49DAD">
      <w:pPr>
        <w:keepNext/>
        <w:keepLines/>
        <w:widowControl w:val="0"/>
        <w:tabs>
          <w:tab w:val="left" w:pos="425"/>
        </w:tabs>
        <w:spacing w:before="0" w:beforeLines="0" w:after="0" w:afterLines="0" w:line="440" w:lineRule="exact"/>
        <w:jc w:val="both"/>
        <w:outlineLvl w:val="4"/>
        <w:rPr>
          <w:rFonts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（四）</w:t>
      </w:r>
      <w:r>
        <w:rPr>
          <w:rFonts w:ascii="Cambria" w:hAnsi="Cambria" w:eastAsia="黑体" w:cs="Times New Roman"/>
          <w:b w:val="0"/>
          <w:bCs w:val="0"/>
          <w:kern w:val="2"/>
          <w:sz w:val="24"/>
          <w:szCs w:val="24"/>
          <w:lang w:val="en-US" w:eastAsia="zh-CN" w:bidi="ar-SA"/>
        </w:rPr>
        <w:t>工程各阶段的监理规划、实施</w:t>
      </w:r>
    </w:p>
    <w:p w14:paraId="72D3DC6B">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投标人应对本项目从设计施工到项目竣工验收阶段制定一整套工程监理的工作流程，并叙述各阶段主要监理工作内容。</w:t>
      </w:r>
    </w:p>
    <w:p w14:paraId="1B0E4F31">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本项目监理工作主要分为</w:t>
      </w:r>
      <w:r>
        <w:rPr>
          <w:rFonts w:hint="eastAsia" w:ascii="宋体" w:hAnsi="宋体" w:eastAsia="宋体" w:cs="宋体"/>
          <w:spacing w:val="2"/>
          <w:kern w:val="2"/>
          <w:sz w:val="24"/>
          <w:szCs w:val="24"/>
          <w:lang w:val="en-US" w:eastAsia="zh-CN" w:bidi="ar-SA"/>
        </w:rPr>
        <w:t>软件</w:t>
      </w:r>
      <w:r>
        <w:rPr>
          <w:rFonts w:ascii="宋体" w:hAnsi="宋体" w:eastAsia="宋体" w:cs="宋体"/>
          <w:spacing w:val="2"/>
          <w:kern w:val="2"/>
          <w:sz w:val="24"/>
          <w:szCs w:val="24"/>
          <w:lang w:val="en-US" w:eastAsia="zh-CN" w:bidi="ar-SA"/>
        </w:rPr>
        <w:t>设备采购、施工阶段、验收阶段、质保期阶段等。</w:t>
      </w:r>
    </w:p>
    <w:p w14:paraId="54DECFF2">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投标人应根据上述监理工作内容（但不局限于上述内容），分别制定详细的监理工作流程，使本项目的监理工作流程化、制度化。</w:t>
      </w:r>
    </w:p>
    <w:p w14:paraId="1D079905">
      <w:pPr>
        <w:keepNext/>
        <w:keepLines/>
        <w:widowControl w:val="0"/>
        <w:tabs>
          <w:tab w:val="left" w:pos="425"/>
        </w:tabs>
        <w:spacing w:before="0" w:beforeLines="0" w:after="0" w:afterLines="0" w:line="440" w:lineRule="exact"/>
        <w:jc w:val="both"/>
        <w:outlineLvl w:val="4"/>
        <w:rPr>
          <w:rFonts w:ascii="Cambria" w:hAnsi="Cambria" w:eastAsia="黑体" w:cs="Times New Roman"/>
          <w:b w:val="0"/>
          <w:bCs w:val="0"/>
          <w:kern w:val="2"/>
          <w:sz w:val="24"/>
          <w:szCs w:val="24"/>
          <w:lang w:val="en-US" w:eastAsia="zh-CN" w:bidi="ar-SA"/>
        </w:rPr>
      </w:pPr>
      <w:r>
        <w:rPr>
          <w:rFonts w:hint="eastAsia" w:ascii="Cambria" w:hAnsi="Cambria" w:eastAsia="黑体" w:cs="Times New Roman"/>
          <w:b w:val="0"/>
          <w:bCs w:val="0"/>
          <w:kern w:val="2"/>
          <w:sz w:val="24"/>
          <w:szCs w:val="24"/>
          <w:lang w:val="en-US" w:eastAsia="zh-CN" w:bidi="ar-SA"/>
        </w:rPr>
        <w:t>（五）</w:t>
      </w:r>
      <w:r>
        <w:rPr>
          <w:rFonts w:ascii="Cambria" w:hAnsi="Cambria" w:eastAsia="黑体" w:cs="Times New Roman"/>
          <w:b w:val="0"/>
          <w:bCs w:val="0"/>
          <w:kern w:val="2"/>
          <w:sz w:val="24"/>
          <w:szCs w:val="24"/>
          <w:lang w:val="en-US" w:eastAsia="zh-CN" w:bidi="ar-SA"/>
        </w:rPr>
        <w:t>监理工作要求</w:t>
      </w:r>
    </w:p>
    <w:p w14:paraId="14F65ACE">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1</w:t>
      </w:r>
      <w:r>
        <w:rPr>
          <w:rFonts w:hint="eastAsia" w:ascii="宋体" w:hAnsi="宋体" w:eastAsia="宋体" w:cs="宋体"/>
          <w:spacing w:val="2"/>
          <w:kern w:val="2"/>
          <w:sz w:val="24"/>
          <w:szCs w:val="24"/>
          <w:lang w:val="en-US" w:eastAsia="zh-CN" w:bidi="ar-SA"/>
        </w:rPr>
        <w:t>.</w:t>
      </w:r>
      <w:r>
        <w:rPr>
          <w:rFonts w:ascii="宋体" w:hAnsi="宋体" w:eastAsia="宋体" w:cs="宋体"/>
          <w:spacing w:val="2"/>
          <w:kern w:val="2"/>
          <w:sz w:val="24"/>
          <w:szCs w:val="24"/>
          <w:lang w:val="en-US" w:eastAsia="zh-CN" w:bidi="ar-SA"/>
        </w:rPr>
        <w:t>监理工作制度要求</w:t>
      </w:r>
    </w:p>
    <w:p w14:paraId="371937DA">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在整个项目建设期间，必须在建设期间全程常驻至少一名监理工程师在甲方现场。监理公司应建立项目监理小组，负责整个项目的全程监理工作，本项目必须配备不少于3名的监理工程师。监理人员的确定和变更，须事先经业主方同意。监理人员必须奉公守法，具有高度的责任心。</w:t>
      </w:r>
    </w:p>
    <w:p w14:paraId="43779A68">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2</w:t>
      </w:r>
      <w:r>
        <w:rPr>
          <w:rFonts w:hint="eastAsia" w:ascii="宋体" w:hAnsi="宋体" w:eastAsia="宋体" w:cs="宋体"/>
          <w:spacing w:val="2"/>
          <w:kern w:val="2"/>
          <w:sz w:val="24"/>
          <w:szCs w:val="24"/>
          <w:lang w:val="en-US" w:eastAsia="zh-CN" w:bidi="ar-SA"/>
        </w:rPr>
        <w:t>.</w:t>
      </w:r>
      <w:r>
        <w:rPr>
          <w:rFonts w:ascii="宋体" w:hAnsi="宋体" w:eastAsia="宋体" w:cs="宋体"/>
          <w:spacing w:val="2"/>
          <w:kern w:val="2"/>
          <w:sz w:val="24"/>
          <w:szCs w:val="24"/>
          <w:lang w:val="en-US" w:eastAsia="zh-CN" w:bidi="ar-SA"/>
        </w:rPr>
        <w:t>监理项目组织要求</w:t>
      </w:r>
    </w:p>
    <w:p w14:paraId="7FAA4C0E">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14:paraId="78066CC3">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要求投标人在报价方案中要明确工程监理的各项运作，包括监理人员的相关资料、职能分配、监理组织的构成及工作流程、各项监理工作的相关负责人等。</w:t>
      </w:r>
    </w:p>
    <w:p w14:paraId="2D2D2799">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3</w:t>
      </w:r>
      <w:r>
        <w:rPr>
          <w:rFonts w:hint="eastAsia" w:ascii="宋体" w:hAnsi="宋体" w:eastAsia="宋体" w:cs="宋体"/>
          <w:spacing w:val="2"/>
          <w:kern w:val="2"/>
          <w:sz w:val="24"/>
          <w:szCs w:val="24"/>
          <w:lang w:val="en-US" w:eastAsia="zh-CN" w:bidi="ar-SA"/>
        </w:rPr>
        <w:t>.</w:t>
      </w:r>
      <w:r>
        <w:rPr>
          <w:rFonts w:ascii="宋体" w:hAnsi="宋体" w:eastAsia="宋体" w:cs="宋体"/>
          <w:spacing w:val="2"/>
          <w:kern w:val="2"/>
          <w:sz w:val="24"/>
          <w:szCs w:val="24"/>
          <w:lang w:val="en-US" w:eastAsia="zh-CN" w:bidi="ar-SA"/>
        </w:rPr>
        <w:t>监理信息管理要求</w:t>
      </w:r>
    </w:p>
    <w:p w14:paraId="7C2C77D3">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投标人应制定有关本项目信息管理流程，规范各方文档并负责整理记录归档业主单 位与承建单位来往的文件、合同、协议及会议记录等各种文档，并定期以监理月（周/季）报形式提交业主。包括下列监理工作：</w:t>
      </w:r>
    </w:p>
    <w:p w14:paraId="51FC257E">
      <w:pPr>
        <w:widowControl w:val="0"/>
        <w:numPr>
          <w:ilvl w:val="0"/>
          <w:numId w:val="1"/>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做好监理日记及工程大事记；</w:t>
      </w:r>
    </w:p>
    <w:p w14:paraId="5295A5F7">
      <w:pPr>
        <w:widowControl w:val="0"/>
        <w:numPr>
          <w:ilvl w:val="0"/>
          <w:numId w:val="1"/>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做好合同批复等各类往来文件的批复和存档；</w:t>
      </w:r>
    </w:p>
    <w:p w14:paraId="4F9C61F0">
      <w:pPr>
        <w:widowControl w:val="0"/>
        <w:numPr>
          <w:ilvl w:val="0"/>
          <w:numId w:val="1"/>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做好项目协调会、技术专题会等各项会议纪要；</w:t>
      </w:r>
    </w:p>
    <w:p w14:paraId="0D0D6748">
      <w:pPr>
        <w:widowControl w:val="0"/>
        <w:numPr>
          <w:ilvl w:val="0"/>
          <w:numId w:val="1"/>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管理好实施期间的各类、各方技术文档；</w:t>
      </w:r>
    </w:p>
    <w:p w14:paraId="61DC71CD">
      <w:pPr>
        <w:widowControl w:val="0"/>
        <w:numPr>
          <w:ilvl w:val="0"/>
          <w:numId w:val="1"/>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做好项目周报；</w:t>
      </w:r>
    </w:p>
    <w:p w14:paraId="29CADD5C">
      <w:pPr>
        <w:widowControl w:val="0"/>
        <w:numPr>
          <w:ilvl w:val="0"/>
          <w:numId w:val="1"/>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做好监理建议书、监理通知书存档；</w:t>
      </w:r>
    </w:p>
    <w:p w14:paraId="234B71E3">
      <w:pPr>
        <w:widowControl w:val="0"/>
        <w:numPr>
          <w:ilvl w:val="0"/>
          <w:numId w:val="1"/>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阶段性项目总结。</w:t>
      </w:r>
    </w:p>
    <w:p w14:paraId="1A97381C">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投标人应针对项目特点，制定相应的信息分类表、信息流程图、信息管理表格、信息管理工作流程与措施，同时要求采用先进的项目信息管理软件对项目信息进行综合管理。</w:t>
      </w:r>
    </w:p>
    <w:p w14:paraId="32B9AE75">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4</w:t>
      </w:r>
      <w:r>
        <w:rPr>
          <w:rFonts w:hint="eastAsia" w:ascii="宋体" w:hAnsi="宋体" w:eastAsia="宋体" w:cs="宋体"/>
          <w:spacing w:val="2"/>
          <w:kern w:val="2"/>
          <w:sz w:val="24"/>
          <w:szCs w:val="24"/>
          <w:lang w:val="en-US" w:eastAsia="zh-CN" w:bidi="ar-SA"/>
        </w:rPr>
        <w:t>.</w:t>
      </w:r>
      <w:r>
        <w:rPr>
          <w:rFonts w:ascii="宋体" w:hAnsi="宋体" w:eastAsia="宋体" w:cs="宋体"/>
          <w:spacing w:val="2"/>
          <w:kern w:val="2"/>
          <w:sz w:val="24"/>
          <w:szCs w:val="24"/>
          <w:lang w:val="en-US" w:eastAsia="zh-CN" w:bidi="ar-SA"/>
        </w:rPr>
        <w:t>监理合同管理要求</w:t>
      </w:r>
    </w:p>
    <w:p w14:paraId="3B9284E6">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本项目建设过程中会与承建单位签订各种合同，投标人应该针对项目特点制定合同从草案到签署的管理工作流程与措施，规范合同管理，并在具体项目合同执行时进行下列监理工作：</w:t>
      </w:r>
    </w:p>
    <w:p w14:paraId="0AEA1484">
      <w:pPr>
        <w:widowControl w:val="0"/>
        <w:numPr>
          <w:ilvl w:val="0"/>
          <w:numId w:val="2"/>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跟踪检查合同的执行情况，确保承建单位按时履约；</w:t>
      </w:r>
    </w:p>
    <w:p w14:paraId="25B4EC7F">
      <w:pPr>
        <w:widowControl w:val="0"/>
        <w:numPr>
          <w:ilvl w:val="0"/>
          <w:numId w:val="2"/>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对合同工期的延误和延期进行审核确认；</w:t>
      </w:r>
    </w:p>
    <w:p w14:paraId="75E0902E">
      <w:pPr>
        <w:widowControl w:val="0"/>
        <w:numPr>
          <w:ilvl w:val="0"/>
          <w:numId w:val="2"/>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对合同变更、索赔等事宜进行审核确认；</w:t>
      </w:r>
    </w:p>
    <w:p w14:paraId="0160B32E">
      <w:pPr>
        <w:widowControl w:val="0"/>
        <w:numPr>
          <w:ilvl w:val="0"/>
          <w:numId w:val="2"/>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对合同终止进行审核确认；</w:t>
      </w:r>
    </w:p>
    <w:p w14:paraId="5953149B">
      <w:pPr>
        <w:widowControl w:val="0"/>
        <w:numPr>
          <w:ilvl w:val="0"/>
          <w:numId w:val="2"/>
        </w:numPr>
        <w:spacing w:beforeLines="0" w:afterLines="0" w:line="440" w:lineRule="exact"/>
        <w:ind w:left="0"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根据合同约定，审核承建单位提交的支付申请，签发付款凭证。</w:t>
      </w:r>
    </w:p>
    <w:p w14:paraId="12CEAEAE">
      <w:pPr>
        <w:widowControl w:val="0"/>
        <w:numPr>
          <w:ilvl w:val="0"/>
          <w:numId w:val="2"/>
        </w:numPr>
        <w:spacing w:beforeLines="0" w:afterLines="0" w:line="440" w:lineRule="exact"/>
        <w:ind w:left="0" w:firstLine="488" w:firstLineChars="200"/>
        <w:jc w:val="both"/>
        <w:rPr>
          <w:rFonts w:ascii="宋体" w:hAnsi="宋体" w:eastAsia="宋体" w:cs="宋体"/>
          <w:kern w:val="2"/>
          <w:sz w:val="24"/>
          <w:szCs w:val="24"/>
          <w:lang w:val="en-US" w:eastAsia="zh-CN" w:bidi="ar-SA"/>
        </w:rPr>
      </w:pPr>
      <w:r>
        <w:rPr>
          <w:rFonts w:ascii="宋体" w:hAnsi="宋体" w:eastAsia="宋体" w:cs="宋体"/>
          <w:spacing w:val="2"/>
          <w:kern w:val="2"/>
          <w:sz w:val="24"/>
          <w:szCs w:val="24"/>
          <w:lang w:val="en-US" w:eastAsia="zh-CN" w:bidi="ar-SA"/>
        </w:rPr>
        <w:t>要求对项目合同进行合理的管理，以完善整个项目建设的过程。</w:t>
      </w:r>
    </w:p>
    <w:p w14:paraId="4FF632D7">
      <w:pPr>
        <w:keepNext/>
        <w:keepLines/>
        <w:widowControl w:val="0"/>
        <w:tabs>
          <w:tab w:val="left" w:pos="425"/>
        </w:tabs>
        <w:spacing w:before="0" w:beforeLines="0" w:beforeAutospacing="0" w:after="0" w:afterLines="0" w:afterAutospacing="0" w:line="440" w:lineRule="exact"/>
        <w:jc w:val="both"/>
        <w:outlineLvl w:val="3"/>
        <w:rPr>
          <w:rFonts w:ascii="等线" w:hAnsi="等线" w:eastAsia="等线" w:cs="Times New Roman"/>
          <w:b/>
          <w:kern w:val="44"/>
          <w:sz w:val="24"/>
          <w:szCs w:val="24"/>
          <w:lang w:val="en-US" w:eastAsia="zh-CN" w:bidi="ar-SA"/>
        </w:rPr>
      </w:pPr>
      <w:r>
        <w:rPr>
          <w:rFonts w:ascii="等线" w:hAnsi="等线" w:eastAsia="等线" w:cs="Times New Roman"/>
          <w:b/>
          <w:kern w:val="44"/>
          <w:sz w:val="24"/>
          <w:szCs w:val="24"/>
          <w:lang w:val="en-US" w:eastAsia="zh-CN" w:bidi="ar-SA"/>
        </w:rPr>
        <w:t>五、监理服务准则</w:t>
      </w:r>
    </w:p>
    <w:p w14:paraId="4A10A3C7">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遵照国家 GB/T19668.1-19668.6《</w:t>
      </w:r>
      <w:r>
        <w:rPr>
          <w:rFonts w:hint="eastAsia" w:ascii="宋体" w:hAnsi="宋体" w:eastAsia="宋体" w:cs="宋体"/>
          <w:spacing w:val="2"/>
          <w:kern w:val="2"/>
          <w:sz w:val="24"/>
          <w:szCs w:val="24"/>
          <w:lang w:val="en-US" w:eastAsia="zh-CN" w:bidi="ar-SA"/>
        </w:rPr>
        <w:t>信息技术服务 监理</w:t>
      </w:r>
      <w:r>
        <w:rPr>
          <w:rFonts w:ascii="宋体" w:hAnsi="宋体" w:eastAsia="宋体" w:cs="宋体"/>
          <w:spacing w:val="2"/>
          <w:kern w:val="2"/>
          <w:sz w:val="24"/>
          <w:szCs w:val="24"/>
          <w:lang w:val="en-US" w:eastAsia="zh-CN" w:bidi="ar-SA"/>
        </w:rPr>
        <w:t>》的规定，以“守法、诚信、公正、科学 ”的准则执业，维护建设方与承建方的合法权益。具体应做到：</w:t>
      </w:r>
    </w:p>
    <w:p w14:paraId="65C3BBC4">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执行有关项目建设的法律、法规、规范、标准和制度，履行监理合同规定的义务和职责。</w:t>
      </w:r>
    </w:p>
    <w:p w14:paraId="35475B38">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不收受被监理单位的任何礼金。</w:t>
      </w:r>
    </w:p>
    <w:p w14:paraId="1E354358">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不泄漏所监理项目各方认为需要保密的事项。</w:t>
      </w:r>
    </w:p>
    <w:p w14:paraId="77C6B063">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遵守国家的法律和政府的有关条例、规定和办法等。</w:t>
      </w:r>
    </w:p>
    <w:p w14:paraId="50E684D7">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坚持公正的立场，独立、公正地处理有关各方的争议。</w:t>
      </w:r>
    </w:p>
    <w:p w14:paraId="5C7FF2AB">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坚持科学的态度和实事求是的原则。</w:t>
      </w:r>
    </w:p>
    <w:p w14:paraId="36460FDA">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在坚持按监理合同的规定向建设单位提供技术服务的同时，帮助被监理者完成起担负的建设任务。</w:t>
      </w:r>
    </w:p>
    <w:p w14:paraId="46E6831D">
      <w:pPr>
        <w:widowControl w:val="0"/>
        <w:numPr>
          <w:ilvl w:val="0"/>
          <w:numId w:val="3"/>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不泄漏所监理的项目需保密的事项。</w:t>
      </w:r>
    </w:p>
    <w:p w14:paraId="50BE752B">
      <w:pPr>
        <w:keepNext/>
        <w:keepLines/>
        <w:widowControl w:val="0"/>
        <w:tabs>
          <w:tab w:val="left" w:pos="425"/>
        </w:tabs>
        <w:spacing w:before="0" w:beforeLines="0" w:beforeAutospacing="0" w:after="0" w:afterLines="0" w:afterAutospacing="0" w:line="440" w:lineRule="exact"/>
        <w:jc w:val="both"/>
        <w:outlineLvl w:val="3"/>
        <w:rPr>
          <w:rFonts w:ascii="等线" w:hAnsi="等线" w:eastAsia="等线" w:cs="Times New Roman"/>
          <w:b/>
          <w:kern w:val="44"/>
          <w:sz w:val="24"/>
          <w:szCs w:val="24"/>
          <w:lang w:val="en-US" w:eastAsia="zh-CN" w:bidi="ar-SA"/>
        </w:rPr>
      </w:pPr>
      <w:r>
        <w:rPr>
          <w:rFonts w:ascii="等线" w:hAnsi="等线" w:eastAsia="等线" w:cs="Times New Roman"/>
          <w:b/>
          <w:kern w:val="44"/>
          <w:sz w:val="24"/>
          <w:szCs w:val="24"/>
          <w:lang w:val="en-US" w:eastAsia="zh-CN" w:bidi="ar-SA"/>
        </w:rPr>
        <w:t>六、监理依据</w:t>
      </w:r>
    </w:p>
    <w:p w14:paraId="5A3417C2">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国家 GB/T19668.1-19668.6《</w:t>
      </w:r>
      <w:r>
        <w:rPr>
          <w:rFonts w:hint="eastAsia" w:ascii="宋体" w:hAnsi="宋体" w:eastAsia="宋体" w:cs="宋体"/>
          <w:spacing w:val="2"/>
          <w:kern w:val="2"/>
          <w:sz w:val="24"/>
          <w:szCs w:val="24"/>
          <w:lang w:val="en-US" w:eastAsia="zh-CN" w:bidi="ar-SA"/>
        </w:rPr>
        <w:t>信息技术服务 监理</w:t>
      </w:r>
      <w:r>
        <w:rPr>
          <w:rFonts w:ascii="宋体" w:hAnsi="宋体" w:eastAsia="宋体" w:cs="宋体"/>
          <w:spacing w:val="2"/>
          <w:kern w:val="2"/>
          <w:sz w:val="24"/>
          <w:szCs w:val="24"/>
          <w:lang w:val="en-US" w:eastAsia="zh-CN" w:bidi="ar-SA"/>
        </w:rPr>
        <w:t>》和</w:t>
      </w:r>
      <w:r>
        <w:rPr>
          <w:rFonts w:hint="eastAsia" w:ascii="宋体" w:hAnsi="宋体" w:eastAsia="宋体" w:cs="宋体"/>
          <w:spacing w:val="2"/>
          <w:kern w:val="2"/>
          <w:sz w:val="24"/>
          <w:szCs w:val="24"/>
          <w:lang w:val="en-US" w:eastAsia="zh-CN" w:bidi="ar-SA"/>
        </w:rPr>
        <w:t>《海南省省级政务信息化项目建设管理办法》（琼府办〔2024〕42号）</w:t>
      </w:r>
      <w:r>
        <w:rPr>
          <w:rFonts w:ascii="宋体" w:hAnsi="宋体" w:eastAsia="宋体" w:cs="宋体"/>
          <w:spacing w:val="2"/>
          <w:kern w:val="2"/>
          <w:sz w:val="24"/>
          <w:szCs w:val="24"/>
          <w:lang w:val="en-US" w:eastAsia="zh-CN" w:bidi="ar-SA"/>
        </w:rPr>
        <w:t>海南省有关信息系统项目建设和监理管理规范；</w:t>
      </w:r>
    </w:p>
    <w:p w14:paraId="0092FE3E">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建设单位与承建单位签订的承包工程合同</w:t>
      </w:r>
      <w:r>
        <w:rPr>
          <w:rFonts w:hint="eastAsia" w:ascii="宋体" w:hAnsi="宋体" w:eastAsia="宋体" w:cs="宋体"/>
          <w:spacing w:val="2"/>
          <w:kern w:val="2"/>
          <w:sz w:val="24"/>
          <w:szCs w:val="24"/>
          <w:lang w:val="en-US" w:eastAsia="zh-CN" w:bidi="ar-SA"/>
        </w:rPr>
        <w:t>；</w:t>
      </w:r>
    </w:p>
    <w:p w14:paraId="7913628C">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建设单位与监理单位签订的委托监理合同</w:t>
      </w:r>
      <w:r>
        <w:rPr>
          <w:rFonts w:hint="eastAsia" w:ascii="宋体" w:hAnsi="宋体" w:eastAsia="宋体" w:cs="宋体"/>
          <w:spacing w:val="2"/>
          <w:kern w:val="2"/>
          <w:sz w:val="24"/>
          <w:szCs w:val="24"/>
          <w:lang w:val="en-US" w:eastAsia="zh-CN" w:bidi="ar-SA"/>
        </w:rPr>
        <w:t>；</w:t>
      </w:r>
    </w:p>
    <w:p w14:paraId="78A3F6D6">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本工程招标书、招标过程文件、各中标商的投标书</w:t>
      </w:r>
      <w:r>
        <w:rPr>
          <w:rFonts w:hint="eastAsia" w:ascii="宋体" w:hAnsi="宋体" w:eastAsia="宋体" w:cs="宋体"/>
          <w:spacing w:val="2"/>
          <w:kern w:val="2"/>
          <w:sz w:val="24"/>
          <w:szCs w:val="24"/>
          <w:lang w:val="en-US" w:eastAsia="zh-CN" w:bidi="ar-SA"/>
        </w:rPr>
        <w:t>；</w:t>
      </w:r>
    </w:p>
    <w:p w14:paraId="5FFFB741">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国家有关合同、招投标、政府采购的法律法规</w:t>
      </w:r>
      <w:r>
        <w:rPr>
          <w:rFonts w:hint="eastAsia" w:ascii="宋体" w:hAnsi="宋体" w:eastAsia="宋体" w:cs="宋体"/>
          <w:spacing w:val="2"/>
          <w:kern w:val="2"/>
          <w:sz w:val="24"/>
          <w:szCs w:val="24"/>
          <w:lang w:val="en-US" w:eastAsia="zh-CN" w:bidi="ar-SA"/>
        </w:rPr>
        <w:t>；</w:t>
      </w:r>
    </w:p>
    <w:p w14:paraId="647ABB11">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地方政府的信息工程、信息工程监理的管理办法和规定</w:t>
      </w:r>
      <w:r>
        <w:rPr>
          <w:rFonts w:hint="eastAsia" w:ascii="宋体" w:hAnsi="宋体" w:eastAsia="宋体" w:cs="宋体"/>
          <w:spacing w:val="2"/>
          <w:kern w:val="2"/>
          <w:sz w:val="24"/>
          <w:szCs w:val="24"/>
          <w:lang w:val="en-US" w:eastAsia="zh-CN" w:bidi="ar-SA"/>
        </w:rPr>
        <w:t>；</w:t>
      </w:r>
    </w:p>
    <w:p w14:paraId="4471DA86">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建设工程和信息工程相关的国家、行业标准和规范</w:t>
      </w:r>
      <w:r>
        <w:rPr>
          <w:rFonts w:hint="eastAsia" w:ascii="宋体" w:hAnsi="宋体" w:eastAsia="宋体" w:cs="宋体"/>
          <w:spacing w:val="2"/>
          <w:kern w:val="2"/>
          <w:sz w:val="24"/>
          <w:szCs w:val="24"/>
          <w:lang w:val="en-US" w:eastAsia="zh-CN" w:bidi="ar-SA"/>
        </w:rPr>
        <w:t>；</w:t>
      </w:r>
    </w:p>
    <w:p w14:paraId="4509FC04">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建设工程和信息工程技术监督、工程验收规范</w:t>
      </w:r>
      <w:r>
        <w:rPr>
          <w:rFonts w:hint="eastAsia" w:ascii="宋体" w:hAnsi="宋体" w:eastAsia="宋体" w:cs="宋体"/>
          <w:spacing w:val="2"/>
          <w:kern w:val="2"/>
          <w:sz w:val="24"/>
          <w:szCs w:val="24"/>
          <w:lang w:val="en-US" w:eastAsia="zh-CN" w:bidi="ar-SA"/>
        </w:rPr>
        <w:t>；</w:t>
      </w:r>
    </w:p>
    <w:p w14:paraId="47762C73">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与工程相关的技术资料</w:t>
      </w:r>
      <w:r>
        <w:rPr>
          <w:rFonts w:hint="eastAsia" w:ascii="宋体" w:hAnsi="宋体" w:eastAsia="宋体" w:cs="宋体"/>
          <w:spacing w:val="2"/>
          <w:kern w:val="2"/>
          <w:sz w:val="24"/>
          <w:szCs w:val="24"/>
          <w:lang w:val="en-US" w:eastAsia="zh-CN" w:bidi="ar-SA"/>
        </w:rPr>
        <w:t>；</w:t>
      </w:r>
    </w:p>
    <w:p w14:paraId="1A73F9FB">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其他与本项目适用的法律、法规和标准</w:t>
      </w:r>
      <w:r>
        <w:rPr>
          <w:rFonts w:hint="eastAsia" w:ascii="宋体" w:hAnsi="宋体" w:eastAsia="宋体" w:cs="宋体"/>
          <w:spacing w:val="2"/>
          <w:kern w:val="2"/>
          <w:sz w:val="24"/>
          <w:szCs w:val="24"/>
          <w:lang w:val="en-US" w:eastAsia="zh-CN" w:bidi="ar-SA"/>
        </w:rPr>
        <w:t>；</w:t>
      </w:r>
    </w:p>
    <w:p w14:paraId="7B994726">
      <w:pPr>
        <w:widowControl w:val="0"/>
        <w:numPr>
          <w:ilvl w:val="0"/>
          <w:numId w:val="4"/>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国家、地方及行业相关的技术标准</w:t>
      </w:r>
      <w:r>
        <w:rPr>
          <w:rFonts w:hint="eastAsia" w:ascii="宋体" w:hAnsi="宋体" w:eastAsia="宋体" w:cs="宋体"/>
          <w:spacing w:val="2"/>
          <w:kern w:val="2"/>
          <w:sz w:val="24"/>
          <w:szCs w:val="24"/>
          <w:lang w:val="en-US" w:eastAsia="zh-CN" w:bidi="ar-SA"/>
        </w:rPr>
        <w:t>。</w:t>
      </w:r>
    </w:p>
    <w:p w14:paraId="0B70867D">
      <w:pPr>
        <w:keepNext/>
        <w:keepLines/>
        <w:widowControl w:val="0"/>
        <w:tabs>
          <w:tab w:val="left" w:pos="425"/>
        </w:tabs>
        <w:spacing w:before="0" w:beforeLines="0" w:beforeAutospacing="0" w:after="0" w:afterLines="0" w:afterAutospacing="0" w:line="440" w:lineRule="exact"/>
        <w:jc w:val="both"/>
        <w:outlineLvl w:val="3"/>
        <w:rPr>
          <w:rFonts w:ascii="等线" w:hAnsi="等线" w:eastAsia="等线" w:cs="Times New Roman"/>
          <w:b/>
          <w:kern w:val="44"/>
          <w:sz w:val="24"/>
          <w:szCs w:val="24"/>
          <w:lang w:val="en-US" w:eastAsia="zh-CN" w:bidi="ar-SA"/>
        </w:rPr>
      </w:pPr>
      <w:r>
        <w:rPr>
          <w:rFonts w:ascii="等线" w:hAnsi="等线" w:eastAsia="等线" w:cs="Times New Roman"/>
          <w:b/>
          <w:kern w:val="44"/>
          <w:sz w:val="24"/>
          <w:szCs w:val="24"/>
          <w:lang w:val="en-US" w:eastAsia="zh-CN" w:bidi="ar-SA"/>
        </w:rPr>
        <w:t>七、安全保密要求</w:t>
      </w:r>
    </w:p>
    <w:p w14:paraId="2AF8E7E1">
      <w:pPr>
        <w:widowControl w:val="0"/>
        <w:spacing w:beforeLines="0" w:afterLines="0" w:line="440" w:lineRule="exact"/>
        <w:ind w:firstLine="488" w:firstLineChars="20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本项目要求投标人制定一整套工程监理安全保密制度，确定工程保密责任人，同时要求投标人：</w:t>
      </w:r>
    </w:p>
    <w:p w14:paraId="14111797">
      <w:pPr>
        <w:widowControl w:val="0"/>
        <w:numPr>
          <w:ilvl w:val="0"/>
          <w:numId w:val="5"/>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按照国家、省、市的有关法规文件规定，要求监理履行保密责任，并与建设单位签订保密协议；</w:t>
      </w:r>
    </w:p>
    <w:p w14:paraId="4E9662C2">
      <w:pPr>
        <w:widowControl w:val="0"/>
        <w:numPr>
          <w:ilvl w:val="0"/>
          <w:numId w:val="5"/>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监理单位各级组织严格履行保密职责；</w:t>
      </w:r>
    </w:p>
    <w:p w14:paraId="56FE4270">
      <w:pPr>
        <w:widowControl w:val="0"/>
        <w:numPr>
          <w:ilvl w:val="0"/>
          <w:numId w:val="5"/>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公司内部保密规定开展监理工作。</w:t>
      </w:r>
    </w:p>
    <w:p w14:paraId="78EFAD76">
      <w:pPr>
        <w:keepNext/>
        <w:keepLines/>
        <w:widowControl w:val="0"/>
        <w:tabs>
          <w:tab w:val="left" w:pos="425"/>
        </w:tabs>
        <w:spacing w:before="0" w:beforeLines="0" w:beforeAutospacing="0" w:after="0" w:afterLines="0" w:afterAutospacing="0" w:line="440" w:lineRule="exact"/>
        <w:jc w:val="both"/>
        <w:outlineLvl w:val="3"/>
        <w:rPr>
          <w:rFonts w:ascii="等线" w:hAnsi="等线" w:eastAsia="等线" w:cs="Times New Roman"/>
          <w:b/>
          <w:kern w:val="44"/>
          <w:sz w:val="24"/>
          <w:szCs w:val="24"/>
          <w:lang w:val="en-US" w:eastAsia="zh-CN" w:bidi="ar-SA"/>
        </w:rPr>
      </w:pPr>
      <w:r>
        <w:rPr>
          <w:rFonts w:ascii="等线" w:hAnsi="等线" w:eastAsia="等线" w:cs="Times New Roman"/>
          <w:b/>
          <w:kern w:val="44"/>
          <w:sz w:val="24"/>
          <w:szCs w:val="24"/>
          <w:lang w:val="en-US" w:eastAsia="zh-CN" w:bidi="ar-SA"/>
        </w:rPr>
        <w:t>八、监理验收要求</w:t>
      </w:r>
    </w:p>
    <w:p w14:paraId="1AF43846">
      <w:pPr>
        <w:widowControl w:val="0"/>
        <w:numPr>
          <w:ilvl w:val="0"/>
          <w:numId w:val="6"/>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14:paraId="6115E277">
      <w:pPr>
        <w:widowControl w:val="0"/>
        <w:numPr>
          <w:ilvl w:val="0"/>
          <w:numId w:val="6"/>
        </w:numPr>
        <w:spacing w:beforeLines="0" w:afterLines="0" w:line="440" w:lineRule="exact"/>
        <w:ind w:firstLine="420" w:firstLineChars="0"/>
        <w:jc w:val="both"/>
        <w:rPr>
          <w:rFonts w:ascii="宋体" w:hAnsi="宋体" w:eastAsia="宋体" w:cs="宋体"/>
          <w:spacing w:val="2"/>
          <w:kern w:val="2"/>
          <w:sz w:val="24"/>
          <w:szCs w:val="24"/>
          <w:lang w:val="en-US" w:eastAsia="zh-CN" w:bidi="ar-SA"/>
        </w:rPr>
      </w:pPr>
      <w:r>
        <w:rPr>
          <w:rFonts w:ascii="宋体" w:hAnsi="宋体" w:eastAsia="宋体" w:cs="宋体"/>
          <w:spacing w:val="2"/>
          <w:kern w:val="2"/>
          <w:sz w:val="24"/>
          <w:szCs w:val="24"/>
          <w:lang w:val="en-US" w:eastAsia="zh-CN" w:bidi="ar-SA"/>
        </w:rPr>
        <w:t>本监理工作的最终验收由委托方组织。</w:t>
      </w:r>
    </w:p>
    <w:p w14:paraId="3291023A">
      <w:pPr>
        <w:rPr>
          <w:rFonts w:ascii="Times New Roman" w:hAnsi="Times New Roman" w:eastAsia="宋体"/>
          <w:sz w:val="21"/>
          <w:szCs w:val="20"/>
        </w:rPr>
      </w:pPr>
    </w:p>
    <w:p w14:paraId="788E362F">
      <w:pPr>
        <w:rPr>
          <w:rFonts w:hint="default"/>
          <w:lang w:val="en-US" w:eastAsia="zh-CN"/>
        </w:rPr>
      </w:pPr>
    </w:p>
    <w:p w14:paraId="49887E5F">
      <w:pPr>
        <w:rPr>
          <w:rFonts w:hint="default"/>
          <w:lang w:val="en-US" w:eastAsia="zh-CN"/>
        </w:rPr>
      </w:pPr>
    </w:p>
    <w:p w14:paraId="2899F94C">
      <w:pPr>
        <w:rPr>
          <w:rFonts w:hint="default"/>
          <w:lang w:val="en-US" w:eastAsia="zh-CN"/>
        </w:rPr>
      </w:pPr>
    </w:p>
    <w:p w14:paraId="12D83F98">
      <w:pPr>
        <w:rPr>
          <w:rFonts w:hint="default"/>
          <w:lang w:val="en-US" w:eastAsia="zh-CN"/>
        </w:rPr>
      </w:pPr>
    </w:p>
    <w:bookmarkEnd w:id="2"/>
    <w:bookmarkEnd w:id="3"/>
    <w:p w14:paraId="2DDE83E5">
      <w:pPr>
        <w:spacing w:line="240" w:lineRule="auto"/>
        <w:rPr>
          <w:rFonts w:ascii="仿宋_GB2312" w:hAnsi="新宋体" w:eastAsia="仿宋_GB2312"/>
          <w:sz w:val="32"/>
        </w:rPr>
      </w:pPr>
    </w:p>
    <w:p w14:paraId="79427FAB">
      <w:pPr>
        <w:spacing w:line="240" w:lineRule="auto"/>
        <w:jc w:val="left"/>
        <w:rPr>
          <w:rFonts w:ascii="仿宋_GB2312" w:hAnsi="新宋体" w:eastAsia="仿宋_GB2312"/>
          <w:sz w:val="32"/>
          <w:szCs w:val="24"/>
        </w:rPr>
      </w:pPr>
    </w:p>
    <w:p w14:paraId="0B708629">
      <w:pPr>
        <w:spacing w:line="240" w:lineRule="auto"/>
        <w:jc w:val="left"/>
        <w:rPr>
          <w:rFonts w:ascii="仿宋_GB2312" w:hAnsi="新宋体" w:eastAsia="仿宋_GB2312"/>
          <w:sz w:val="32"/>
          <w:szCs w:val="24"/>
        </w:rPr>
      </w:pPr>
    </w:p>
    <w:p w14:paraId="03A8EAC4">
      <w:pPr>
        <w:spacing w:line="240" w:lineRule="auto"/>
        <w:jc w:val="left"/>
        <w:rPr>
          <w:rFonts w:ascii="仿宋_GB2312" w:hAnsi="新宋体" w:eastAsia="仿宋_GB2312"/>
          <w:sz w:val="32"/>
          <w:szCs w:val="24"/>
        </w:rPr>
      </w:pPr>
    </w:p>
    <w:p w14:paraId="01FC6C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FFC550"/>
    <w:multiLevelType w:val="singleLevel"/>
    <w:tmpl w:val="D6FFC550"/>
    <w:lvl w:ilvl="0" w:tentative="0">
      <w:start w:val="1"/>
      <w:numFmt w:val="chineseCounting"/>
      <w:suff w:val="nothing"/>
      <w:lvlText w:val="（%1）"/>
      <w:lvlJc w:val="left"/>
      <w:pPr>
        <w:ind w:left="0" w:firstLine="420"/>
      </w:pPr>
      <w:rPr>
        <w:rFonts w:hint="eastAsia"/>
      </w:rPr>
    </w:lvl>
  </w:abstractNum>
  <w:abstractNum w:abstractNumId="1">
    <w:nsid w:val="DFBB1F79"/>
    <w:multiLevelType w:val="singleLevel"/>
    <w:tmpl w:val="DFBB1F79"/>
    <w:lvl w:ilvl="0" w:tentative="0">
      <w:start w:val="1"/>
      <w:numFmt w:val="chineseCounting"/>
      <w:suff w:val="nothing"/>
      <w:lvlText w:val="（%1）"/>
      <w:lvlJc w:val="left"/>
      <w:pPr>
        <w:ind w:left="0" w:firstLine="420"/>
      </w:pPr>
      <w:rPr>
        <w:rFonts w:hint="eastAsia"/>
      </w:rPr>
    </w:lvl>
  </w:abstractNum>
  <w:abstractNum w:abstractNumId="2">
    <w:nsid w:val="E7F11F85"/>
    <w:multiLevelType w:val="singleLevel"/>
    <w:tmpl w:val="E7F11F85"/>
    <w:lvl w:ilvl="0" w:tentative="0">
      <w:start w:val="1"/>
      <w:numFmt w:val="chineseCounting"/>
      <w:suff w:val="nothing"/>
      <w:lvlText w:val="（%1）"/>
      <w:lvlJc w:val="left"/>
      <w:pPr>
        <w:ind w:left="0" w:firstLine="420"/>
      </w:pPr>
      <w:rPr>
        <w:rFonts w:hint="eastAsia"/>
      </w:rPr>
    </w:lvl>
  </w:abstractNum>
  <w:abstractNum w:abstractNumId="3">
    <w:nsid w:val="ED5C8732"/>
    <w:multiLevelType w:val="singleLevel"/>
    <w:tmpl w:val="ED5C8732"/>
    <w:lvl w:ilvl="0" w:tentative="0">
      <w:start w:val="1"/>
      <w:numFmt w:val="chineseCounting"/>
      <w:suff w:val="nothing"/>
      <w:lvlText w:val="（%1）"/>
      <w:lvlJc w:val="left"/>
      <w:pPr>
        <w:ind w:left="0" w:firstLine="420"/>
      </w:pPr>
      <w:rPr>
        <w:rFonts w:hint="eastAsia"/>
      </w:rPr>
    </w:lvl>
  </w:abstractNum>
  <w:abstractNum w:abstractNumId="4">
    <w:nsid w:val="EDBEFE4C"/>
    <w:multiLevelType w:val="singleLevel"/>
    <w:tmpl w:val="EDBEFE4C"/>
    <w:lvl w:ilvl="0" w:tentative="0">
      <w:start w:val="1"/>
      <w:numFmt w:val="decimal"/>
      <w:lvlText w:val="(%1)"/>
      <w:lvlJc w:val="left"/>
      <w:pPr>
        <w:ind w:left="425" w:hanging="425"/>
      </w:pPr>
      <w:rPr>
        <w:rFonts w:hint="default"/>
      </w:rPr>
    </w:lvl>
  </w:abstractNum>
  <w:abstractNum w:abstractNumId="5">
    <w:nsid w:val="7FBE5F96"/>
    <w:multiLevelType w:val="singleLevel"/>
    <w:tmpl w:val="7FBE5F96"/>
    <w:lvl w:ilvl="0" w:tentative="0">
      <w:start w:val="1"/>
      <w:numFmt w:val="decimal"/>
      <w:lvlText w:val="(%1)"/>
      <w:lvlJc w:val="left"/>
      <w:pPr>
        <w:tabs>
          <w:tab w:val="left" w:pos="397"/>
        </w:tabs>
        <w:ind w:left="454" w:hanging="454"/>
      </w:pPr>
      <w:rPr>
        <w:rFont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36ED"/>
    <w:rsid w:val="3D4968AF"/>
    <w:rsid w:val="51FD7145"/>
    <w:rsid w:val="706C3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2595</Words>
  <Characters>2671</Characters>
  <Lines>0</Lines>
  <Paragraphs>0</Paragraphs>
  <TotalTime>0</TotalTime>
  <ScaleCrop>false</ScaleCrop>
  <LinksUpToDate>false</LinksUpToDate>
  <CharactersWithSpaces>2680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2025-08-11T08:15:00Z</dcterms:created>
  <dc:creator>Administrator</dc:creator>
  <cp:lastModifiedBy>木易木又</cp:lastModifiedBy>
  <dcterms:modified xsi:type="dcterms:W3CDTF">2025-08-12T15:24:41Z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eyJoZGlkIjoiM2Y2MGI1YzgzYTQxMWFhM2UwYWIxMTI3OGJhMWI2OTEiLCJ1c2VySWQiOiIyNjUwOTgwNDQifQ==</vt:lpwstr>
  </property>
  <property fmtid="{D5CDD505-2E9C-101B-9397-08002B2CF9AE}" pid="4" name="ICV">
    <vt:lpwstr>EB1B1EB751174FABA1555669E15B765D_12</vt:lpwstr>
  </property>
</Properties>
</file>