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BD4E6">
      <w:pPr>
        <w:widowControl/>
        <w:jc w:val="left"/>
        <w:outlineLvl w:val="2"/>
        <w:rPr>
          <w:rFonts w:eastAsia="仿宋"/>
          <w:b/>
          <w:sz w:val="28"/>
          <w:szCs w:val="32"/>
        </w:rPr>
      </w:pPr>
      <w:bookmarkStart w:id="0" w:name="_Toc1304597533"/>
      <w:bookmarkStart w:id="1" w:name="_Toc1669981133"/>
      <w:bookmarkStart w:id="16" w:name="_GoBack"/>
      <w:bookmarkEnd w:id="16"/>
      <w:r>
        <w:rPr>
          <w:rFonts w:hint="eastAsia" w:eastAsia="仿宋"/>
          <w:b/>
          <w:sz w:val="28"/>
          <w:szCs w:val="32"/>
          <w:lang w:val="en-US" w:eastAsia="zh-CN"/>
        </w:rPr>
        <w:t>4</w:t>
      </w:r>
      <w:r>
        <w:rPr>
          <w:rFonts w:hint="eastAsia" w:eastAsia="仿宋"/>
          <w:b/>
          <w:sz w:val="28"/>
          <w:szCs w:val="32"/>
        </w:rPr>
        <w:t>包（</w:t>
      </w:r>
      <w:r>
        <w:rPr>
          <w:rFonts w:hint="eastAsia" w:ascii="仿宋" w:hAnsi="仿宋" w:eastAsia="仿宋" w:cs="仿宋"/>
          <w:sz w:val="32"/>
          <w:szCs w:val="32"/>
        </w:rPr>
        <w:t>第三方测试及网络安全服务</w:t>
      </w:r>
      <w:r>
        <w:rPr>
          <w:rFonts w:hint="eastAsia" w:eastAsia="仿宋"/>
          <w:b/>
          <w:sz w:val="28"/>
          <w:szCs w:val="32"/>
        </w:rPr>
        <w:t>）</w:t>
      </w:r>
      <w:bookmarkEnd w:id="0"/>
      <w:bookmarkEnd w:id="1"/>
    </w:p>
    <w:p w14:paraId="7FCDA581">
      <w:pPr>
        <w:keepNext/>
        <w:keepLines/>
        <w:widowControl w:val="0"/>
        <w:tabs>
          <w:tab w:val="left" w:pos="425"/>
        </w:tabs>
        <w:spacing w:before="0" w:beforeLines="0" w:beforeAutospacing="0" w:after="0" w:afterLines="0" w:afterAutospacing="0" w:line="440" w:lineRule="exact"/>
        <w:jc w:val="both"/>
        <w:outlineLvl w:val="3"/>
        <w:rPr>
          <w:rFonts w:hint="eastAsia" w:ascii="等线" w:hAnsi="等线" w:eastAsia="等线" w:cs="Times New Roman"/>
          <w:b/>
          <w:kern w:val="44"/>
          <w:sz w:val="24"/>
          <w:szCs w:val="24"/>
          <w:lang w:val="en-US" w:eastAsia="zh-CN" w:bidi="ar-SA"/>
        </w:rPr>
      </w:pPr>
      <w:r>
        <w:rPr>
          <w:rFonts w:hint="eastAsia" w:ascii="等线" w:hAnsi="等线" w:eastAsia="等线" w:cs="Times New Roman"/>
          <w:b/>
          <w:kern w:val="44"/>
          <w:sz w:val="24"/>
          <w:szCs w:val="24"/>
          <w:lang w:val="en-US" w:eastAsia="zh-CN" w:bidi="ar-SA"/>
        </w:rPr>
        <w:t>一、第三方软件测试需求</w:t>
      </w:r>
    </w:p>
    <w:p w14:paraId="757D73DF">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（一）项目概述</w:t>
      </w:r>
    </w:p>
    <w:p w14:paraId="2A84AEF6">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为客观公正评估本项目是否满足设计方案的要求，提高信息系统的质量、降低运营风险、减少后期维护成本、保障软件工程质量，现引入第三方测评机构对本项目的功能性、性能效率等质量特性进行专业测评。在系统测评过程中，第三方机构将对软件产品质量进行合理评估，对出现的系统问题，配合应用系统开发单位进行故障定位和优化。提供权威的第三方软件测试报告，对系统建设的质量把关，确保平台建设实现预期建设目标，符合设计需求，符合信息化技术的发展方向，满足业务的应用和开展。</w:t>
      </w:r>
    </w:p>
    <w:p w14:paraId="47A1411D">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（二）项目目标</w:t>
      </w:r>
    </w:p>
    <w:p w14:paraId="1B360E34">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完成海南省人力资源开发局业务系统国产化替代改造（2024年）项目的软件测评工作，提供整改建议并协助项目承建方整改，出具测评报告。海南省人力资源开发局业务系统国产化替代改造（2024年）项目建设内容包括：</w:t>
      </w:r>
    </w:p>
    <w:p w14:paraId="24A9ED24">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1.应用系统数据库架构改造升级。</w:t>
      </w:r>
    </w:p>
    <w:p w14:paraId="32AC38D4">
      <w:pPr>
        <w:widowControl w:val="0"/>
        <w:numPr>
          <w:ilvl w:val="0"/>
          <w:numId w:val="1"/>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海南省公共就业服务平台就业数智应用系统数据库架构改造；</w:t>
      </w:r>
    </w:p>
    <w:p w14:paraId="37FCA523">
      <w:pPr>
        <w:widowControl w:val="0"/>
        <w:numPr>
          <w:ilvl w:val="0"/>
          <w:numId w:val="1"/>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海南省公共就业服务平台就业数智应用系统数据库迁移。</w:t>
      </w:r>
    </w:p>
    <w:p w14:paraId="3F5DB85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2.海南省职业培训信息管理系统信创改造及升级。</w:t>
      </w:r>
    </w:p>
    <w:p w14:paraId="3731A9CA">
      <w:pPr>
        <w:widowControl w:val="0"/>
        <w:numPr>
          <w:ilvl w:val="0"/>
          <w:numId w:val="2"/>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国产化适配改造；</w:t>
      </w:r>
    </w:p>
    <w:p w14:paraId="6523EC45">
      <w:pPr>
        <w:widowControl w:val="0"/>
        <w:numPr>
          <w:ilvl w:val="0"/>
          <w:numId w:val="2"/>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系统及数据迁移；</w:t>
      </w:r>
    </w:p>
    <w:p w14:paraId="16F01F90">
      <w:pPr>
        <w:widowControl w:val="0"/>
        <w:numPr>
          <w:ilvl w:val="0"/>
          <w:numId w:val="2"/>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系统功能优化升级；</w:t>
      </w:r>
    </w:p>
    <w:p w14:paraId="62EA5BF3">
      <w:pPr>
        <w:widowControl w:val="0"/>
        <w:numPr>
          <w:ilvl w:val="0"/>
          <w:numId w:val="0"/>
        </w:numPr>
        <w:spacing w:beforeLines="0" w:afterLines="0" w:line="440" w:lineRule="exact"/>
        <w:ind w:left="0" w:leftChars="0" w:firstLine="488" w:firstLineChars="200"/>
        <w:jc w:val="both"/>
        <w:rPr>
          <w:rFonts w:hint="eastAsia" w:ascii="仿宋" w:hAnsi="仿宋" w:eastAsia="仿宋" w:cs="仿宋"/>
          <w:kern w:val="2"/>
          <w:sz w:val="24"/>
          <w:szCs w:val="24"/>
          <w:lang w:val="en-US" w:eastAsia="zh-CN" w:bidi="ar-SA"/>
        </w:rPr>
      </w:pPr>
      <w:r>
        <w:rPr>
          <w:rFonts w:hint="eastAsia" w:ascii="宋体" w:hAnsi="宋体" w:eastAsia="宋体" w:cs="宋体"/>
          <w:spacing w:val="2"/>
          <w:kern w:val="2"/>
          <w:sz w:val="24"/>
          <w:szCs w:val="24"/>
          <w:lang w:val="en-US" w:eastAsia="zh-CN" w:bidi="ar-SA"/>
        </w:rPr>
        <w:t>(4)密码应用改造。</w:t>
      </w:r>
    </w:p>
    <w:p w14:paraId="0EF8EE5E">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（三）服务要求</w:t>
      </w:r>
    </w:p>
    <w:p w14:paraId="0E5EC51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对本项目开展软件测评服务，对出现的系统问题，配合承建方进行问题定位和优化。并在系统验收前提供权威的软件测评报告。</w:t>
      </w:r>
    </w:p>
    <w:p w14:paraId="57F19721">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1.测评标准及规范</w:t>
      </w:r>
    </w:p>
    <w:p w14:paraId="52451B56">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（1）GB/T 25000.51:2016《系统与软件工程 系统与软件质量要求和评价(SQuaRE) 第 51 部分:就绪可用软件产品(RUSP)的质量要求和测试细则》；</w:t>
      </w:r>
    </w:p>
    <w:p w14:paraId="32E2A800">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（2）GB/T 25000.10:2016 《系统与软件工程 系统与软件质量要求和评价(SQuaRE) 第 10 部分:系统与软件质量模型》。</w:t>
      </w:r>
    </w:p>
    <w:p w14:paraId="379B2F94">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2.测评内容和要求</w:t>
      </w:r>
    </w:p>
    <w:p w14:paraId="548038E3">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软件测评对象为本项目开发的应用软件，测评内容包括软件产品的功能性、性能效率用户文档集方面的质量特性。测评人员应以公正、科学、客观、准确的态度，严格按照 GB/T 25000.51:2016《系统与软件工程 系统与软件质量要求和评价(SQuaRE) 第 51 部分:就绪可用软件产品(RUSP)的质量要求和测试细则》等国家、国际有关标准规定的检测方法，开展项目软件测评工作。在测评过程中，须及时向采购人及承建单位通报在系统中发现的问题，并于系统测评完成时向采购人提供一份详实的测评报告。如测评中发现要修正的问题，待采购人安排承建方修改完后，要进行回归测评。</w:t>
      </w:r>
    </w:p>
    <w:p w14:paraId="5D8954F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本次第三方软件测评服务内容包含以下方面：</w:t>
      </w:r>
    </w:p>
    <w:p w14:paraId="502B3F5B">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（1）功能性测评</w:t>
      </w:r>
    </w:p>
    <w:p w14:paraId="74F70D61">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功能性测评需要依据需求说明说书和平台建设的有关技术要求，结合用户对系统建设的整体功能方向，对系统涉及到的所有业务逻辑、功能逻辑、功能项等进行全覆盖的测评，及时发现软件系统中存在的问题并提出系统改进意见。</w:t>
      </w:r>
    </w:p>
    <w:p w14:paraId="3E883796">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（2）性能效率测评</w:t>
      </w:r>
    </w:p>
    <w:p w14:paraId="1B47FE7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通过站在用户体验的角度，使用专业的负载生成设备，在性能模型的基础上验证系统是否能够达到用户提出的性能指标，是否符合用户文档中对系统设计时的性能关注点。</w:t>
      </w:r>
    </w:p>
    <w:p w14:paraId="627AFDB3">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（3）用户文档集特性测评</w:t>
      </w:r>
    </w:p>
    <w:p w14:paraId="5B44064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通过用户文档集测试，对系统所属的文档集进行查缺，对单一文档是否可以正确、简明的指引用户对系统的认识、理解、维护的能力进行评价。</w:t>
      </w:r>
    </w:p>
    <w:p w14:paraId="36BCB02B">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（4）易用性测评</w:t>
      </w:r>
    </w:p>
    <w:p w14:paraId="6AEB912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①软件系统各项功能应不仅需要明显且正确的显示，确保用户能够准确定位功能，同时还应对于一些特定任务要求的功能，数据应提供响应的提示信息，确保用户能够正确理解。</w:t>
      </w:r>
    </w:p>
    <w:p w14:paraId="719BFC6E">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②易学性方面，除了提供配套的使用手册或文档，以便用户能够查阅并学习系统的使用以外，系统自身还应为用户提供相应的在线帮助功能，达到边用边学的效果。</w:t>
      </w:r>
    </w:p>
    <w:p w14:paraId="7118F51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③对于易操作性相关要求，则应便于用户清楚功能的操作与数据的输入，便于用户快速进行功能的操作与数据的输入，便于用户理解当前的操作状态或结果。</w:t>
      </w:r>
    </w:p>
    <w:p w14:paraId="383FCEE1">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④最需要关注的是系统吸引用户的能力，那么系统应采用统一的界面、统一的菜单、标题、统一的图标和按钮，以及美观的输入框。</w:t>
      </w:r>
    </w:p>
    <w:p w14:paraId="3BEE3B6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3.技术方案</w:t>
      </w:r>
    </w:p>
    <w:p w14:paraId="61D1A9C9">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供应商应针对测试范围和测试内容进行分析，制定完整的测试方案，包括但不限于测试策略、测试方法、测试环境等内容。</w:t>
      </w:r>
    </w:p>
    <w:p w14:paraId="65D404A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4.项目实施要求</w:t>
      </w:r>
    </w:p>
    <w:p w14:paraId="645D251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供应商应针对本项目制定完整的实施方案，包括但不限于进度安排、人力资源计划、质量保证、风险管理、沟通管理等内容。</w:t>
      </w:r>
    </w:p>
    <w:p w14:paraId="00E1EF3F">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（1）资源配置</w:t>
      </w:r>
    </w:p>
    <w:p w14:paraId="1E9E4EF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供应商须在其响应文件中清晰陈述对于该项目实施过程中的资源配置情况。包括：</w:t>
      </w:r>
    </w:p>
    <w:p w14:paraId="6F2B6269">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项目的组织结构与职责分工</w:t>
      </w:r>
    </w:p>
    <w:p w14:paraId="277EF52B">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项目组配备人员的能力与资质</w:t>
      </w:r>
    </w:p>
    <w:p w14:paraId="3327F36F">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测试环境构建方案</w:t>
      </w:r>
    </w:p>
    <w:p w14:paraId="6DF894E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测试工具说明</w:t>
      </w:r>
    </w:p>
    <w:p w14:paraId="6974A01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应在其技术方案中陈述拟安排的资源和可用性保障条件，明确拟投入项目人员的专业背景、项目实践经验、资质及技术能力说明、人员可用性保障说明、测试环境、测试工具可用性保障说明。根据测试的实际需要考虑现场测试，差旅费包含在整体报价中。性能效率测试应采用业界主流的测试工具进行测试，由供应商提供，如果出现知识产权问题，责任归供应商。</w:t>
      </w:r>
    </w:p>
    <w:p w14:paraId="1B969C20">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（2）工作流程</w:t>
      </w:r>
    </w:p>
    <w:p w14:paraId="47764C50">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供应商的技术方案中须清晰描述其如何安排项目实施的工作流程，包含但不限于以下环节：</w:t>
      </w:r>
    </w:p>
    <w:p w14:paraId="77AB8F0C">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测试调研：对被测系统进行调研，熟悉测试需求。</w:t>
      </w:r>
    </w:p>
    <w:p w14:paraId="2CDA301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测试准备：测试计划、测评方案、测试用例集等的编制和准备。</w:t>
      </w:r>
    </w:p>
    <w:p w14:paraId="104C99D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测试执行：完成实施方案中要求的所有内容，并填写详细测试记录。</w:t>
      </w:r>
    </w:p>
    <w:p w14:paraId="5900AC3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测试问题报告提交：提交完整的问题报告。</w:t>
      </w:r>
    </w:p>
    <w:p w14:paraId="0778044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回归测试：对测试中发现的问题及影响范围进行回归测试。</w:t>
      </w:r>
    </w:p>
    <w:p w14:paraId="45D25A9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测试报告提交：提交正式验收测试报告。</w:t>
      </w:r>
    </w:p>
    <w:p w14:paraId="1C5D0BEC">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（3）质量控制和保障</w:t>
      </w:r>
    </w:p>
    <w:p w14:paraId="7282C6CC">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供应商技术方案中须清晰陈述其对项目实施质量控制和质量保障的方法、控制的目标、内容与流程、项目沟通制度、对于变更的管理等。</w:t>
      </w:r>
    </w:p>
    <w:p w14:paraId="13D7DE3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（4）项目风险管理</w:t>
      </w:r>
    </w:p>
    <w:p w14:paraId="117FEF98">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供应商技术方案中须清晰陈述其对项目实施风险管理的方法、以及对项目实施的风险评估和对策，充分考虑项目实施过程风险控制，对可能出现的各种情况有应急预案。</w:t>
      </w:r>
    </w:p>
    <w:p w14:paraId="1D182588">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5.服务保密要求</w:t>
      </w:r>
    </w:p>
    <w:p w14:paraId="30A5B60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供应商的服务人员均应与采购人签订保密协议。在执行服务过程中应严格按照保密协议相关要求执行。</w:t>
      </w:r>
    </w:p>
    <w:p w14:paraId="4F419BD2">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（四）服务交付物</w:t>
      </w:r>
    </w:p>
    <w:p w14:paraId="0283B511">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测试完成后提交相应的测试计划、测试用例及结果、测试报告。</w:t>
      </w:r>
    </w:p>
    <w:p w14:paraId="1F240893">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1.服务期及服务地点</w:t>
      </w:r>
    </w:p>
    <w:p w14:paraId="5B1135AF">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 xml:space="preserve">服务期：合同签订生效之日起至项目竣工验收为止 </w:t>
      </w:r>
    </w:p>
    <w:p w14:paraId="642C3F7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服务地点：海南省人力资源开发局</w:t>
      </w:r>
    </w:p>
    <w:p w14:paraId="5907FA25">
      <w:pPr>
        <w:keepNext/>
        <w:keepLines/>
        <w:widowControl w:val="0"/>
        <w:tabs>
          <w:tab w:val="left" w:pos="425"/>
        </w:tabs>
        <w:spacing w:before="0" w:beforeLines="0" w:after="0" w:afterLines="0" w:line="440" w:lineRule="exact"/>
        <w:jc w:val="both"/>
        <w:outlineLvl w:val="7"/>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2.验收标准及要求</w:t>
      </w:r>
    </w:p>
    <w:p w14:paraId="4D104170">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项目服务完成后，服务成果完全符合采购人需求及合同内容，出具完整的第三方测评报告，项目成果最终通过采购人组织验收。</w:t>
      </w:r>
    </w:p>
    <w:p w14:paraId="6D29D8DC">
      <w:pPr>
        <w:widowControl w:val="0"/>
        <w:spacing w:beforeLines="0" w:afterLines="0" w:line="440" w:lineRule="exact"/>
        <w:ind w:firstLine="480" w:firstLineChars="200"/>
        <w:jc w:val="both"/>
        <w:rPr>
          <w:rFonts w:hint="eastAsia" w:ascii="宋体" w:hAnsi="宋体" w:eastAsia="宋体" w:cs="宋体"/>
          <w:kern w:val="2"/>
          <w:sz w:val="24"/>
          <w:szCs w:val="24"/>
          <w:lang w:val="en-US" w:eastAsia="zh-CN" w:bidi="ar-SA"/>
        </w:rPr>
      </w:pPr>
    </w:p>
    <w:p w14:paraId="78485520">
      <w:pPr>
        <w:keepNext/>
        <w:keepLines/>
        <w:widowControl w:val="0"/>
        <w:tabs>
          <w:tab w:val="left" w:pos="425"/>
        </w:tabs>
        <w:spacing w:before="0" w:beforeLines="0" w:beforeAutospacing="0" w:after="0" w:afterLines="0" w:afterAutospacing="0" w:line="440" w:lineRule="exact"/>
        <w:jc w:val="both"/>
        <w:outlineLvl w:val="3"/>
        <w:rPr>
          <w:rFonts w:hint="eastAsia" w:ascii="等线" w:hAnsi="等线" w:eastAsia="等线" w:cs="Times New Roman"/>
          <w:b/>
          <w:kern w:val="44"/>
          <w:sz w:val="24"/>
          <w:szCs w:val="24"/>
          <w:lang w:val="en-US" w:eastAsia="zh-CN" w:bidi="ar-SA"/>
        </w:rPr>
      </w:pPr>
      <w:r>
        <w:rPr>
          <w:rFonts w:hint="eastAsia" w:ascii="等线" w:hAnsi="等线" w:eastAsia="等线" w:cs="Times New Roman"/>
          <w:b/>
          <w:kern w:val="44"/>
          <w:sz w:val="24"/>
          <w:szCs w:val="24"/>
          <w:lang w:val="en-US" w:eastAsia="zh-CN" w:bidi="ar-SA"/>
        </w:rPr>
        <w:t>二、网络安全服务需求（代码审计、渗透测试）</w:t>
      </w:r>
    </w:p>
    <w:p w14:paraId="270D6631">
      <w:pPr>
        <w:keepNext/>
        <w:keepLines/>
        <w:widowControl w:val="0"/>
        <w:tabs>
          <w:tab w:val="left" w:pos="425"/>
        </w:tabs>
        <w:spacing w:before="0" w:beforeLines="0" w:after="0" w:afterLines="0" w:line="440" w:lineRule="exact"/>
        <w:jc w:val="both"/>
        <w:outlineLvl w:val="4"/>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（一）项目概述</w:t>
      </w:r>
    </w:p>
    <w:p w14:paraId="05635ABE">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根据《信息安全技术 网络安全等级保护基本要求》(GB/T 22239-2019)要求，系统上线前需对核心及重要系统的开发交付进行源代码安全检查，防范可能存在的恶意代码、后门程序和安全漏洞。项目涉及的重要系统，参考同业实践经验以及安全管理服务建议，为确保项目建设进度和质量，引入第三方专业服务商开展新线核心及重要系统的源代码安全检查服务。</w:t>
      </w:r>
    </w:p>
    <w:p w14:paraId="749CD6F8">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随着信息技术的快速发展，网络安全问题也日益突出，当前网络安全形势日益严峻，网络攻击和数据泄露事件时有发生，就业数据是国家重要的经济数据，涉及到国家安全和社会稳定。因此，为了保障海南省人力资源开发局业务系统国产化替代改造（2024年）项目网络及数据安全，加强网络安全防护，提高网络安全保障能力成为了迫切的需求。通过委托专业的安全服务机构为海南省人力资源开发局业务系统国产化替代改造（2024年）项目提供网络安全渗透测试服务，可以加强就业数据的安全保障，防止数据泄露和被攻击，协助招标人完成网络安全保障相关事宜。</w:t>
      </w:r>
    </w:p>
    <w:p w14:paraId="7FFD8176">
      <w:pPr>
        <w:keepNext/>
        <w:keepLines/>
        <w:widowControl w:val="0"/>
        <w:tabs>
          <w:tab w:val="left" w:pos="425"/>
        </w:tabs>
        <w:spacing w:before="0" w:beforeLines="0" w:after="0" w:afterLines="0" w:line="440" w:lineRule="exact"/>
        <w:jc w:val="both"/>
        <w:outlineLvl w:val="4"/>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（二）项目需求</w:t>
      </w:r>
    </w:p>
    <w:p w14:paraId="7B1CABB5">
      <w:pPr>
        <w:widowControl w:val="0"/>
        <w:spacing w:before="0" w:beforeLines="0" w:beforeAutospacing="0" w:after="0" w:afterLines="0" w:afterAutospacing="0" w:line="440" w:lineRule="exact"/>
        <w:jc w:val="left"/>
        <w:outlineLvl w:val="5"/>
        <w:rPr>
          <w:rFonts w:hint="default" w:ascii="仿宋" w:hAnsi="仿宋" w:eastAsia="仿宋" w:cs="仿宋"/>
          <w:b/>
          <w:kern w:val="2"/>
          <w:sz w:val="24"/>
          <w:szCs w:val="24"/>
          <w:lang w:val="en-US" w:eastAsia="zh-CN" w:bidi="ar"/>
        </w:rPr>
      </w:pPr>
      <w:r>
        <w:rPr>
          <w:rFonts w:hint="eastAsia" w:ascii="仿宋" w:hAnsi="仿宋" w:eastAsia="仿宋" w:cs="仿宋"/>
          <w:b/>
          <w:kern w:val="2"/>
          <w:sz w:val="24"/>
          <w:szCs w:val="24"/>
          <w:lang w:val="en-US" w:eastAsia="zh-CN" w:bidi="ar"/>
        </w:rPr>
        <w:t>1.代码审计服务</w:t>
      </w:r>
    </w:p>
    <w:p w14:paraId="798FC5B5">
      <w:pPr>
        <w:widowControl w:val="0"/>
        <w:spacing w:beforeLines="0" w:afterLines="0" w:line="440" w:lineRule="exact"/>
        <w:ind w:firstLine="480" w:firstLineChars="200"/>
        <w:jc w:val="both"/>
        <w:rPr>
          <w:rFonts w:ascii="Times New Roman" w:hAnsi="Times New Roman" w:eastAsia="宋体" w:cs="Times New Roman"/>
          <w:kern w:val="0"/>
          <w:sz w:val="24"/>
          <w:lang w:val="en-US" w:eastAsia="zh-CN" w:bidi="ar-SA"/>
        </w:rPr>
      </w:pPr>
      <w:r>
        <w:rPr>
          <w:rFonts w:hint="eastAsia" w:ascii="Times New Roman" w:hAnsi="Times New Roman" w:eastAsia="宋体" w:cs="Times New Roman"/>
          <w:kern w:val="0"/>
          <w:sz w:val="24"/>
          <w:lang w:val="en-US" w:eastAsia="zh-CN" w:bidi="ar-SA"/>
        </w:rPr>
        <w:t>网络技术日新月异，以应用系统为核心的信息化进程在不断推进，网络攻击矛头逐步转向各类应用系统。通常情况下，应用系统的安全防护往往依赖于上线前的安全测试和与之关联的外围安全产品所能提供的外在防护，往往忽略了源代码的自身安全，这是导致基于应用系统的安全事件不断涌现的主要原因。据统计，</w:t>
      </w:r>
      <w:r>
        <w:rPr>
          <w:rFonts w:ascii="Times New Roman" w:hAnsi="Times New Roman" w:eastAsia="宋体" w:cs="Times New Roman"/>
          <w:kern w:val="0"/>
          <w:sz w:val="24"/>
          <w:lang w:val="en-US" w:eastAsia="zh-CN" w:bidi="ar-SA"/>
        </w:rPr>
        <w:t>92%</w:t>
      </w:r>
      <w:r>
        <w:rPr>
          <w:rFonts w:hint="eastAsia" w:ascii="Times New Roman" w:hAnsi="Times New Roman" w:eastAsia="宋体" w:cs="Times New Roman"/>
          <w:kern w:val="0"/>
          <w:sz w:val="24"/>
          <w:lang w:val="en-US" w:eastAsia="zh-CN" w:bidi="ar-SA"/>
        </w:rPr>
        <w:t>的漏洞源自于应用系统，黑客乐此不疲地在不断挖掘和利用着这些漏洞，以期达到各类不可告人的非法目的，许多单位因此蒙受了重大损失，这些漏洞往往是由不安全的编码、不良架构和错误的配置产生的。</w:t>
      </w:r>
    </w:p>
    <w:p w14:paraId="5AD3B66C">
      <w:pPr>
        <w:widowControl w:val="0"/>
        <w:spacing w:beforeLines="0" w:afterLines="0" w:line="440" w:lineRule="exact"/>
        <w:ind w:firstLine="480" w:firstLineChars="200"/>
        <w:jc w:val="both"/>
        <w:rPr>
          <w:rFonts w:ascii="Times New Roman" w:hAnsi="Times New Roman" w:eastAsia="宋体" w:cs="Times New Roman"/>
          <w:kern w:val="0"/>
          <w:sz w:val="24"/>
          <w:lang w:val="en-US" w:eastAsia="zh-CN" w:bidi="ar-SA"/>
        </w:rPr>
      </w:pPr>
      <w:r>
        <w:rPr>
          <w:rFonts w:hint="eastAsia" w:ascii="Times New Roman" w:hAnsi="Times New Roman" w:eastAsia="宋体" w:cs="Times New Roman"/>
          <w:kern w:val="0"/>
          <w:sz w:val="24"/>
          <w:lang w:val="en-US" w:eastAsia="zh-CN" w:bidi="ar-SA"/>
        </w:rPr>
        <w:t>代码审计服务的目的在于充分挖掘应用系统代码中存在的安全缺陷及规范性缺陷，从而让开发人员了解其开发的应用系统可能会面临的威胁，并指导开发人员正确修复代码缺陷。将以网络安全等级保护标准规范为基线，由具备丰富编码经验并对安全编码原则及应用安全具有深刻理解的安全服务人员，结合国际化网络安全测试标准，在用户授权许可和安全可控的范围内采用静态分析、动态检测的分析方法，对应用系统源代码和软件架构的安全性、可靠性进行全面的安全检测，发现各类应用系统中存在的安全缺陷和规范性缺陷，从而保障应用系统安全、可靠。</w:t>
      </w:r>
    </w:p>
    <w:p w14:paraId="09891CA6">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（1）服务流程</w:t>
      </w:r>
    </w:p>
    <w:p w14:paraId="3DA7B2B4">
      <w:pPr>
        <w:widowControl w:val="0"/>
        <w:spacing w:beforeLines="0" w:afterLines="0" w:line="440" w:lineRule="exact"/>
        <w:ind w:firstLine="488" w:firstLineChars="200"/>
        <w:jc w:val="both"/>
        <w:rPr>
          <w:rFonts w:hint="eastAsia" w:ascii="仿宋" w:hAnsi="仿宋" w:eastAsia="仿宋" w:cs="仿宋"/>
          <w:kern w:val="2"/>
          <w:sz w:val="24"/>
          <w:szCs w:val="24"/>
          <w:lang w:val="en-US" w:eastAsia="en-US" w:bidi="ar-SA"/>
        </w:rPr>
      </w:pPr>
      <w:r>
        <w:rPr>
          <w:rFonts w:hint="eastAsia" w:ascii="宋体" w:hAnsi="宋体" w:eastAsia="宋体" w:cs="宋体"/>
          <w:spacing w:val="2"/>
          <w:kern w:val="2"/>
          <w:sz w:val="24"/>
          <w:szCs w:val="24"/>
          <w:lang w:val="en-US" w:eastAsia="zh-CN" w:bidi="ar-SA"/>
        </w:rPr>
        <w:t>具体服务流程如下图所示：</w:t>
      </w:r>
    </w:p>
    <w:p w14:paraId="12AF871C">
      <w:pPr>
        <w:spacing w:line="360" w:lineRule="auto"/>
        <w:jc w:val="center"/>
        <w:rPr>
          <w:rFonts w:hint="eastAsia" w:ascii="仿宋" w:hAnsi="仿宋" w:eastAsia="仿宋" w:cs="仿宋"/>
          <w:sz w:val="24"/>
          <w:szCs w:val="24"/>
        </w:rPr>
      </w:pPr>
      <w:r>
        <w:rPr>
          <w:rFonts w:hint="eastAsia" w:ascii="仿宋" w:hAnsi="仿宋" w:eastAsia="仿宋" w:cs="仿宋"/>
          <w:sz w:val="24"/>
          <w:szCs w:val="24"/>
        </w:rPr>
        <w:drawing>
          <wp:inline distT="0" distB="0" distL="114300" distR="114300">
            <wp:extent cx="5113655" cy="3067685"/>
            <wp:effectExtent l="0" t="0" r="1079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113655" cy="3067685"/>
                    </a:xfrm>
                    <a:prstGeom prst="rect">
                      <a:avLst/>
                    </a:prstGeom>
                    <a:noFill/>
                    <a:ln>
                      <a:noFill/>
                    </a:ln>
                  </pic:spPr>
                </pic:pic>
              </a:graphicData>
            </a:graphic>
          </wp:inline>
        </w:drawing>
      </w:r>
    </w:p>
    <w:p w14:paraId="44438F91">
      <w:pPr>
        <w:widowControl w:val="0"/>
        <w:spacing w:line="360" w:lineRule="auto"/>
        <w:ind w:firstLine="490" w:firstLineChars="200"/>
        <w:jc w:val="both"/>
        <w:rPr>
          <w:rFonts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（2）服务内容</w:t>
      </w:r>
    </w:p>
    <w:p w14:paraId="169E3BAF">
      <w:pPr>
        <w:widowControl w:val="0"/>
        <w:spacing w:line="440" w:lineRule="exact"/>
        <w:ind w:firstLine="480" w:firstLineChars="200"/>
        <w:jc w:val="both"/>
        <w:rPr>
          <w:rFonts w:ascii="Times New Roman" w:hAnsi="Times New Roman" w:eastAsia="宋体" w:cs="Times New Roman"/>
          <w:kern w:val="0"/>
          <w:sz w:val="24"/>
          <w:lang w:val="en-US" w:eastAsia="zh-CN" w:bidi="ar-SA"/>
        </w:rPr>
      </w:pPr>
      <w:r>
        <w:rPr>
          <w:rFonts w:hint="eastAsia" w:ascii="Times New Roman" w:hAnsi="Times New Roman" w:eastAsia="宋体" w:cs="Times New Roman"/>
          <w:kern w:val="0"/>
          <w:sz w:val="24"/>
          <w:lang w:val="en-US" w:eastAsia="zh-CN" w:bidi="ar-SA"/>
        </w:rPr>
        <w:t>静态代码审计适用于以</w:t>
      </w:r>
      <w:r>
        <w:rPr>
          <w:rFonts w:ascii="Times New Roman" w:hAnsi="Times New Roman" w:eastAsia="宋体" w:cs="Times New Roman"/>
          <w:kern w:val="0"/>
          <w:sz w:val="24"/>
          <w:lang w:val="en-US" w:eastAsia="zh-CN" w:bidi="ar-SA"/>
        </w:rPr>
        <w:t>C</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C++</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C#</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Java</w:t>
      </w:r>
      <w:r>
        <w:rPr>
          <w:rFonts w:hint="eastAsia" w:ascii="Times New Roman" w:hAnsi="Times New Roman" w:eastAsia="宋体" w:cs="Times New Roman"/>
          <w:kern w:val="0"/>
          <w:sz w:val="24"/>
          <w:lang w:val="en-US" w:eastAsia="zh-CN" w:bidi="ar-SA"/>
        </w:rPr>
        <w:t>等语言开发的应用程序，以及以</w:t>
      </w:r>
      <w:r>
        <w:rPr>
          <w:rFonts w:ascii="Times New Roman" w:hAnsi="Times New Roman" w:eastAsia="宋体" w:cs="Times New Roman"/>
          <w:kern w:val="0"/>
          <w:sz w:val="24"/>
          <w:lang w:val="en-US" w:eastAsia="zh-CN" w:bidi="ar-SA"/>
        </w:rPr>
        <w:t>Ruby</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PHP</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ASP</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JSP</w:t>
      </w:r>
      <w:r>
        <w:rPr>
          <w:rFonts w:hint="eastAsia" w:ascii="Times New Roman" w:hAnsi="Times New Roman" w:eastAsia="宋体" w:cs="Times New Roman"/>
          <w:kern w:val="0"/>
          <w:sz w:val="24"/>
          <w:lang w:val="en-US" w:eastAsia="zh-CN" w:bidi="ar-SA"/>
        </w:rPr>
        <w:t>、</w:t>
      </w:r>
      <w:r>
        <w:rPr>
          <w:rFonts w:ascii="Times New Roman" w:hAnsi="Times New Roman" w:eastAsia="宋体" w:cs="Times New Roman"/>
          <w:kern w:val="0"/>
          <w:sz w:val="24"/>
          <w:lang w:val="en-US" w:eastAsia="zh-CN" w:bidi="ar-SA"/>
        </w:rPr>
        <w:t>JavaScript</w:t>
      </w:r>
      <w:r>
        <w:rPr>
          <w:rFonts w:hint="eastAsia" w:ascii="Times New Roman" w:hAnsi="Times New Roman" w:eastAsia="宋体" w:cs="Times New Roman"/>
          <w:kern w:val="0"/>
          <w:sz w:val="24"/>
          <w:lang w:val="en-US" w:eastAsia="zh-CN" w:bidi="ar-SA"/>
        </w:rPr>
        <w:t>和</w:t>
      </w:r>
      <w:r>
        <w:rPr>
          <w:rFonts w:ascii="Times New Roman" w:hAnsi="Times New Roman" w:eastAsia="宋体" w:cs="Times New Roman"/>
          <w:kern w:val="0"/>
          <w:sz w:val="24"/>
          <w:lang w:val="en-US" w:eastAsia="zh-CN" w:bidi="ar-SA"/>
        </w:rPr>
        <w:t>Perl</w:t>
      </w:r>
      <w:r>
        <w:rPr>
          <w:rFonts w:hint="eastAsia" w:ascii="Times New Roman" w:hAnsi="Times New Roman" w:eastAsia="宋体" w:cs="Times New Roman"/>
          <w:kern w:val="0"/>
          <w:sz w:val="24"/>
          <w:lang w:val="en-US" w:eastAsia="zh-CN" w:bidi="ar-SA"/>
        </w:rPr>
        <w:t>等在内的各种</w:t>
      </w:r>
      <w:r>
        <w:rPr>
          <w:rFonts w:ascii="Times New Roman" w:hAnsi="Times New Roman" w:eastAsia="宋体" w:cs="Times New Roman"/>
          <w:kern w:val="0"/>
          <w:sz w:val="24"/>
          <w:lang w:val="en-US" w:eastAsia="zh-CN" w:bidi="ar-SA"/>
        </w:rPr>
        <w:t>Web</w:t>
      </w:r>
      <w:r>
        <w:rPr>
          <w:rFonts w:hint="eastAsia" w:ascii="Times New Roman" w:hAnsi="Times New Roman" w:eastAsia="宋体" w:cs="Times New Roman"/>
          <w:kern w:val="0"/>
          <w:sz w:val="24"/>
          <w:lang w:val="en-US" w:eastAsia="zh-CN" w:bidi="ar-SA"/>
        </w:rPr>
        <w:t>技术编写的应用程序，可以是应用程序的全部代码，也可以是一部分完整的代码，只需搭建与用户单位无关的独立的代码分析环境，无需搭建代码运行环境。动态代码审计适用于以</w:t>
      </w:r>
      <w:r>
        <w:rPr>
          <w:rFonts w:ascii="Times New Roman" w:hAnsi="Times New Roman" w:eastAsia="宋体" w:cs="Times New Roman"/>
          <w:kern w:val="0"/>
          <w:sz w:val="24"/>
          <w:lang w:val="en-US" w:eastAsia="zh-CN" w:bidi="ar-SA"/>
        </w:rPr>
        <w:t>Java</w:t>
      </w:r>
      <w:r>
        <w:rPr>
          <w:rFonts w:hint="eastAsia" w:ascii="Times New Roman" w:hAnsi="Times New Roman" w:eastAsia="宋体" w:cs="Times New Roman"/>
          <w:kern w:val="0"/>
          <w:sz w:val="24"/>
          <w:lang w:val="en-US" w:eastAsia="zh-CN" w:bidi="ar-SA"/>
        </w:rPr>
        <w:t>语言开发的应用程序，需搭建与生产环境类似的功能齐全的应用运行环境（缺失的功能将无法被审计）。源码安全分析人员会使用审计工具和手工分析对程序中的数据流、控制流、语义、结构、配置文件五个层面的脆弱性和安全缺陷进行分析，然后对重点代码进行人工审计。</w:t>
      </w:r>
    </w:p>
    <w:p w14:paraId="67516F3B">
      <w:pPr>
        <w:widowControl w:val="0"/>
        <w:spacing w:line="440" w:lineRule="exact"/>
        <w:ind w:firstLine="490"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审计环境部署：</w:t>
      </w:r>
      <w:r>
        <w:rPr>
          <w:rFonts w:hint="eastAsia" w:ascii="宋体" w:hAnsi="宋体" w:eastAsia="宋体" w:cs="宋体"/>
          <w:spacing w:val="2"/>
          <w:kern w:val="2"/>
          <w:sz w:val="24"/>
          <w:szCs w:val="24"/>
          <w:lang w:val="en-US" w:eastAsia="zh-CN" w:bidi="ar-SA"/>
        </w:rPr>
        <w:t>静态代码审计只需部署分析环境，无需部署代码运行环境，同时需要提供源代码，可进行现场审计，亦可实施异地审计。动态代码审计需提供与生产环境类似的功能齐全的应用运行环境（缺失的功能将无法被审计），以现场审计为主，远程协助为辅；</w:t>
      </w:r>
    </w:p>
    <w:p w14:paraId="57FAEDA5">
      <w:pPr>
        <w:widowControl w:val="0"/>
        <w:spacing w:line="440" w:lineRule="exact"/>
        <w:ind w:firstLine="490"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静态代码审计：</w:t>
      </w:r>
      <w:r>
        <w:rPr>
          <w:rFonts w:hint="eastAsia" w:ascii="宋体" w:hAnsi="宋体" w:eastAsia="宋体" w:cs="宋体"/>
          <w:spacing w:val="2"/>
          <w:kern w:val="2"/>
          <w:sz w:val="24"/>
          <w:szCs w:val="24"/>
          <w:lang w:val="en-US" w:eastAsia="zh-CN" w:bidi="ar-SA"/>
        </w:rPr>
        <w:t>采用自动静态分析技术扫描某个应用程序的源代码，通过甄别和定位可能存在的薄弱环节数量，以验证该应用程序存在的风险；</w:t>
      </w:r>
    </w:p>
    <w:p w14:paraId="64422AFC">
      <w:pPr>
        <w:widowControl w:val="0"/>
        <w:spacing w:line="440" w:lineRule="exact"/>
        <w:ind w:firstLine="490"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人工验证：</w:t>
      </w:r>
      <w:r>
        <w:rPr>
          <w:rFonts w:hint="eastAsia" w:ascii="宋体" w:hAnsi="宋体" w:eastAsia="宋体" w:cs="宋体"/>
          <w:spacing w:val="2"/>
          <w:kern w:val="2"/>
          <w:sz w:val="24"/>
          <w:szCs w:val="24"/>
          <w:lang w:val="en-US" w:eastAsia="zh-CN" w:bidi="ar-SA"/>
        </w:rPr>
        <w:t>针对审计结果，进行人工验证，剔除误报，客观和全面地发现软件系统自身的安全隐患。</w:t>
      </w:r>
    </w:p>
    <w:p w14:paraId="0A2049BD">
      <w:pPr>
        <w:widowControl w:val="0"/>
        <w:spacing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ascii="宋体" w:hAnsi="宋体" w:eastAsia="宋体" w:cs="宋体"/>
          <w:b/>
          <w:bCs/>
          <w:spacing w:val="2"/>
          <w:kern w:val="2"/>
          <w:sz w:val="24"/>
          <w:szCs w:val="24"/>
          <w:lang w:val="en-US" w:eastAsia="zh-CN" w:bidi="ar-SA"/>
        </w:rPr>
        <w:t>（2）</w:t>
      </w:r>
      <w:r>
        <w:rPr>
          <w:rFonts w:hint="eastAsia" w:ascii="宋体" w:hAnsi="宋体" w:eastAsia="宋体" w:cs="宋体"/>
          <w:b/>
          <w:bCs/>
          <w:spacing w:val="2"/>
          <w:kern w:val="2"/>
          <w:sz w:val="24"/>
          <w:szCs w:val="24"/>
          <w:lang w:val="en-US" w:eastAsia="zh-CN" w:bidi="ar-SA"/>
        </w:rPr>
        <w:t>服务对象及频率</w:t>
      </w:r>
    </w:p>
    <w:p w14:paraId="47FC1181">
      <w:pPr>
        <w:jc w:val="center"/>
        <w:rPr>
          <w:rFonts w:hint="eastAsia" w:ascii="黑体" w:hAnsi="黑体" w:eastAsia="黑体"/>
          <w:sz w:val="21"/>
          <w:szCs w:val="20"/>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
        <w:gridCol w:w="900"/>
        <w:gridCol w:w="3692"/>
        <w:gridCol w:w="1336"/>
        <w:gridCol w:w="1169"/>
        <w:gridCol w:w="905"/>
      </w:tblGrid>
      <w:tr w14:paraId="1EB03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0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2E952ED2">
            <w:pPr>
              <w:jc w:val="center"/>
              <w:rPr>
                <w:rFonts w:hint="eastAsia" w:ascii="宋体" w:hAnsi="宋体" w:eastAsia="宋体"/>
                <w:b/>
                <w:sz w:val="21"/>
                <w:szCs w:val="24"/>
              </w:rPr>
            </w:pPr>
            <w:r>
              <w:rPr>
                <w:rFonts w:hint="eastAsia" w:ascii="宋体" w:hAnsi="宋体" w:eastAsia="宋体"/>
                <w:b/>
                <w:sz w:val="21"/>
                <w:szCs w:val="24"/>
              </w:rPr>
              <w:t>序号</w:t>
            </w:r>
          </w:p>
        </w:tc>
        <w:tc>
          <w:tcPr>
            <w:tcW w:w="528"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687C2E36">
            <w:pPr>
              <w:jc w:val="center"/>
              <w:rPr>
                <w:rFonts w:hint="eastAsia" w:ascii="宋体" w:hAnsi="宋体" w:eastAsia="宋体"/>
                <w:b/>
                <w:sz w:val="21"/>
                <w:szCs w:val="24"/>
              </w:rPr>
            </w:pPr>
            <w:r>
              <w:rPr>
                <w:rFonts w:hint="eastAsia" w:ascii="宋体" w:hAnsi="宋体" w:eastAsia="宋体"/>
                <w:b/>
                <w:sz w:val="21"/>
                <w:szCs w:val="24"/>
              </w:rPr>
              <w:t>服务内容</w:t>
            </w:r>
          </w:p>
        </w:tc>
        <w:tc>
          <w:tcPr>
            <w:tcW w:w="2166"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51132881">
            <w:pPr>
              <w:jc w:val="center"/>
              <w:rPr>
                <w:rFonts w:hint="eastAsia" w:ascii="宋体" w:hAnsi="宋体" w:eastAsia="宋体"/>
                <w:b/>
                <w:sz w:val="21"/>
                <w:szCs w:val="24"/>
              </w:rPr>
            </w:pPr>
            <w:r>
              <w:rPr>
                <w:rFonts w:hint="eastAsia" w:ascii="宋体" w:hAnsi="宋体" w:eastAsia="宋体"/>
                <w:b/>
                <w:sz w:val="21"/>
                <w:szCs w:val="24"/>
              </w:rPr>
              <w:t>服务说明</w:t>
            </w:r>
          </w:p>
        </w:tc>
        <w:tc>
          <w:tcPr>
            <w:tcW w:w="784"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4CECD675">
            <w:pPr>
              <w:jc w:val="center"/>
              <w:rPr>
                <w:rFonts w:hint="eastAsia" w:ascii="宋体" w:hAnsi="宋体" w:eastAsia="宋体"/>
                <w:b/>
                <w:sz w:val="21"/>
                <w:szCs w:val="24"/>
              </w:rPr>
            </w:pPr>
            <w:r>
              <w:rPr>
                <w:rFonts w:hint="eastAsia" w:ascii="宋体" w:hAnsi="宋体" w:eastAsia="宋体"/>
                <w:b/>
                <w:sz w:val="21"/>
                <w:szCs w:val="24"/>
              </w:rPr>
              <w:t>服务对象</w:t>
            </w:r>
          </w:p>
        </w:tc>
        <w:tc>
          <w:tcPr>
            <w:tcW w:w="686"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2B701B63">
            <w:pPr>
              <w:jc w:val="center"/>
              <w:rPr>
                <w:rFonts w:hint="eastAsia" w:ascii="宋体" w:hAnsi="宋体" w:eastAsia="宋体"/>
                <w:b/>
                <w:sz w:val="21"/>
                <w:szCs w:val="24"/>
              </w:rPr>
            </w:pPr>
            <w:r>
              <w:rPr>
                <w:rFonts w:hint="eastAsia" w:ascii="宋体" w:hAnsi="宋体" w:eastAsia="宋体"/>
                <w:b/>
                <w:sz w:val="21"/>
                <w:szCs w:val="24"/>
              </w:rPr>
              <w:t>主要成果文档</w:t>
            </w:r>
          </w:p>
        </w:tc>
        <w:tc>
          <w:tcPr>
            <w:tcW w:w="532"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39AC7591">
            <w:pPr>
              <w:jc w:val="center"/>
              <w:rPr>
                <w:rFonts w:hint="eastAsia" w:ascii="宋体" w:hAnsi="宋体" w:eastAsia="宋体"/>
                <w:b/>
                <w:sz w:val="21"/>
                <w:szCs w:val="24"/>
              </w:rPr>
            </w:pPr>
            <w:r>
              <w:rPr>
                <w:rFonts w:hint="eastAsia" w:ascii="宋体" w:hAnsi="宋体" w:eastAsia="宋体"/>
                <w:b/>
                <w:sz w:val="21"/>
                <w:szCs w:val="24"/>
              </w:rPr>
              <w:t>服务类型</w:t>
            </w:r>
          </w:p>
        </w:tc>
      </w:tr>
      <w:tr w14:paraId="21DC7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05"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EED5AD">
            <w:pPr>
              <w:rPr>
                <w:rFonts w:hint="eastAsia" w:ascii="宋体" w:hAnsi="宋体" w:eastAsia="宋体"/>
                <w:sz w:val="21"/>
                <w:szCs w:val="24"/>
              </w:rPr>
            </w:pPr>
            <w:r>
              <w:rPr>
                <w:rFonts w:hint="eastAsia" w:ascii="Times New Roman" w:hAnsi="Times New Roman" w:eastAsia="宋体"/>
                <w:sz w:val="21"/>
                <w:szCs w:val="24"/>
              </w:rPr>
              <w:t>1</w:t>
            </w:r>
          </w:p>
        </w:tc>
        <w:tc>
          <w:tcPr>
            <w:tcW w:w="528"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5D7A98">
            <w:pPr>
              <w:rPr>
                <w:rFonts w:hint="eastAsia" w:ascii="宋体" w:hAnsi="宋体" w:eastAsia="宋体"/>
                <w:sz w:val="21"/>
                <w:szCs w:val="24"/>
              </w:rPr>
            </w:pPr>
            <w:r>
              <w:rPr>
                <w:rFonts w:hint="eastAsia" w:ascii="宋体" w:hAnsi="宋体" w:eastAsia="宋体"/>
                <w:sz w:val="21"/>
                <w:szCs w:val="24"/>
              </w:rPr>
              <w:t>代码审计服务</w:t>
            </w:r>
          </w:p>
        </w:tc>
        <w:tc>
          <w:tcPr>
            <w:tcW w:w="2166"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80C382">
            <w:pPr>
              <w:numPr>
                <w:ilvl w:val="0"/>
                <w:numId w:val="3"/>
              </w:numPr>
              <w:ind w:left="420" w:hanging="420"/>
              <w:rPr>
                <w:rFonts w:hint="eastAsia" w:ascii="宋体" w:hAnsi="宋体" w:eastAsia="宋体"/>
                <w:sz w:val="21"/>
                <w:szCs w:val="24"/>
              </w:rPr>
            </w:pPr>
            <w:r>
              <w:rPr>
                <w:rFonts w:hint="eastAsia" w:ascii="宋体" w:hAnsi="宋体" w:eastAsia="宋体"/>
                <w:sz w:val="21"/>
                <w:szCs w:val="24"/>
              </w:rPr>
              <w:t>采用自动静态分析技术扫描某个应用程序的源代码，通过甄别和定位可能存在的薄弱环节数量，以验证该应用程序存在的风险；</w:t>
            </w:r>
          </w:p>
          <w:p w14:paraId="0DBC95F9">
            <w:pPr>
              <w:numPr>
                <w:ilvl w:val="0"/>
                <w:numId w:val="3"/>
              </w:numPr>
              <w:ind w:left="420" w:hanging="420"/>
              <w:rPr>
                <w:rFonts w:hint="eastAsia" w:ascii="宋体" w:hAnsi="宋体" w:eastAsia="宋体"/>
                <w:sz w:val="21"/>
                <w:szCs w:val="24"/>
              </w:rPr>
            </w:pPr>
            <w:r>
              <w:rPr>
                <w:rFonts w:hint="eastAsia" w:ascii="宋体" w:hAnsi="宋体" w:eastAsia="宋体"/>
                <w:sz w:val="21"/>
                <w:szCs w:val="24"/>
              </w:rPr>
              <w:t>对于无法提供源代码的系统，通过在应用程序的字节码中动态插桩检测“探针”，获取应用程序各种运行时的上下文信息，在应用程序运行的同时，实时分析程序的安全弱点；</w:t>
            </w:r>
          </w:p>
          <w:p w14:paraId="371844AA">
            <w:pPr>
              <w:numPr>
                <w:ilvl w:val="0"/>
                <w:numId w:val="3"/>
              </w:numPr>
              <w:ind w:left="420" w:hanging="420"/>
              <w:rPr>
                <w:rFonts w:hint="eastAsia" w:ascii="宋体" w:hAnsi="宋体" w:eastAsia="宋体"/>
                <w:sz w:val="21"/>
                <w:szCs w:val="24"/>
              </w:rPr>
            </w:pPr>
            <w:r>
              <w:rPr>
                <w:rFonts w:hint="eastAsia" w:ascii="宋体" w:hAnsi="宋体" w:eastAsia="宋体"/>
                <w:sz w:val="21"/>
                <w:szCs w:val="24"/>
              </w:rPr>
              <w:t>协针对审计结果，进行人工验证，剔除误报，客观和全面地发现软件系统自身的安全隐患，出具代码审计报告；</w:t>
            </w:r>
          </w:p>
          <w:p w14:paraId="6FC3A297">
            <w:pPr>
              <w:numPr>
                <w:ilvl w:val="0"/>
                <w:numId w:val="3"/>
              </w:numPr>
              <w:ind w:left="420" w:hanging="420"/>
              <w:rPr>
                <w:rFonts w:hint="eastAsia" w:ascii="宋体" w:hAnsi="宋体" w:eastAsia="宋体"/>
                <w:sz w:val="21"/>
                <w:szCs w:val="24"/>
              </w:rPr>
            </w:pPr>
            <w:r>
              <w:rPr>
                <w:rFonts w:hint="eastAsia" w:ascii="宋体" w:hAnsi="宋体" w:eastAsia="宋体"/>
                <w:sz w:val="21"/>
                <w:szCs w:val="24"/>
              </w:rPr>
              <w:t>在代码风险整改后提供一次审计复核服务。</w:t>
            </w:r>
          </w:p>
        </w:tc>
        <w:tc>
          <w:tcPr>
            <w:tcW w:w="784"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D66982">
            <w:pPr>
              <w:rPr>
                <w:rFonts w:hint="eastAsia" w:ascii="宋体" w:hAnsi="宋体" w:eastAsia="宋体"/>
                <w:sz w:val="21"/>
                <w:szCs w:val="24"/>
              </w:rPr>
            </w:pPr>
            <w:r>
              <w:rPr>
                <w:rFonts w:hint="eastAsia" w:ascii="宋体" w:hAnsi="宋体" w:eastAsia="宋体" w:cs="宋体"/>
                <w:sz w:val="21"/>
                <w:szCs w:val="24"/>
              </w:rPr>
              <w:t>本项目国产化适配及升级改造部分。</w:t>
            </w:r>
          </w:p>
        </w:tc>
        <w:tc>
          <w:tcPr>
            <w:tcW w:w="686"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32B457">
            <w:pPr>
              <w:rPr>
                <w:rFonts w:hint="eastAsia" w:ascii="宋体" w:hAnsi="宋体" w:eastAsia="宋体"/>
                <w:sz w:val="21"/>
                <w:szCs w:val="24"/>
              </w:rPr>
            </w:pPr>
            <w:r>
              <w:rPr>
                <w:rFonts w:hint="eastAsia" w:ascii="宋体" w:hAnsi="宋体" w:eastAsia="宋体"/>
                <w:sz w:val="21"/>
                <w:szCs w:val="24"/>
              </w:rPr>
              <w:t>《应用系统代码审计报告》</w:t>
            </w:r>
          </w:p>
        </w:tc>
        <w:tc>
          <w:tcPr>
            <w:tcW w:w="53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F5E854">
            <w:pPr>
              <w:rPr>
                <w:rFonts w:hint="eastAsia" w:ascii="宋体" w:hAnsi="宋体" w:eastAsia="宋体"/>
                <w:sz w:val="21"/>
                <w:szCs w:val="24"/>
              </w:rPr>
            </w:pPr>
            <w:r>
              <w:rPr>
                <w:rFonts w:hint="eastAsia" w:ascii="宋体" w:hAnsi="宋体" w:eastAsia="宋体"/>
                <w:sz w:val="21"/>
                <w:szCs w:val="24"/>
              </w:rPr>
              <w:t>现场服务</w:t>
            </w:r>
          </w:p>
        </w:tc>
      </w:tr>
    </w:tbl>
    <w:p w14:paraId="29A94E82">
      <w:pPr>
        <w:widowControl w:val="0"/>
        <w:spacing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代码审计服务：1次。</w:t>
      </w:r>
    </w:p>
    <w:p w14:paraId="4BE4AB29">
      <w:pPr>
        <w:widowControl w:val="0"/>
        <w:spacing w:line="440" w:lineRule="exact"/>
        <w:ind w:firstLine="490" w:firstLineChars="200"/>
        <w:jc w:val="both"/>
        <w:rPr>
          <w:rFonts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（3）服务成果</w:t>
      </w:r>
    </w:p>
    <w:p w14:paraId="486525EC">
      <w:pPr>
        <w:widowControl w:val="0"/>
        <w:spacing w:line="440" w:lineRule="exact"/>
        <w:ind w:firstLine="480" w:firstLineChars="200"/>
        <w:jc w:val="both"/>
        <w:rPr>
          <w:rFonts w:ascii="Times New Roman" w:hAnsi="Times New Roman" w:eastAsia="宋体" w:cs="Times New Roman"/>
          <w:kern w:val="0"/>
          <w:sz w:val="24"/>
          <w:lang w:val="en-US" w:eastAsia="zh-CN" w:bidi="ar-SA"/>
        </w:rPr>
      </w:pPr>
      <w:r>
        <w:rPr>
          <w:rFonts w:hint="eastAsia" w:ascii="Times New Roman" w:hAnsi="Times New Roman" w:eastAsia="宋体" w:cs="Times New Roman"/>
          <w:kern w:val="0"/>
          <w:sz w:val="24"/>
          <w:lang w:val="en-US" w:eastAsia="zh-CN" w:bidi="ar-SA"/>
        </w:rPr>
        <w:t>通过代码审计服务对国产化改造后的信息系统开展代码审计工作，对程序源代码逐条进行检查和分析，发现这些源代码缺陷引发的安全漏洞，并提供代码修订措施和建议，输出包括但不限于《应用系统代码审计报告》。</w:t>
      </w:r>
    </w:p>
    <w:p w14:paraId="664E51B2">
      <w:pPr>
        <w:widowControl w:val="0"/>
        <w:spacing w:before="0" w:beforeAutospacing="0" w:after="0" w:afterAutospacing="0" w:line="440" w:lineRule="exact"/>
        <w:jc w:val="left"/>
        <w:outlineLvl w:val="5"/>
        <w:rPr>
          <w:rFonts w:hint="eastAsia" w:ascii="仿宋" w:hAnsi="仿宋" w:eastAsia="仿宋" w:cs="仿宋"/>
          <w:b/>
          <w:kern w:val="2"/>
          <w:sz w:val="24"/>
          <w:szCs w:val="24"/>
          <w:lang w:val="en-US" w:eastAsia="zh-CN" w:bidi="ar"/>
        </w:rPr>
      </w:pPr>
      <w:bookmarkStart w:id="2" w:name="_Toc361917617"/>
      <w:r>
        <w:rPr>
          <w:rFonts w:hint="eastAsia" w:ascii="仿宋" w:hAnsi="仿宋" w:eastAsia="仿宋" w:cs="仿宋"/>
          <w:b/>
          <w:kern w:val="2"/>
          <w:sz w:val="24"/>
          <w:szCs w:val="24"/>
          <w:lang w:val="en-US" w:eastAsia="zh-CN" w:bidi="ar"/>
        </w:rPr>
        <w:t>2.渗透测试服务</w:t>
      </w:r>
    </w:p>
    <w:p w14:paraId="0FA6C4C3">
      <w:pPr>
        <w:widowControl w:val="0"/>
        <w:spacing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ascii="宋体" w:hAnsi="宋体" w:eastAsia="宋体" w:cs="宋体"/>
          <w:b/>
          <w:bCs/>
          <w:spacing w:val="2"/>
          <w:kern w:val="2"/>
          <w:sz w:val="24"/>
          <w:szCs w:val="24"/>
          <w:lang w:val="en-US" w:eastAsia="zh-CN" w:bidi="ar-SA"/>
        </w:rPr>
        <w:t>（1）</w:t>
      </w:r>
      <w:r>
        <w:rPr>
          <w:rFonts w:hint="eastAsia" w:ascii="宋体" w:hAnsi="宋体" w:eastAsia="宋体" w:cs="宋体"/>
          <w:b/>
          <w:bCs/>
          <w:spacing w:val="2"/>
          <w:kern w:val="2"/>
          <w:sz w:val="24"/>
          <w:szCs w:val="24"/>
          <w:lang w:val="en-US" w:eastAsia="zh-CN" w:bidi="ar-SA"/>
        </w:rPr>
        <w:t>服务内容</w:t>
      </w:r>
    </w:p>
    <w:p w14:paraId="2A41173D">
      <w:pPr>
        <w:widowControl w:val="0"/>
        <w:spacing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渗透测试是一种通过模拟黑客可能使用的攻击方式和漏洞挖掘行为，对目标信息系统的安全进行深入安全检测的一种评估方法。渗透测试的目的是直观的让信息系统管理人员了解自身信息系统所面临的安全问题，看到对这些漏洞的利用或攻击可以产生什么样的破坏及影响。同时，为信息系统管理人员提供安全加固建议，及时采取必要的安全防范措施，帮助其更好的保护信息系统，从而促进信息系统安全稳定运行。以等级保护测评标准为基线，结合国际化网络安全测试标准，在用户授权下和可控的范围内采取可控的、不造成较大影响的模拟黑客攻击手法，及时发现信息系统的安全漏洞以及没有被掌控到的脆弱点，以便于及时对信息系统存在的安全漏洞及脆弱点进行修复，避免网络安全攻击事件对信息系统造成不良影响。</w:t>
      </w:r>
    </w:p>
    <w:p w14:paraId="11A88F2F">
      <w:pPr>
        <w:widowControl w:val="0"/>
        <w:spacing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渗透测试服务的渗透测试指标总共覆盖6个渗透测试层面，24个渗透测试类、137个渗透测试项，渗透测试模拟攻击的目标范围均包括对信息系统中的应用系统、服务器操作系统、数据库系统、网络设备等进行渗透测试。</w:t>
      </w:r>
    </w:p>
    <w:p w14:paraId="69A10DCC">
      <w:pPr>
        <w:widowControl w:val="0"/>
        <w:spacing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ascii="宋体" w:hAnsi="宋体" w:eastAsia="宋体" w:cs="宋体"/>
          <w:b/>
          <w:bCs/>
          <w:spacing w:val="2"/>
          <w:kern w:val="2"/>
          <w:sz w:val="24"/>
          <w:szCs w:val="24"/>
          <w:lang w:val="en-US" w:eastAsia="zh-CN" w:bidi="ar-SA"/>
        </w:rPr>
        <w:t>（2）</w:t>
      </w:r>
      <w:r>
        <w:rPr>
          <w:rFonts w:hint="eastAsia" w:ascii="宋体" w:hAnsi="宋体" w:eastAsia="宋体" w:cs="宋体"/>
          <w:b/>
          <w:bCs/>
          <w:spacing w:val="2"/>
          <w:kern w:val="2"/>
          <w:sz w:val="24"/>
          <w:szCs w:val="24"/>
          <w:lang w:val="en-US" w:eastAsia="zh-CN" w:bidi="ar-SA"/>
        </w:rPr>
        <w:t>服务对象及频率</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
        <w:gridCol w:w="690"/>
        <w:gridCol w:w="5263"/>
        <w:gridCol w:w="745"/>
        <w:gridCol w:w="1319"/>
      </w:tblGrid>
      <w:tr w14:paraId="32459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96"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17E537A1">
            <w:pPr>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40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260A9FEF">
            <w:pPr>
              <w:jc w:val="center"/>
              <w:rPr>
                <w:rFonts w:hint="eastAsia" w:ascii="宋体" w:hAnsi="宋体" w:eastAsia="宋体" w:cs="宋体"/>
                <w:b/>
                <w:sz w:val="21"/>
                <w:szCs w:val="21"/>
              </w:rPr>
            </w:pPr>
            <w:r>
              <w:rPr>
                <w:rFonts w:hint="eastAsia" w:ascii="宋体" w:hAnsi="宋体" w:eastAsia="宋体" w:cs="宋体"/>
                <w:b/>
                <w:sz w:val="21"/>
                <w:szCs w:val="21"/>
              </w:rPr>
              <w:t>服务内容</w:t>
            </w:r>
          </w:p>
        </w:tc>
        <w:tc>
          <w:tcPr>
            <w:tcW w:w="3088"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00875DF5">
            <w:pPr>
              <w:jc w:val="center"/>
              <w:rPr>
                <w:rFonts w:hint="eastAsia" w:ascii="宋体" w:hAnsi="宋体" w:eastAsia="宋体" w:cs="宋体"/>
                <w:b/>
                <w:sz w:val="21"/>
                <w:szCs w:val="21"/>
              </w:rPr>
            </w:pPr>
            <w:r>
              <w:rPr>
                <w:rFonts w:hint="eastAsia" w:ascii="宋体" w:hAnsi="宋体" w:eastAsia="宋体" w:cs="宋体"/>
                <w:b/>
                <w:sz w:val="21"/>
                <w:szCs w:val="21"/>
              </w:rPr>
              <w:t>服务说明</w:t>
            </w:r>
          </w:p>
        </w:tc>
        <w:tc>
          <w:tcPr>
            <w:tcW w:w="437"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1C507279">
            <w:pPr>
              <w:jc w:val="center"/>
              <w:rPr>
                <w:rFonts w:hint="eastAsia" w:ascii="宋体" w:hAnsi="宋体" w:eastAsia="宋体" w:cs="宋体"/>
                <w:b/>
                <w:sz w:val="21"/>
                <w:szCs w:val="21"/>
              </w:rPr>
            </w:pPr>
            <w:r>
              <w:rPr>
                <w:rFonts w:hint="eastAsia" w:ascii="宋体" w:hAnsi="宋体" w:eastAsia="宋体" w:cs="宋体"/>
                <w:b/>
                <w:sz w:val="21"/>
                <w:szCs w:val="21"/>
              </w:rPr>
              <w:t>服务对象</w:t>
            </w:r>
          </w:p>
        </w:tc>
        <w:tc>
          <w:tcPr>
            <w:tcW w:w="774" w:type="pct"/>
            <w:tcBorders>
              <w:top w:val="single" w:color="auto" w:sz="4" w:space="0"/>
              <w:left w:val="single" w:color="auto" w:sz="4" w:space="0"/>
              <w:bottom w:val="single" w:color="auto" w:sz="4" w:space="0"/>
              <w:right w:val="single" w:color="auto" w:sz="4" w:space="0"/>
            </w:tcBorders>
            <w:shd w:val="clear" w:color="auto" w:fill="A6A6A6"/>
            <w:noWrap w:val="0"/>
            <w:vAlign w:val="center"/>
          </w:tcPr>
          <w:p w14:paraId="7F602FF5">
            <w:pPr>
              <w:jc w:val="center"/>
              <w:rPr>
                <w:rFonts w:hint="eastAsia" w:ascii="宋体" w:hAnsi="宋体" w:eastAsia="宋体" w:cs="宋体"/>
                <w:b/>
                <w:sz w:val="21"/>
                <w:szCs w:val="21"/>
              </w:rPr>
            </w:pPr>
            <w:r>
              <w:rPr>
                <w:rFonts w:hint="eastAsia" w:ascii="宋体" w:hAnsi="宋体" w:eastAsia="宋体" w:cs="宋体"/>
                <w:b/>
                <w:sz w:val="21"/>
                <w:szCs w:val="21"/>
              </w:rPr>
              <w:t>服务类型</w:t>
            </w:r>
          </w:p>
        </w:tc>
      </w:tr>
      <w:tr w14:paraId="0E1A9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96"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414140">
            <w:pPr>
              <w:rPr>
                <w:rFonts w:hint="eastAsia" w:ascii="宋体" w:hAnsi="宋体" w:eastAsia="宋体" w:cs="宋体"/>
                <w:sz w:val="21"/>
                <w:szCs w:val="21"/>
              </w:rPr>
            </w:pPr>
            <w:r>
              <w:rPr>
                <w:rFonts w:hint="eastAsia" w:ascii="宋体" w:hAnsi="宋体" w:eastAsia="宋体" w:cs="宋体"/>
                <w:sz w:val="21"/>
                <w:szCs w:val="21"/>
              </w:rPr>
              <w:t>1</w:t>
            </w:r>
          </w:p>
        </w:tc>
        <w:tc>
          <w:tcPr>
            <w:tcW w:w="405"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659403">
            <w:pPr>
              <w:rPr>
                <w:rFonts w:hint="eastAsia" w:ascii="宋体" w:hAnsi="宋体" w:eastAsia="宋体" w:cs="宋体"/>
                <w:sz w:val="21"/>
                <w:szCs w:val="21"/>
              </w:rPr>
            </w:pPr>
            <w:r>
              <w:rPr>
                <w:rFonts w:hint="eastAsia" w:ascii="宋体" w:hAnsi="宋体" w:eastAsia="宋体" w:cs="宋体"/>
                <w:sz w:val="21"/>
                <w:szCs w:val="21"/>
              </w:rPr>
              <w:t>渗透测试服务</w:t>
            </w:r>
          </w:p>
        </w:tc>
        <w:tc>
          <w:tcPr>
            <w:tcW w:w="3088"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DAE90C">
            <w:pPr>
              <w:rPr>
                <w:rFonts w:hint="eastAsia" w:ascii="宋体" w:hAnsi="宋体" w:eastAsia="宋体" w:cs="宋体"/>
                <w:sz w:val="21"/>
                <w:szCs w:val="21"/>
              </w:rPr>
            </w:pPr>
            <w:r>
              <w:rPr>
                <w:rFonts w:hint="eastAsia" w:ascii="宋体" w:hAnsi="宋体" w:eastAsia="宋体" w:cs="宋体"/>
                <w:sz w:val="21"/>
                <w:szCs w:val="21"/>
              </w:rPr>
              <w:t>1.渗透测试将覆盖一系列的渗透测试项；</w:t>
            </w:r>
          </w:p>
          <w:p w14:paraId="60988ACF">
            <w:pPr>
              <w:rPr>
                <w:rFonts w:hint="eastAsia" w:ascii="宋体" w:hAnsi="宋体" w:eastAsia="宋体" w:cs="宋体"/>
                <w:sz w:val="21"/>
                <w:szCs w:val="21"/>
              </w:rPr>
            </w:pPr>
            <w:r>
              <w:rPr>
                <w:rFonts w:hint="eastAsia" w:ascii="宋体" w:hAnsi="宋体" w:eastAsia="宋体" w:cs="宋体"/>
                <w:sz w:val="21"/>
                <w:szCs w:val="21"/>
              </w:rPr>
              <w:t>2.渗透测试模拟攻击的目标范围包括信息系统中的应用系统、主机操作系统、数据库系统、网络设备等；</w:t>
            </w:r>
          </w:p>
          <w:p w14:paraId="39E5619E">
            <w:pPr>
              <w:rPr>
                <w:rFonts w:hint="eastAsia" w:ascii="宋体" w:hAnsi="宋体" w:eastAsia="宋体" w:cs="宋体"/>
                <w:sz w:val="21"/>
                <w:szCs w:val="21"/>
              </w:rPr>
            </w:pPr>
            <w:r>
              <w:rPr>
                <w:rFonts w:hint="eastAsia" w:ascii="宋体" w:hAnsi="宋体" w:eastAsia="宋体" w:cs="宋体"/>
                <w:sz w:val="21"/>
                <w:szCs w:val="21"/>
              </w:rPr>
              <w:t>3.提供渗透测试服务，出具渗透测试报告并针对整改进行一次高危风险复核。</w:t>
            </w:r>
          </w:p>
          <w:p w14:paraId="6ED29BDC">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渗透测试需要配备专业杀毒工具：</w:t>
            </w:r>
          </w:p>
          <w:p w14:paraId="449D3108">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无需再终端中安装任何软件或系驱动，即可通过指定位置扫描，快速扫描，全盘扫描对终端设备进行安全检测，可以针对进程扫描、关键未知扫描、开机启动项扫描、系统服务扫描；即插即用无需在目标主机系统上安装任何软件，即可进行恶意软件检测和删除。</w:t>
            </w:r>
          </w:p>
          <w:p w14:paraId="4009BB37">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2、支持检测感染式病毒、蠕虫、木马、黑客工具、风险软件、灰色软件、垃圾文件、测试文件等6万余家族、1500万余变种的恶意代码。</w:t>
            </w:r>
          </w:p>
          <w:p w14:paraId="34191917">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3、检测文件格式：支持执行文件、文档、媒体文件、图片文件、软件关联格式、脚本、文本格式。</w:t>
            </w:r>
          </w:p>
          <w:p w14:paraId="1A53ED3F">
            <w:pPr>
              <w:widowControl w:val="0"/>
              <w:jc w:val="both"/>
              <w:rPr>
                <w:rFonts w:hint="eastAsia" w:ascii="宋体" w:hAnsi="宋体" w:eastAsia="宋体" w:cs="宋体"/>
                <w:kern w:val="2"/>
                <w:sz w:val="21"/>
                <w:szCs w:val="21"/>
                <w:lang w:val="en-US" w:eastAsia="en-US" w:bidi="ar-SA"/>
              </w:rPr>
            </w:pPr>
            <w:r>
              <w:rPr>
                <w:rFonts w:hint="eastAsia" w:ascii="宋体" w:hAnsi="宋体" w:eastAsia="宋体" w:cs="宋体"/>
                <w:kern w:val="2"/>
                <w:sz w:val="21"/>
                <w:szCs w:val="21"/>
                <w:lang w:val="en-US" w:eastAsia="en-US" w:bidi="ar-SA"/>
              </w:rPr>
              <w:t>4、复合文件检测：office：rtf，doc，ppt，xls，docx，pptx，xlsx。adobe：pdf，swf。mail：eml，msg，tnef。</w:t>
            </w:r>
          </w:p>
          <w:p w14:paraId="4085AC3D">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5、压缩包检测：支持分析检测种类为58种以上，含压缩包，自解压包，安装包及其他包裹类。</w:t>
            </w:r>
          </w:p>
          <w:p w14:paraId="569A9F2D">
            <w:pPr>
              <w:widowControl w:val="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6、恶意文件样本量：支持检测6万余家族、1500万余变种的恶意代码。</w:t>
            </w:r>
          </w:p>
        </w:tc>
        <w:tc>
          <w:tcPr>
            <w:tcW w:w="437"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E959DF">
            <w:pPr>
              <w:rPr>
                <w:rFonts w:hint="eastAsia" w:ascii="宋体" w:hAnsi="宋体" w:eastAsia="宋体" w:cs="宋体"/>
                <w:sz w:val="21"/>
                <w:szCs w:val="21"/>
              </w:rPr>
            </w:pPr>
            <w:r>
              <w:rPr>
                <w:rFonts w:hint="eastAsia" w:ascii="宋体" w:hAnsi="宋体" w:eastAsia="宋体" w:cs="宋体"/>
                <w:sz w:val="21"/>
                <w:szCs w:val="21"/>
              </w:rPr>
              <w:t>本项目国产化适配及升级改造部分。</w:t>
            </w:r>
          </w:p>
        </w:tc>
        <w:tc>
          <w:tcPr>
            <w:tcW w:w="774"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331A57">
            <w:pPr>
              <w:rPr>
                <w:rFonts w:hint="eastAsia" w:ascii="宋体" w:hAnsi="宋体" w:eastAsia="宋体" w:cs="宋体"/>
                <w:sz w:val="21"/>
                <w:szCs w:val="21"/>
              </w:rPr>
            </w:pPr>
            <w:r>
              <w:rPr>
                <w:rFonts w:hint="eastAsia" w:ascii="宋体" w:hAnsi="宋体" w:eastAsia="宋体" w:cs="宋体"/>
                <w:sz w:val="21"/>
                <w:szCs w:val="21"/>
              </w:rPr>
              <w:t>远程服务</w:t>
            </w:r>
          </w:p>
          <w:p w14:paraId="031B2308">
            <w:pPr>
              <w:rPr>
                <w:rFonts w:hint="eastAsia" w:ascii="宋体" w:hAnsi="宋体" w:eastAsia="宋体" w:cs="宋体"/>
                <w:sz w:val="21"/>
                <w:szCs w:val="21"/>
              </w:rPr>
            </w:pPr>
            <w:r>
              <w:rPr>
                <w:rFonts w:hint="eastAsia" w:ascii="宋体" w:hAnsi="宋体" w:eastAsia="宋体" w:cs="宋体"/>
                <w:sz w:val="21"/>
                <w:szCs w:val="21"/>
              </w:rPr>
              <w:t>现场服务</w:t>
            </w:r>
          </w:p>
        </w:tc>
      </w:tr>
    </w:tbl>
    <w:p w14:paraId="143665FF">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hint="eastAsia" w:ascii="宋体" w:hAnsi="宋体" w:eastAsia="宋体" w:cs="宋体"/>
          <w:b/>
          <w:bCs/>
          <w:spacing w:val="2"/>
          <w:kern w:val="2"/>
          <w:sz w:val="24"/>
          <w:szCs w:val="24"/>
          <w:lang w:val="en-US" w:eastAsia="zh-CN" w:bidi="ar-SA"/>
        </w:rPr>
        <w:t>渗透测试服务：2次/年。</w:t>
      </w:r>
    </w:p>
    <w:p w14:paraId="6DE58207">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r>
        <w:rPr>
          <w:rFonts w:ascii="宋体" w:hAnsi="宋体" w:eastAsia="宋体" w:cs="宋体"/>
          <w:b/>
          <w:bCs/>
          <w:spacing w:val="2"/>
          <w:kern w:val="2"/>
          <w:sz w:val="24"/>
          <w:szCs w:val="24"/>
          <w:lang w:val="en-US" w:eastAsia="zh-CN" w:bidi="ar-SA"/>
        </w:rPr>
        <w:t>（3）</w:t>
      </w:r>
      <w:r>
        <w:rPr>
          <w:rFonts w:hint="eastAsia" w:ascii="宋体" w:hAnsi="宋体" w:eastAsia="宋体" w:cs="宋体"/>
          <w:b/>
          <w:bCs/>
          <w:spacing w:val="2"/>
          <w:kern w:val="2"/>
          <w:sz w:val="24"/>
          <w:szCs w:val="24"/>
          <w:lang w:val="en-US" w:eastAsia="zh-CN" w:bidi="ar-SA"/>
        </w:rPr>
        <w:t>服务成果</w:t>
      </w:r>
    </w:p>
    <w:p w14:paraId="4E0DD0E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通过渗透测试服务，模拟入侵者对指定系统进行攻击测试，可以对用户信息平台的安全性得到较深刻的认知，验证经过安全保护后的系统是否真实的达到了预定安全目标。完成渗透测试服务工作后，汇总出具包括但不限于《渗透测试报告》，并提出具有针对性的安全加固建议。</w:t>
      </w:r>
    </w:p>
    <w:p w14:paraId="7DD1459E">
      <w:pPr>
        <w:widowControl w:val="0"/>
        <w:spacing w:before="0" w:beforeLines="0" w:beforeAutospacing="0" w:after="0" w:afterLines="0" w:afterAutospacing="0" w:line="440" w:lineRule="exact"/>
        <w:jc w:val="left"/>
        <w:outlineLvl w:val="5"/>
        <w:rPr>
          <w:rFonts w:hint="eastAsia" w:ascii="仿宋" w:hAnsi="仿宋" w:eastAsia="仿宋" w:cs="仿宋"/>
          <w:b/>
          <w:kern w:val="2"/>
          <w:sz w:val="24"/>
          <w:szCs w:val="24"/>
          <w:lang w:val="en-US" w:eastAsia="zh-CN" w:bidi="ar"/>
        </w:rPr>
      </w:pPr>
      <w:r>
        <w:rPr>
          <w:rFonts w:hint="eastAsia" w:ascii="仿宋" w:hAnsi="仿宋" w:eastAsia="仿宋" w:cs="仿宋"/>
          <w:b/>
          <w:kern w:val="2"/>
          <w:sz w:val="24"/>
          <w:szCs w:val="24"/>
          <w:lang w:val="en-US" w:eastAsia="zh-CN" w:bidi="ar"/>
        </w:rPr>
        <w:t>3.项目服务要求</w:t>
      </w:r>
      <w:bookmarkEnd w:id="2"/>
      <w:bookmarkStart w:id="3" w:name="_Toc244402943"/>
      <w:bookmarkEnd w:id="3"/>
      <w:bookmarkStart w:id="4" w:name="_Toc244403001"/>
      <w:bookmarkEnd w:id="4"/>
      <w:bookmarkStart w:id="5" w:name="_Toc244403000"/>
      <w:bookmarkEnd w:id="5"/>
      <w:bookmarkStart w:id="6" w:name="_Toc244418539"/>
      <w:bookmarkEnd w:id="6"/>
      <w:bookmarkStart w:id="7" w:name="_Toc244418540"/>
      <w:bookmarkEnd w:id="7"/>
      <w:bookmarkStart w:id="8" w:name="_Toc244402942"/>
      <w:bookmarkEnd w:id="8"/>
    </w:p>
    <w:p w14:paraId="3A22BA95">
      <w:pPr>
        <w:keepNext/>
        <w:keepLines/>
        <w:widowControl w:val="0"/>
        <w:spacing w:before="0" w:beforeLines="0" w:after="0" w:afterLines="0" w:line="440" w:lineRule="exact"/>
        <w:jc w:val="both"/>
        <w:outlineLvl w:val="9"/>
        <w:rPr>
          <w:rFonts w:hint="eastAsia" w:ascii="仿宋" w:hAnsi="仿宋" w:eastAsia="仿宋" w:cs="仿宋"/>
          <w:b/>
          <w:bCs/>
          <w:kern w:val="2"/>
          <w:sz w:val="24"/>
          <w:szCs w:val="24"/>
          <w:lang w:val="en-US" w:eastAsia="zh-CN" w:bidi="ar-SA"/>
        </w:rPr>
      </w:pPr>
      <w:bookmarkStart w:id="9" w:name="_Toc244418546"/>
      <w:bookmarkStart w:id="10" w:name="_Toc361917618"/>
      <w:r>
        <w:rPr>
          <w:rFonts w:hint="eastAsia" w:ascii="仿宋" w:hAnsi="仿宋" w:eastAsia="仿宋" w:cs="仿宋"/>
          <w:b/>
          <w:bCs/>
          <w:kern w:val="2"/>
          <w:sz w:val="24"/>
          <w:szCs w:val="24"/>
          <w:lang w:val="en-US" w:eastAsia="zh-CN" w:bidi="ar-SA"/>
        </w:rPr>
        <w:t>（1）项目实施</w:t>
      </w:r>
      <w:bookmarkEnd w:id="9"/>
      <w:r>
        <w:rPr>
          <w:rFonts w:hint="eastAsia" w:ascii="仿宋" w:hAnsi="仿宋" w:eastAsia="仿宋" w:cs="仿宋"/>
          <w:b/>
          <w:bCs/>
          <w:kern w:val="2"/>
          <w:sz w:val="24"/>
          <w:szCs w:val="24"/>
          <w:lang w:val="en-US" w:eastAsia="zh-CN" w:bidi="ar-SA"/>
        </w:rPr>
        <w:t>要求</w:t>
      </w:r>
      <w:bookmarkEnd w:id="10"/>
    </w:p>
    <w:p w14:paraId="1C67013C">
      <w:pPr>
        <w:widowControl w:val="0"/>
        <w:spacing w:beforeLines="0" w:afterLines="0" w:line="440" w:lineRule="exact"/>
        <w:ind w:firstLine="490" w:firstLineChars="200"/>
        <w:jc w:val="both"/>
        <w:rPr>
          <w:rFonts w:ascii="宋体" w:hAnsi="宋体" w:eastAsia="宋体" w:cs="宋体"/>
          <w:b/>
          <w:bCs/>
          <w:spacing w:val="2"/>
          <w:kern w:val="2"/>
          <w:sz w:val="24"/>
          <w:szCs w:val="24"/>
          <w:lang w:val="en-US" w:eastAsia="zh-CN" w:bidi="ar-SA"/>
        </w:rPr>
      </w:pPr>
      <w:r>
        <w:rPr>
          <w:rFonts w:hint="eastAsia" w:ascii="汉仪书宋二S" w:hAnsi="汉仪书宋二S" w:eastAsia="汉仪书宋二S" w:cs="汉仪书宋二S"/>
          <w:b/>
          <w:bCs/>
          <w:spacing w:val="2"/>
          <w:kern w:val="2"/>
          <w:sz w:val="24"/>
          <w:szCs w:val="24"/>
          <w:lang w:val="en-US" w:eastAsia="zh-CN" w:bidi="ar-SA"/>
        </w:rPr>
        <w:t>①</w:t>
      </w:r>
      <w:r>
        <w:rPr>
          <w:rFonts w:hint="eastAsia" w:ascii="宋体" w:hAnsi="宋体" w:eastAsia="宋体" w:cs="宋体"/>
          <w:b/>
          <w:bCs/>
          <w:spacing w:val="2"/>
          <w:kern w:val="2"/>
          <w:sz w:val="24"/>
          <w:szCs w:val="24"/>
          <w:lang w:val="en-US" w:eastAsia="zh-CN" w:bidi="ar-SA"/>
        </w:rPr>
        <w:t>代码审计服务实施要求</w:t>
      </w:r>
    </w:p>
    <w:p w14:paraId="070AA36D">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项目实施过程中，投标人应遵循国家标准、行业标准。</w:t>
      </w:r>
    </w:p>
    <w:p w14:paraId="483A761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在项目实施中投标人须做到：</w:t>
      </w:r>
    </w:p>
    <w:p w14:paraId="2D7B8D00">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为防止在测试过程中引入恶意代码以及代码泄露，严格选择测试工具，商业工具有专门授权、开源工具进行恶意代码检测后再引入项目。杜绝因工具选择不当造成的将病毒和木马植入的情况发生。</w:t>
      </w:r>
    </w:p>
    <w:p w14:paraId="6A52A87F">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 xml:space="preserve">代码审计过程中除去自动化审计外，人工审计应当选取适当的策略，保证最大范围覆盖代码所有问题、最大限度的深入挖掘各种漏洞，某些重要工程可以通读代码进行审计。审计之后，在条件允许的情况下尽量在运行环境中进行验证，可以再保证减少误报的情况下挖掘更深层次的问题。； </w:t>
      </w:r>
    </w:p>
    <w:p w14:paraId="5A944F52">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提供完整的系统实施方案和项目实施管理办法；</w:t>
      </w:r>
    </w:p>
    <w:p w14:paraId="4B32BB0C">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提供详细的项目实施方案和计划进度说明书；</w:t>
      </w:r>
    </w:p>
    <w:p w14:paraId="6FC57882">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项目实施完成后提供可靠的后期技术服务工作；</w:t>
      </w:r>
    </w:p>
    <w:p w14:paraId="3A45FF70">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严格按照双方确定的计划进度保质保量完成工作；</w:t>
      </w:r>
    </w:p>
    <w:p w14:paraId="47FB65D4">
      <w:pPr>
        <w:widowControl w:val="0"/>
        <w:numPr>
          <w:ilvl w:val="0"/>
          <w:numId w:val="4"/>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规范项目实施过程中的文档管理；</w:t>
      </w:r>
    </w:p>
    <w:p w14:paraId="0CC82EC6">
      <w:pPr>
        <w:widowControl w:val="0"/>
        <w:numPr>
          <w:ilvl w:val="0"/>
          <w:numId w:val="4"/>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承诺与招标方签订保密协议，同时公司与每个参与本项目的员工就本项目签订信息保密协议，并承诺严格遵守保密协议中规定的要求。</w:t>
      </w:r>
    </w:p>
    <w:p w14:paraId="35F85E2A">
      <w:pPr>
        <w:widowControl w:val="0"/>
        <w:spacing w:beforeLines="0" w:afterLines="0" w:line="440" w:lineRule="exact"/>
        <w:ind w:firstLine="490" w:firstLineChars="200"/>
        <w:jc w:val="both"/>
        <w:rPr>
          <w:rFonts w:ascii="宋体" w:hAnsi="宋体" w:eastAsia="宋体" w:cs="宋体"/>
          <w:b/>
          <w:bCs/>
          <w:spacing w:val="2"/>
          <w:kern w:val="2"/>
          <w:sz w:val="24"/>
          <w:szCs w:val="24"/>
          <w:lang w:val="en-US" w:eastAsia="zh-CN" w:bidi="ar-SA"/>
        </w:rPr>
      </w:pPr>
      <w:r>
        <w:rPr>
          <w:rFonts w:hint="eastAsia" w:ascii="汉仪书宋二S" w:hAnsi="汉仪书宋二S" w:eastAsia="汉仪书宋二S" w:cs="汉仪书宋二S"/>
          <w:b/>
          <w:bCs/>
          <w:spacing w:val="2"/>
          <w:kern w:val="2"/>
          <w:sz w:val="24"/>
          <w:szCs w:val="24"/>
          <w:lang w:val="en-US" w:eastAsia="zh-CN" w:bidi="ar-SA"/>
        </w:rPr>
        <w:t>②</w:t>
      </w:r>
      <w:r>
        <w:rPr>
          <w:rFonts w:hint="eastAsia" w:ascii="宋体" w:hAnsi="宋体" w:eastAsia="宋体" w:cs="宋体"/>
          <w:b/>
          <w:bCs/>
          <w:spacing w:val="2"/>
          <w:kern w:val="2"/>
          <w:sz w:val="24"/>
          <w:szCs w:val="24"/>
          <w:lang w:val="en-US" w:eastAsia="zh-CN" w:bidi="ar-SA"/>
        </w:rPr>
        <w:t>渗透测试服务实施要求</w:t>
      </w:r>
    </w:p>
    <w:p w14:paraId="07D8F757">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项目实施过程中，投标人应遵循国家标准、行业标准。在项目实施中投标人须做到：</w:t>
      </w:r>
    </w:p>
    <w:p w14:paraId="2C62BF11">
      <w:pPr>
        <w:widowControl w:val="0"/>
        <w:numPr>
          <w:ilvl w:val="0"/>
          <w:numId w:val="5"/>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提供完整的系统实施方案和项目实施管理办法；</w:t>
      </w:r>
    </w:p>
    <w:p w14:paraId="496694C2">
      <w:pPr>
        <w:widowControl w:val="0"/>
        <w:numPr>
          <w:ilvl w:val="0"/>
          <w:numId w:val="5"/>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项目实施完成后提供可靠的后期技术服务工作；</w:t>
      </w:r>
    </w:p>
    <w:p w14:paraId="4A517164">
      <w:pPr>
        <w:widowControl w:val="0"/>
        <w:numPr>
          <w:ilvl w:val="0"/>
          <w:numId w:val="5"/>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严格按照双方确定的计划进度保质保量完成工作；</w:t>
      </w:r>
    </w:p>
    <w:p w14:paraId="4C08318A">
      <w:pPr>
        <w:widowControl w:val="0"/>
        <w:numPr>
          <w:ilvl w:val="0"/>
          <w:numId w:val="5"/>
        </w:numPr>
        <w:spacing w:beforeLines="0" w:afterLines="0" w:line="440" w:lineRule="exact"/>
        <w:ind w:left="0"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规范项目实施过程中的文档管理。</w:t>
      </w:r>
    </w:p>
    <w:p w14:paraId="420617DB">
      <w:pPr>
        <w:keepNext/>
        <w:keepLines/>
        <w:widowControl w:val="0"/>
        <w:spacing w:before="0" w:beforeLines="0" w:after="0" w:afterLines="0" w:line="440" w:lineRule="exact"/>
        <w:jc w:val="both"/>
        <w:outlineLvl w:val="9"/>
        <w:rPr>
          <w:rFonts w:hint="eastAsia" w:ascii="仿宋" w:hAnsi="仿宋" w:eastAsia="仿宋" w:cs="仿宋"/>
          <w:b/>
          <w:bCs/>
          <w:kern w:val="2"/>
          <w:sz w:val="24"/>
          <w:szCs w:val="24"/>
          <w:lang w:val="en-US" w:eastAsia="zh-CN" w:bidi="ar-SA"/>
        </w:rPr>
      </w:pPr>
      <w:bookmarkStart w:id="11" w:name="_Toc244418547"/>
      <w:bookmarkStart w:id="12" w:name="_Toc361917619"/>
      <w:r>
        <w:rPr>
          <w:rFonts w:hint="eastAsia" w:ascii="仿宋" w:hAnsi="仿宋" w:eastAsia="仿宋" w:cs="仿宋"/>
          <w:b/>
          <w:bCs/>
          <w:kern w:val="2"/>
          <w:sz w:val="24"/>
          <w:szCs w:val="24"/>
          <w:lang w:val="en-US" w:eastAsia="zh-CN" w:bidi="ar-SA"/>
        </w:rPr>
        <w:t>2（2）项目验收</w:t>
      </w:r>
      <w:bookmarkEnd w:id="11"/>
      <w:r>
        <w:rPr>
          <w:rFonts w:hint="eastAsia" w:ascii="仿宋" w:hAnsi="仿宋" w:eastAsia="仿宋" w:cs="仿宋"/>
          <w:b/>
          <w:bCs/>
          <w:kern w:val="2"/>
          <w:sz w:val="24"/>
          <w:szCs w:val="24"/>
          <w:lang w:val="en-US" w:eastAsia="zh-CN" w:bidi="ar-SA"/>
        </w:rPr>
        <w:t>要求</w:t>
      </w:r>
      <w:bookmarkEnd w:id="12"/>
    </w:p>
    <w:p w14:paraId="2674CFBA">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中标人必须提供给业主详细的项目验收方案。</w:t>
      </w:r>
    </w:p>
    <w:p w14:paraId="37B4B4DC">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bookmarkStart w:id="13" w:name="_Toc244418548"/>
      <w:r>
        <w:rPr>
          <w:rFonts w:hint="eastAsia" w:ascii="宋体" w:hAnsi="宋体" w:eastAsia="宋体" w:cs="宋体"/>
          <w:b/>
          <w:bCs/>
          <w:spacing w:val="2"/>
          <w:kern w:val="2"/>
          <w:sz w:val="24"/>
          <w:szCs w:val="24"/>
          <w:lang w:val="en-US" w:eastAsia="zh-CN" w:bidi="ar-SA"/>
        </w:rPr>
        <w:t>验收组织</w:t>
      </w:r>
      <w:bookmarkEnd w:id="13"/>
      <w:r>
        <w:rPr>
          <w:rFonts w:hint="eastAsia" w:ascii="宋体" w:hAnsi="宋体" w:eastAsia="宋体" w:cs="宋体"/>
          <w:b/>
          <w:bCs/>
          <w:spacing w:val="2"/>
          <w:kern w:val="2"/>
          <w:sz w:val="24"/>
          <w:szCs w:val="24"/>
          <w:lang w:val="en-US" w:eastAsia="zh-CN" w:bidi="ar-SA"/>
        </w:rPr>
        <w:t>：</w:t>
      </w:r>
    </w:p>
    <w:p w14:paraId="355CFCE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成立由业主、中标人以及其他有关人员组成的验收小组，负责对项目进行全面的验收。</w:t>
      </w:r>
    </w:p>
    <w:p w14:paraId="37D0FA71">
      <w:pPr>
        <w:widowControl w:val="0"/>
        <w:spacing w:beforeLines="0" w:afterLines="0" w:line="440" w:lineRule="exact"/>
        <w:ind w:firstLine="490" w:firstLineChars="200"/>
        <w:jc w:val="both"/>
        <w:rPr>
          <w:rFonts w:hint="eastAsia" w:ascii="宋体" w:hAnsi="宋体" w:eastAsia="宋体" w:cs="宋体"/>
          <w:b/>
          <w:bCs/>
          <w:spacing w:val="2"/>
          <w:kern w:val="2"/>
          <w:sz w:val="24"/>
          <w:szCs w:val="24"/>
          <w:lang w:val="en-US" w:eastAsia="zh-CN" w:bidi="ar-SA"/>
        </w:rPr>
      </w:pPr>
      <w:bookmarkStart w:id="14" w:name="_Toc244418549"/>
      <w:r>
        <w:rPr>
          <w:rFonts w:hint="eastAsia" w:ascii="宋体" w:hAnsi="宋体" w:eastAsia="宋体" w:cs="宋体"/>
          <w:b/>
          <w:bCs/>
          <w:spacing w:val="2"/>
          <w:kern w:val="2"/>
          <w:sz w:val="24"/>
          <w:szCs w:val="24"/>
          <w:lang w:val="en-US" w:eastAsia="zh-CN" w:bidi="ar-SA"/>
        </w:rPr>
        <w:t>验收标准</w:t>
      </w:r>
      <w:bookmarkEnd w:id="14"/>
      <w:r>
        <w:rPr>
          <w:rFonts w:hint="eastAsia" w:ascii="宋体" w:hAnsi="宋体" w:eastAsia="宋体" w:cs="宋体"/>
          <w:b/>
          <w:bCs/>
          <w:spacing w:val="2"/>
          <w:kern w:val="2"/>
          <w:sz w:val="24"/>
          <w:szCs w:val="24"/>
          <w:lang w:val="en-US" w:eastAsia="zh-CN" w:bidi="ar-SA"/>
        </w:rPr>
        <w:t>：</w:t>
      </w:r>
    </w:p>
    <w:p w14:paraId="6E072668">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标准化：项目验收最关键的指标，应确保测评过程符合国家标准规范；</w:t>
      </w:r>
    </w:p>
    <w:p w14:paraId="7EB7A50C">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系统稳定性：在测评过程中应确保软硬件环境的稳定性、运行正常；</w:t>
      </w:r>
    </w:p>
    <w:p w14:paraId="2DAF4022">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系统文档：验收文档是否齐全、规范、准确、详细；</w:t>
      </w:r>
    </w:p>
    <w:p w14:paraId="114C0A46">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系统可操作性：交付成果清晰、通俗易懂。</w:t>
      </w:r>
    </w:p>
    <w:p w14:paraId="297FB73D">
      <w:pPr>
        <w:keepNext/>
        <w:keepLines/>
        <w:widowControl w:val="0"/>
        <w:tabs>
          <w:tab w:val="left" w:pos="425"/>
        </w:tabs>
        <w:spacing w:before="0" w:beforeLines="0" w:after="0" w:afterLines="0" w:line="440" w:lineRule="exact"/>
        <w:jc w:val="both"/>
        <w:outlineLvl w:val="4"/>
        <w:rPr>
          <w:rFonts w:hint="eastAsia"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（三）售后服务保障与承诺</w:t>
      </w:r>
    </w:p>
    <w:p w14:paraId="22299C32">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1.代码审计服务售后服务保障与承诺</w:t>
      </w:r>
    </w:p>
    <w:p w14:paraId="71F23EA2">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对于服务中发现的应用系统代码缺陷，投标方应提供项目验收后一年内的跟踪服务，对本次服务范围内的问题提供远程或现场技术咨询，对于缺陷的修复、问题的排除给出建议和指导。</w:t>
      </w:r>
    </w:p>
    <w:p w14:paraId="7EFC6B39">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2.渗透测试服务售后服务保障与承诺</w:t>
      </w:r>
    </w:p>
    <w:p w14:paraId="4A1A44F4">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对于现状测试过程中发现的安全问题，投标人应先出具问题汇总报告，并给招标人预留二十天的整改时间，整改完成后投标人提供一次全面问题复查，出具</w:t>
      </w:r>
      <w:bookmarkStart w:id="15" w:name="_Hlk197424902"/>
      <w:r>
        <w:rPr>
          <w:rFonts w:hint="eastAsia" w:ascii="宋体" w:hAnsi="宋体" w:eastAsia="宋体" w:cs="宋体"/>
          <w:spacing w:val="2"/>
          <w:kern w:val="2"/>
          <w:sz w:val="24"/>
          <w:szCs w:val="24"/>
          <w:lang w:val="en-US" w:eastAsia="zh-CN" w:bidi="ar-SA"/>
        </w:rPr>
        <w:t>包括但不限于</w:t>
      </w:r>
      <w:bookmarkEnd w:id="15"/>
      <w:r>
        <w:rPr>
          <w:rFonts w:hint="eastAsia" w:ascii="宋体" w:hAnsi="宋体" w:eastAsia="宋体" w:cs="宋体"/>
          <w:spacing w:val="2"/>
          <w:kern w:val="2"/>
          <w:sz w:val="24"/>
          <w:szCs w:val="24"/>
          <w:lang w:val="en-US" w:eastAsia="zh-CN" w:bidi="ar-SA"/>
        </w:rPr>
        <w:t>《渗透测试报告》。</w:t>
      </w:r>
    </w:p>
    <w:p w14:paraId="18E236F8">
      <w:pPr>
        <w:adjustRightInd/>
        <w:snapToGrid/>
        <w:spacing w:beforeLines="0" w:afterLines="0" w:line="440" w:lineRule="exact"/>
        <w:ind w:firstLine="0" w:firstLineChars="0"/>
        <w:rPr>
          <w:rFonts w:ascii="仿宋_GB2312" w:hAnsi="新宋体" w:eastAsia="仿宋_GB2312" w:cs="Times New Roman"/>
          <w:b w:val="0"/>
          <w:sz w:val="24"/>
          <w:szCs w:val="24"/>
        </w:rPr>
      </w:pPr>
    </w:p>
    <w:p w14:paraId="5D3E2B04">
      <w:pPr>
        <w:rPr>
          <w:rFonts w:ascii="仿宋_GB2312" w:hAnsi="新宋体" w:eastAsia="仿宋_GB2312"/>
          <w:sz w:val="32"/>
        </w:rPr>
      </w:pPr>
    </w:p>
    <w:p w14:paraId="7BCC37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auto"/>
    <w:pitch w:val="default"/>
    <w:sig w:usb0="E00002FF" w:usb1="400004FF" w:usb2="00000000" w:usb3="00000000" w:csb0="2000019F" w:csb1="00000000"/>
  </w:font>
  <w:font w:name="汉仪书宋二S">
    <w:altName w:val="宋体"/>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82D40"/>
    <w:multiLevelType w:val="singleLevel"/>
    <w:tmpl w:val="FDF82D40"/>
    <w:lvl w:ilvl="0" w:tentative="0">
      <w:start w:val="1"/>
      <w:numFmt w:val="decimal"/>
      <w:lvlText w:val="(%1)"/>
      <w:lvlJc w:val="left"/>
      <w:pPr>
        <w:ind w:left="425" w:hanging="425"/>
      </w:pPr>
      <w:rPr>
        <w:rFonts w:hint="default"/>
      </w:rPr>
    </w:lvl>
  </w:abstractNum>
  <w:abstractNum w:abstractNumId="1">
    <w:nsid w:val="FFEE9812"/>
    <w:multiLevelType w:val="singleLevel"/>
    <w:tmpl w:val="FFEE9812"/>
    <w:lvl w:ilvl="0" w:tentative="0">
      <w:start w:val="1"/>
      <w:numFmt w:val="decimal"/>
      <w:lvlText w:val="(%1)"/>
      <w:lvlJc w:val="left"/>
      <w:pPr>
        <w:ind w:left="425" w:hanging="425"/>
      </w:pPr>
      <w:rPr>
        <w:rFonts w:hint="default"/>
      </w:rPr>
    </w:lvl>
  </w:abstractNum>
  <w:abstractNum w:abstractNumId="2">
    <w:nsid w:val="28132CF5"/>
    <w:multiLevelType w:val="multilevel"/>
    <w:tmpl w:val="28132CF5"/>
    <w:lvl w:ilvl="0" w:tentative="0">
      <w:start w:val="1"/>
      <w:numFmt w:val="bullet"/>
      <w:lvlText w:val=""/>
      <w:lvlJc w:val="left"/>
      <w:pPr>
        <w:ind w:left="928" w:hanging="440"/>
      </w:pPr>
      <w:rPr>
        <w:rFonts w:hint="default" w:ascii="Wingdings" w:hAnsi="Wingdings"/>
      </w:rPr>
    </w:lvl>
    <w:lvl w:ilvl="1" w:tentative="0">
      <w:start w:val="1"/>
      <w:numFmt w:val="bullet"/>
      <w:lvlText w:val=""/>
      <w:lvlJc w:val="left"/>
      <w:pPr>
        <w:ind w:left="1368" w:hanging="440"/>
      </w:pPr>
      <w:rPr>
        <w:rFonts w:hint="default" w:ascii="Wingdings" w:hAnsi="Wingdings"/>
      </w:rPr>
    </w:lvl>
    <w:lvl w:ilvl="2" w:tentative="0">
      <w:start w:val="1"/>
      <w:numFmt w:val="bullet"/>
      <w:lvlText w:val=""/>
      <w:lvlJc w:val="left"/>
      <w:pPr>
        <w:ind w:left="1808" w:hanging="440"/>
      </w:pPr>
      <w:rPr>
        <w:rFonts w:hint="default" w:ascii="Wingdings" w:hAnsi="Wingdings"/>
      </w:rPr>
    </w:lvl>
    <w:lvl w:ilvl="3" w:tentative="0">
      <w:start w:val="1"/>
      <w:numFmt w:val="bullet"/>
      <w:lvlText w:val=""/>
      <w:lvlJc w:val="left"/>
      <w:pPr>
        <w:ind w:left="2248" w:hanging="440"/>
      </w:pPr>
      <w:rPr>
        <w:rFonts w:hint="default" w:ascii="Wingdings" w:hAnsi="Wingdings"/>
      </w:rPr>
    </w:lvl>
    <w:lvl w:ilvl="4" w:tentative="0">
      <w:start w:val="1"/>
      <w:numFmt w:val="bullet"/>
      <w:lvlText w:val=""/>
      <w:lvlJc w:val="left"/>
      <w:pPr>
        <w:ind w:left="2688" w:hanging="440"/>
      </w:pPr>
      <w:rPr>
        <w:rFonts w:hint="default" w:ascii="Wingdings" w:hAnsi="Wingdings"/>
      </w:rPr>
    </w:lvl>
    <w:lvl w:ilvl="5" w:tentative="0">
      <w:start w:val="1"/>
      <w:numFmt w:val="bullet"/>
      <w:lvlText w:val=""/>
      <w:lvlJc w:val="left"/>
      <w:pPr>
        <w:ind w:left="3128" w:hanging="440"/>
      </w:pPr>
      <w:rPr>
        <w:rFonts w:hint="default" w:ascii="Wingdings" w:hAnsi="Wingdings"/>
      </w:rPr>
    </w:lvl>
    <w:lvl w:ilvl="6" w:tentative="0">
      <w:start w:val="1"/>
      <w:numFmt w:val="bullet"/>
      <w:lvlText w:val=""/>
      <w:lvlJc w:val="left"/>
      <w:pPr>
        <w:ind w:left="3568" w:hanging="440"/>
      </w:pPr>
      <w:rPr>
        <w:rFonts w:hint="default" w:ascii="Wingdings" w:hAnsi="Wingdings"/>
      </w:rPr>
    </w:lvl>
    <w:lvl w:ilvl="7" w:tentative="0">
      <w:start w:val="1"/>
      <w:numFmt w:val="bullet"/>
      <w:lvlText w:val=""/>
      <w:lvlJc w:val="left"/>
      <w:pPr>
        <w:ind w:left="4008" w:hanging="440"/>
      </w:pPr>
      <w:rPr>
        <w:rFonts w:hint="default" w:ascii="Wingdings" w:hAnsi="Wingdings"/>
      </w:rPr>
    </w:lvl>
    <w:lvl w:ilvl="8" w:tentative="0">
      <w:start w:val="1"/>
      <w:numFmt w:val="bullet"/>
      <w:lvlText w:val=""/>
      <w:lvlJc w:val="left"/>
      <w:pPr>
        <w:ind w:left="4448" w:hanging="440"/>
      </w:pPr>
      <w:rPr>
        <w:rFonts w:hint="default" w:ascii="Wingdings" w:hAnsi="Wingdings"/>
      </w:rPr>
    </w:lvl>
  </w:abstractNum>
  <w:abstractNum w:abstractNumId="3">
    <w:nsid w:val="2B191DE3"/>
    <w:multiLevelType w:val="multilevel"/>
    <w:tmpl w:val="2B191DE3"/>
    <w:lvl w:ilvl="0" w:tentative="0">
      <w:start w:val="1"/>
      <w:numFmt w:val="bullet"/>
      <w:lvlText w:val=""/>
      <w:lvlJc w:val="left"/>
      <w:pPr>
        <w:ind w:left="928" w:hanging="440"/>
      </w:pPr>
      <w:rPr>
        <w:rFonts w:hint="default" w:ascii="Wingdings" w:hAnsi="Wingdings"/>
      </w:rPr>
    </w:lvl>
    <w:lvl w:ilvl="1" w:tentative="0">
      <w:start w:val="1"/>
      <w:numFmt w:val="bullet"/>
      <w:lvlText w:val=""/>
      <w:lvlJc w:val="left"/>
      <w:pPr>
        <w:ind w:left="1368" w:hanging="440"/>
      </w:pPr>
      <w:rPr>
        <w:rFonts w:hint="default" w:ascii="Wingdings" w:hAnsi="Wingdings"/>
      </w:rPr>
    </w:lvl>
    <w:lvl w:ilvl="2" w:tentative="0">
      <w:start w:val="1"/>
      <w:numFmt w:val="bullet"/>
      <w:lvlText w:val=""/>
      <w:lvlJc w:val="left"/>
      <w:pPr>
        <w:ind w:left="1808" w:hanging="440"/>
      </w:pPr>
      <w:rPr>
        <w:rFonts w:hint="default" w:ascii="Wingdings" w:hAnsi="Wingdings"/>
      </w:rPr>
    </w:lvl>
    <w:lvl w:ilvl="3" w:tentative="0">
      <w:start w:val="1"/>
      <w:numFmt w:val="bullet"/>
      <w:lvlText w:val=""/>
      <w:lvlJc w:val="left"/>
      <w:pPr>
        <w:ind w:left="2248" w:hanging="440"/>
      </w:pPr>
      <w:rPr>
        <w:rFonts w:hint="default" w:ascii="Wingdings" w:hAnsi="Wingdings"/>
      </w:rPr>
    </w:lvl>
    <w:lvl w:ilvl="4" w:tentative="0">
      <w:start w:val="1"/>
      <w:numFmt w:val="bullet"/>
      <w:lvlText w:val=""/>
      <w:lvlJc w:val="left"/>
      <w:pPr>
        <w:ind w:left="2688" w:hanging="440"/>
      </w:pPr>
      <w:rPr>
        <w:rFonts w:hint="default" w:ascii="Wingdings" w:hAnsi="Wingdings"/>
      </w:rPr>
    </w:lvl>
    <w:lvl w:ilvl="5" w:tentative="0">
      <w:start w:val="1"/>
      <w:numFmt w:val="bullet"/>
      <w:lvlText w:val=""/>
      <w:lvlJc w:val="left"/>
      <w:pPr>
        <w:ind w:left="3128" w:hanging="440"/>
      </w:pPr>
      <w:rPr>
        <w:rFonts w:hint="default" w:ascii="Wingdings" w:hAnsi="Wingdings"/>
      </w:rPr>
    </w:lvl>
    <w:lvl w:ilvl="6" w:tentative="0">
      <w:start w:val="1"/>
      <w:numFmt w:val="bullet"/>
      <w:lvlText w:val=""/>
      <w:lvlJc w:val="left"/>
      <w:pPr>
        <w:ind w:left="3568" w:hanging="440"/>
      </w:pPr>
      <w:rPr>
        <w:rFonts w:hint="default" w:ascii="Wingdings" w:hAnsi="Wingdings"/>
      </w:rPr>
    </w:lvl>
    <w:lvl w:ilvl="7" w:tentative="0">
      <w:start w:val="1"/>
      <w:numFmt w:val="bullet"/>
      <w:lvlText w:val=""/>
      <w:lvlJc w:val="left"/>
      <w:pPr>
        <w:ind w:left="4008" w:hanging="440"/>
      </w:pPr>
      <w:rPr>
        <w:rFonts w:hint="default" w:ascii="Wingdings" w:hAnsi="Wingdings"/>
      </w:rPr>
    </w:lvl>
    <w:lvl w:ilvl="8" w:tentative="0">
      <w:start w:val="1"/>
      <w:numFmt w:val="bullet"/>
      <w:lvlText w:val=""/>
      <w:lvlJc w:val="left"/>
      <w:pPr>
        <w:ind w:left="4448" w:hanging="440"/>
      </w:pPr>
      <w:rPr>
        <w:rFonts w:hint="default" w:ascii="Wingdings" w:hAnsi="Wingdings"/>
      </w:rPr>
    </w:lvl>
  </w:abstractNum>
  <w:abstractNum w:abstractNumId="4">
    <w:nsid w:val="758B28AE"/>
    <w:multiLevelType w:val="multilevel"/>
    <w:tmpl w:val="758B28A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4"/>
    <w:lvlOverride w:ilvl="0">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A54AFD"/>
    <w:rsid w:val="3D446AFA"/>
    <w:rsid w:val="548422F6"/>
    <w:rsid w:val="6D1A0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styleId="3">
    <w:name w:val="footnote text"/>
    <w:basedOn w:val="1"/>
    <w:qFormat/>
    <w:uiPriority w:val="99"/>
    <w:pPr>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6261</Words>
  <Characters>6477</Characters>
  <Lines>0</Lines>
  <Paragraphs>0</Paragraphs>
  <TotalTime>15</TotalTime>
  <ScaleCrop>false</ScaleCrop>
  <LinksUpToDate>false</LinksUpToDate>
  <CharactersWithSpaces>6498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2025-08-11T08:15:00Z</dcterms:created>
  <dc:creator>Administrator</dc:creator>
  <cp:lastModifiedBy>木易木又</cp:lastModifiedBy>
  <dcterms:modified xsi:type="dcterms:W3CDTF">2025-08-12T15:24:13Z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eyJoZGlkIjoiM2Y2MGI1YzgzYTQxMWFhM2UwYWIxMTI3OGJhMWI2OTEiLCJ1c2VySWQiOiIyNjUwOTgwNDQifQ==</vt:lpwstr>
  </property>
  <property fmtid="{D5CDD505-2E9C-101B-9397-08002B2CF9AE}" pid="4" name="ICV">
    <vt:lpwstr>1CED128E1281482FB908EB3AEF86A2EF_12</vt:lpwstr>
  </property>
</Properties>
</file>