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海南警察学院（筹）食堂建设项目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[HNJY]20250700002[GK]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海南警察学院（筹）</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海南省教学仪器设备招标中心有限公司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海南警察学院（筹）</w:t>
      </w:r>
      <w:r>
        <w:rPr>
          <w:rFonts w:ascii="仿宋_GB2312" w:hAnsi="仿宋_GB2312" w:cs="仿宋_GB2312" w:eastAsia="仿宋_GB2312"/>
        </w:rPr>
        <w:t xml:space="preserve"> 委托， </w:t>
      </w:r>
      <w:r>
        <w:rPr>
          <w:rFonts w:ascii="仿宋_GB2312" w:hAnsi="仿宋_GB2312" w:cs="仿宋_GB2312" w:eastAsia="仿宋_GB2312"/>
        </w:rPr>
        <w:t>海南省教学仪器设备招标中心有限公司</w:t>
      </w:r>
      <w:r>
        <w:rPr>
          <w:rFonts w:ascii="仿宋_GB2312" w:hAnsi="仿宋_GB2312" w:cs="仿宋_GB2312" w:eastAsia="仿宋_GB2312"/>
        </w:rPr>
        <w:t xml:space="preserve"> 对 </w:t>
      </w:r>
      <w:r>
        <w:rPr>
          <w:rFonts w:ascii="仿宋_GB2312" w:hAnsi="仿宋_GB2312" w:cs="仿宋_GB2312" w:eastAsia="仿宋_GB2312"/>
        </w:rPr>
        <w:t>海南警察学院（筹）食堂建设项目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[HNJY]20250700002[GK]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海南警察学院（筹）食堂建设项目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2,442,253.00元</w:t>
      </w:r>
      <w:r>
        <w:rPr>
          <w:rFonts w:ascii="仿宋_GB2312" w:hAnsi="仿宋_GB2312" w:cs="仿宋_GB2312" w:eastAsia="仿宋_GB2312"/>
        </w:rPr>
        <w:t>贰佰肆拾肆万贰仟贰佰伍拾叁元整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合同签订后30个自然日内交货且安装调试完毕交付使用。</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1、本项目采购信息指定发布媒体为中国政府采购网（网址www.ccgp.gov.cn）、海南省政府采购网（海南省政府采购 智慧云平台）（网址https://ccgp-hainan.gov.cn/）。关于本项目采购文件的补遗、澄清及变更信息以上述网站公告为准， 代理机构不再另行通知，采购文件与更正公告的内容相互矛盾时，以最后发出的更正公告内容为准。 2、本项目为远程不见面 开标，供应商无须到达开标现场，但开标前必须进入电子开标大厅在线签到（未签到视为无效投标），远程按时参加在线开标 解密即可。 3、注意事项：电子标采用全程电子化操作，供应商应详细阅读海南政府采购网的通知《海南省财政厅关于进一步 推进政府采购全流程电子化的通知》在海南省政府采购智慧云平台-办事指南查看相应的系统操作指南，严格按照操作指南要 求进行系统操作。，供应商使用交易系统遇到问题请拨打以下热线电话： 热线一：4001691288 ； 本项目需使用蓝色CA锁 ，CA数字证书认证咨询电话：0898-66668096。 4、本项目支持节能产品、环境标志产品、中小微企业发展、监狱企业发 展及残疾人福利性单位等相关扶持政策。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海南警察学院（筹）</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海南省海口市琼山区新大洲大道280号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0898-65872312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海南省教学仪器设备招标中心有限公司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海南省海口市美兰区蓝天路西2-8号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0898-66779294</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采购包1：2,442,253.00元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说明：履约保证金汇至：海南警察学院（筹） 账号：2201003909200124924 开户行：工商银行海口凤翔支行 行号：/ 注： （1）履约保证金交纳时间以到账时间为准。 （2）履约担保形式：银行转账、支票、汇票、本票或者金融机构、担保机构保险公司出具的保险保证、银行的保函、法定担保机构出具的保函等非现金形式提交，银行转账以外方式递交投标保证金的应符合现行相关规定。 （3）若以支票、汇票、本票或者金融机构、担保机构出具的保函形式提交的，受益人均为采购单位。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代理服务费收费标准：本项目招标代理服务费由中标人参照“计价格【2002】1980 号”规定的70%支付。中标供应商应在中标公告发布之日起3个工作日内，向招标代理机构缴纳招标代理服务费。 开户行名称：海南省教学仪器设备招标中心有限公司 开户银行：建设银行海口国兴大道支行 银行账号：46001002537052500288</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16.1述标和/或产（样）品演（展）示：无 16.2采购需求：（1）采购需求中未列明偏差的除特殊订制类货物以外，列明的尺寸、重量及体积允许±5%偏差。（需求中技术参数已有要求的除外）（2）采购标的物需按照国家相关标准、行业标准、地方标准或者其他标准、规范执行。 16.3充分、公平竞争保障措施： 提供相同品牌产品处理： （1） 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 （2） 采用综合评分法的采购项目。 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非单一产品采购项目，采购人应当根据采购项目技术构成、产品价格比重等合理确定核心产品，并在招标文件中载明。多家投标人提供的核心产品品牌相同的，按前两款规定处理。 （3）注:带“★”条款为实质性条款，必须完全响应，不允许负偏离，否则作无效响应处理。带“▲”表示重要参数，负偏离扣分。 16.4 安全标准：符合国家、地方和行业的相关政策、法规。除招标文件另有规定外，若出现有关法律、法规和规章有强制性规定但招标文件未列明的情形，则投标人应按照有关法律、法规和规章强制性规定执行。 16.5 除招标文件明确外，未经业主同意，中标供应商不得以任何方式转包或分包本项目。</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联系人：林工</w:t>
      </w:r>
    </w:p>
    <w:p>
      <w:pPr>
        <w:pStyle w:val="null3"/>
        <w:jc w:val="left"/>
      </w:pPr>
      <w:r>
        <w:rPr>
          <w:rFonts w:ascii="仿宋_GB2312" w:hAnsi="仿宋_GB2312" w:cs="仿宋_GB2312" w:eastAsia="仿宋_GB2312"/>
        </w:rPr>
        <w:t>联系电话：0898-66779294</w:t>
      </w:r>
    </w:p>
    <w:p>
      <w:pPr>
        <w:pStyle w:val="null3"/>
        <w:jc w:val="left"/>
      </w:pPr>
      <w:r>
        <w:rPr>
          <w:rFonts w:ascii="仿宋_GB2312" w:hAnsi="仿宋_GB2312" w:cs="仿宋_GB2312" w:eastAsia="仿宋_GB2312"/>
        </w:rPr>
        <w:t>地址：海南省海口市美兰区蓝天路2-8号</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1.项目编号：</w:t>
      </w:r>
      <w:r>
        <w:rPr>
          <w:rFonts w:ascii="仿宋_GB2312" w:hAnsi="仿宋_GB2312" w:cs="仿宋_GB2312" w:eastAsia="仿宋_GB2312"/>
          <w:sz w:val="21"/>
        </w:rPr>
        <w:t>[HNJY]20250700002[GK]</w:t>
      </w:r>
    </w:p>
    <w:p>
      <w:pPr>
        <w:pStyle w:val="null3"/>
        <w:jc w:val="both"/>
      </w:pPr>
      <w:r>
        <w:rPr>
          <w:rFonts w:ascii="仿宋_GB2312" w:hAnsi="仿宋_GB2312" w:cs="仿宋_GB2312" w:eastAsia="仿宋_GB2312"/>
          <w:sz w:val="21"/>
        </w:rPr>
        <w:t>2.项目名称：</w:t>
      </w:r>
      <w:r>
        <w:rPr>
          <w:rFonts w:ascii="仿宋_GB2312" w:hAnsi="仿宋_GB2312" w:cs="仿宋_GB2312" w:eastAsia="仿宋_GB2312"/>
          <w:sz w:val="21"/>
        </w:rPr>
        <w:t>海南警察学院（筹）食堂建设项目</w:t>
      </w:r>
    </w:p>
    <w:p>
      <w:pPr>
        <w:pStyle w:val="null3"/>
        <w:jc w:val="both"/>
      </w:pPr>
      <w:r>
        <w:rPr>
          <w:rFonts w:ascii="仿宋_GB2312" w:hAnsi="仿宋_GB2312" w:cs="仿宋_GB2312" w:eastAsia="仿宋_GB2312"/>
          <w:sz w:val="21"/>
        </w:rPr>
        <w:t>3.预算金额：人民币</w:t>
      </w:r>
      <w:r>
        <w:rPr>
          <w:rFonts w:ascii="仿宋_GB2312" w:hAnsi="仿宋_GB2312" w:cs="仿宋_GB2312" w:eastAsia="仿宋_GB2312"/>
          <w:sz w:val="21"/>
        </w:rPr>
        <w:t>244.2253万元</w:t>
      </w:r>
    </w:p>
    <w:p>
      <w:pPr>
        <w:pStyle w:val="null3"/>
        <w:jc w:val="both"/>
      </w:pPr>
      <w:r>
        <w:rPr>
          <w:rFonts w:ascii="仿宋_GB2312" w:hAnsi="仿宋_GB2312" w:cs="仿宋_GB2312" w:eastAsia="仿宋_GB2312"/>
          <w:sz w:val="21"/>
        </w:rPr>
        <w:t>4.最高限价：人民币</w:t>
      </w:r>
      <w:r>
        <w:rPr>
          <w:rFonts w:ascii="仿宋_GB2312" w:hAnsi="仿宋_GB2312" w:cs="仿宋_GB2312" w:eastAsia="仿宋_GB2312"/>
          <w:sz w:val="21"/>
        </w:rPr>
        <w:t>244.2253万元</w:t>
      </w:r>
      <w:r>
        <w:rPr>
          <w:rFonts w:ascii="仿宋_GB2312" w:hAnsi="仿宋_GB2312" w:cs="仿宋_GB2312" w:eastAsia="仿宋_GB2312"/>
          <w:sz w:val="21"/>
        </w:rPr>
        <w:t>（报价超过最高限价，按无效响应文件处理）</w:t>
      </w:r>
    </w:p>
    <w:p>
      <w:pPr>
        <w:pStyle w:val="null3"/>
        <w:jc w:val="both"/>
      </w:pPr>
      <w:r>
        <w:rPr>
          <w:rFonts w:ascii="仿宋_GB2312" w:hAnsi="仿宋_GB2312" w:cs="仿宋_GB2312" w:eastAsia="仿宋_GB2312"/>
          <w:sz w:val="21"/>
        </w:rPr>
        <w:t>5.交货期：</w:t>
      </w:r>
    </w:p>
    <w:p>
      <w:pPr>
        <w:pStyle w:val="null3"/>
        <w:jc w:val="both"/>
      </w:pPr>
      <w:r>
        <w:rPr>
          <w:rFonts w:ascii="仿宋_GB2312" w:hAnsi="仿宋_GB2312" w:cs="仿宋_GB2312" w:eastAsia="仿宋_GB2312"/>
          <w:sz w:val="21"/>
        </w:rPr>
        <w:t>合同签订后</w:t>
      </w:r>
      <w:r>
        <w:rPr>
          <w:rFonts w:ascii="仿宋_GB2312" w:hAnsi="仿宋_GB2312" w:cs="仿宋_GB2312" w:eastAsia="仿宋_GB2312"/>
          <w:sz w:val="21"/>
        </w:rPr>
        <w:t>30个自然日内交货且安装调试完毕交付使用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核心产品：</w:t>
      </w:r>
      <w:r>
        <w:rPr>
          <w:rFonts w:ascii="仿宋_GB2312" w:hAnsi="仿宋_GB2312" w:cs="仿宋_GB2312" w:eastAsia="仿宋_GB2312"/>
          <w:sz w:val="21"/>
        </w:rPr>
        <w:t>商用洗碗机、油烟净化一体机、柜式离心风机</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2,442,253.00</w:t>
      </w:r>
    </w:p>
    <w:p>
      <w:pPr>
        <w:pStyle w:val="null3"/>
        <w:jc w:val="left"/>
      </w:pPr>
      <w:r>
        <w:rPr>
          <w:rFonts w:ascii="仿宋_GB2312" w:hAnsi="仿宋_GB2312" w:cs="仿宋_GB2312" w:eastAsia="仿宋_GB2312"/>
        </w:rPr>
        <w:t>采购包最高限价（元）: 2,442,253.00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A05010399-其他椅凳类</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right"/>
            </w:pPr>
            <w:r>
              <w:rPr>
                <w:rFonts w:ascii="仿宋_GB2312" w:hAnsi="仿宋_GB2312" w:cs="仿宋_GB2312" w:eastAsia="仿宋_GB2312"/>
              </w:rPr>
              <w:t>147,000.00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A05020109-阀门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12,600.00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A05020199-其他厨卫用具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229,015.00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A05020101-厨房操作台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152,610.00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A05020102-炊事机械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264,070.00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A05020199-其他厨卫用具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1,584,018.00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A05020104-水池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52,940.00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A05010399-其他椅凳类</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147,000.00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A05020109-阀门</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A05020199-其他厨卫用具-</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229,015.00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A05020101-厨房操作台</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152,610.00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A05020102-炊事机械</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264,070.00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A05020199-其他厨卫用具</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1,584,018.00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A05020104-水池</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52,940.00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标的名称：A05010399-其他椅凳类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详见附件技术和服务要求，以附件中技术参数为准。</w:t>
            </w:r>
          </w:p>
        </w:tc>
      </w:tr>
    </w:tbl>
    <w:p>
      <w:pPr>
        <w:pStyle w:val="null3"/>
        <w:jc w:val="left"/>
      </w:pPr>
      <w:r>
        <w:rPr>
          <w:rFonts w:ascii="仿宋_GB2312" w:hAnsi="仿宋_GB2312" w:cs="仿宋_GB2312" w:eastAsia="仿宋_GB2312"/>
        </w:rPr>
        <w:t>标的名称：A05020109-阀门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详见附件技术和服务要求，以附件中技术参数为准。</w:t>
            </w:r>
          </w:p>
        </w:tc>
      </w:tr>
    </w:tbl>
    <w:p>
      <w:pPr>
        <w:pStyle w:val="null3"/>
        <w:jc w:val="left"/>
      </w:pPr>
      <w:r>
        <w:rPr>
          <w:rFonts w:ascii="仿宋_GB2312" w:hAnsi="仿宋_GB2312" w:cs="仿宋_GB2312" w:eastAsia="仿宋_GB2312"/>
        </w:rPr>
        <w:t>标的名称：A05020199-其他厨卫用具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详见附件技术和服务要求，以附件中技术参数为准。</w:t>
            </w:r>
          </w:p>
        </w:tc>
      </w:tr>
    </w:tbl>
    <w:p>
      <w:pPr>
        <w:pStyle w:val="null3"/>
        <w:jc w:val="left"/>
      </w:pPr>
      <w:r>
        <w:rPr>
          <w:rFonts w:ascii="仿宋_GB2312" w:hAnsi="仿宋_GB2312" w:cs="仿宋_GB2312" w:eastAsia="仿宋_GB2312"/>
        </w:rPr>
        <w:t>标的名称：A05020101-厨房操作台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详见附件技术和服务要求，以附件中技术参数为准。</w:t>
            </w:r>
          </w:p>
        </w:tc>
      </w:tr>
    </w:tbl>
    <w:p>
      <w:pPr>
        <w:pStyle w:val="null3"/>
        <w:jc w:val="left"/>
      </w:pPr>
      <w:r>
        <w:rPr>
          <w:rFonts w:ascii="仿宋_GB2312" w:hAnsi="仿宋_GB2312" w:cs="仿宋_GB2312" w:eastAsia="仿宋_GB2312"/>
        </w:rPr>
        <w:t>标的名称：A05020102-炊事机械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详见附件技术和服务要求，以附件中技术参数为准。</w:t>
            </w:r>
          </w:p>
        </w:tc>
      </w:tr>
    </w:tbl>
    <w:p>
      <w:pPr>
        <w:pStyle w:val="null3"/>
        <w:jc w:val="left"/>
      </w:pPr>
      <w:r>
        <w:rPr>
          <w:rFonts w:ascii="仿宋_GB2312" w:hAnsi="仿宋_GB2312" w:cs="仿宋_GB2312" w:eastAsia="仿宋_GB2312"/>
        </w:rPr>
        <w:t>标的名称：A05020199-其他厨卫用具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详见附件技术和服务要求，以附件中技术参数为准。</w:t>
            </w:r>
          </w:p>
        </w:tc>
      </w:tr>
    </w:tbl>
    <w:p>
      <w:pPr>
        <w:pStyle w:val="null3"/>
        <w:jc w:val="left"/>
      </w:pPr>
      <w:r>
        <w:rPr>
          <w:rFonts w:ascii="仿宋_GB2312" w:hAnsi="仿宋_GB2312" w:cs="仿宋_GB2312" w:eastAsia="仿宋_GB2312"/>
        </w:rPr>
        <w:t>标的名称：A05020104-水池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详见附件技术和服务要求，以附件中技术参数为准。</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2"/>
                <w:b/>
                <w:color w:val="000000"/>
              </w:rPr>
              <w:t>一、设备的安装调试、试运行和</w:t>
            </w:r>
            <w:r>
              <w:rPr>
                <w:rFonts w:ascii="仿宋_GB2312" w:hAnsi="仿宋_GB2312" w:cs="仿宋_GB2312" w:eastAsia="仿宋_GB2312"/>
                <w:sz w:val="22"/>
                <w:b/>
                <w:color w:val="000000"/>
                <w:shd w:fill="FFFFFF" w:val="clear"/>
              </w:rPr>
              <w:t>验收标准要求</w:t>
            </w:r>
          </w:p>
          <w:p>
            <w:pPr>
              <w:pStyle w:val="null3"/>
              <w:jc w:val="left"/>
            </w:pPr>
            <w:r>
              <w:rPr>
                <w:rFonts w:ascii="仿宋_GB2312" w:hAnsi="仿宋_GB2312" w:cs="仿宋_GB2312" w:eastAsia="仿宋_GB2312"/>
                <w:sz w:val="22"/>
                <w:color w:val="000000"/>
              </w:rPr>
              <w:t>1.1本项目为交付设备承包项目，中标供应商承包及负责招标文件对中标供应商要求的一切事宜及责任。包括项目产品供货、配套设备提供、运输、保管、安装、调试、验收、培训及相关服务等以及投标人认为必要的其他货物、材料、工程、服务；投标人应自行增加系统正常、合法、安全运行及使用所必需但招标文件没有包含的所有设备、版权、专利等一切费用，如果投标人在中标并签署合同后，在供货、安装、调试、培训等工作中出现货物的任何遗漏，均由中标供应商免费提供，买方将不再支付任何费用。</w:t>
            </w:r>
          </w:p>
          <w:p>
            <w:pPr>
              <w:pStyle w:val="null3"/>
              <w:jc w:val="left"/>
            </w:pPr>
            <w:r>
              <w:rPr>
                <w:rFonts w:ascii="仿宋_GB2312" w:hAnsi="仿宋_GB2312" w:cs="仿宋_GB2312" w:eastAsia="仿宋_GB2312"/>
                <w:sz w:val="22"/>
                <w:color w:val="000000"/>
              </w:rPr>
              <w:t>1.2中标采购设备到达目的地，经安装、调试、技术培训后，中标供应商向业主提请设备验收。业主在接到投标人通知的5天内派人按《海南省政府采购履约验收管理暂行办法》（琼财采规【2023】16号）到现场负责组织验收，业主按中标供应商提供的仪器设备清单及检验产品合格证、使用说明书和其它的技术资料。进口设备，除提供以上资料外，须会同海关、商检部门共同负责开箱检验、检查仪器设备及随机附件是否全新、完整无损，技术资料与图纸是否与业主的要求相符，可以通过逐一使用主要功能、对比、抽样检测、委托检测等方法对设备的技术指标和性能进行检测验收。所有指标应与投标文件一致或在招标文件允许的范围内并符合响应的国家或行业标准以及符合用户的使用要求。如有损坏、缺件、翻新等情况，应按款额赔偿。</w:t>
            </w:r>
          </w:p>
          <w:p>
            <w:pPr>
              <w:pStyle w:val="null3"/>
              <w:jc w:val="left"/>
            </w:pPr>
            <w:r>
              <w:rPr>
                <w:rFonts w:ascii="仿宋_GB2312" w:hAnsi="仿宋_GB2312" w:cs="仿宋_GB2312" w:eastAsia="仿宋_GB2312"/>
                <w:sz w:val="22"/>
                <w:color w:val="000000"/>
              </w:rPr>
              <w:t>1.3所有产品经安装、调试、技术培训、验收合格后，双方在《海南省政府集中采购货物验收单》一式四份书面签字（盖章）验收。</w:t>
            </w:r>
          </w:p>
          <w:p>
            <w:pPr>
              <w:pStyle w:val="null3"/>
              <w:jc w:val="left"/>
            </w:pPr>
            <w:r>
              <w:rPr>
                <w:rFonts w:ascii="仿宋_GB2312" w:hAnsi="仿宋_GB2312" w:cs="仿宋_GB2312" w:eastAsia="仿宋_GB2312"/>
                <w:sz w:val="22"/>
                <w:b/>
                <w:color w:val="000000"/>
              </w:rPr>
              <w:t>二、技术资料</w:t>
            </w:r>
          </w:p>
          <w:p>
            <w:pPr>
              <w:pStyle w:val="null3"/>
              <w:jc w:val="left"/>
            </w:pPr>
            <w:r>
              <w:rPr>
                <w:rFonts w:ascii="仿宋_GB2312" w:hAnsi="仿宋_GB2312" w:cs="仿宋_GB2312" w:eastAsia="仿宋_GB2312"/>
                <w:sz w:val="22"/>
                <w:color w:val="000000"/>
              </w:rPr>
              <w:t>投标人应保证所提交给招标人和招标代理机构的资料和数据是真实的，因提交的资料和数据不真实所引起的责任由投标人自行承担。</w:t>
            </w:r>
          </w:p>
          <w:p>
            <w:pPr>
              <w:pStyle w:val="null3"/>
              <w:jc w:val="left"/>
            </w:pPr>
            <w:r>
              <w:rPr>
                <w:rFonts w:ascii="仿宋_GB2312" w:hAnsi="仿宋_GB2312" w:cs="仿宋_GB2312" w:eastAsia="仿宋_GB2312"/>
                <w:sz w:val="22"/>
                <w:b/>
                <w:color w:val="000000"/>
              </w:rPr>
              <w:t>三、工具</w:t>
            </w:r>
          </w:p>
          <w:p>
            <w:pPr>
              <w:pStyle w:val="null3"/>
              <w:jc w:val="left"/>
            </w:pPr>
            <w:r>
              <w:rPr>
                <w:rFonts w:ascii="仿宋_GB2312" w:hAnsi="仿宋_GB2312" w:cs="仿宋_GB2312" w:eastAsia="仿宋_GB2312"/>
                <w:sz w:val="22"/>
                <w:color w:val="000000"/>
              </w:rPr>
              <w:t>投标人提供产品设备所带专用工具清单，并标明其种类、用途和生产厂，并在货物到货时同时提供给业主，此价格应包含在投标价中。</w:t>
            </w:r>
          </w:p>
          <w:p>
            <w:pPr>
              <w:pStyle w:val="null3"/>
              <w:jc w:val="left"/>
            </w:pPr>
            <w:r>
              <w:rPr>
                <w:rFonts w:ascii="仿宋_GB2312" w:hAnsi="仿宋_GB2312" w:cs="仿宋_GB2312" w:eastAsia="仿宋_GB2312"/>
                <w:sz w:val="22"/>
                <w:b/>
                <w:color w:val="000000"/>
              </w:rPr>
              <w:t>四、备件</w:t>
            </w:r>
          </w:p>
          <w:p>
            <w:pPr>
              <w:pStyle w:val="null3"/>
              <w:jc w:val="left"/>
            </w:pPr>
            <w:r>
              <w:rPr>
                <w:rFonts w:ascii="仿宋_GB2312" w:hAnsi="仿宋_GB2312" w:cs="仿宋_GB2312" w:eastAsia="仿宋_GB2312"/>
                <w:sz w:val="22"/>
                <w:color w:val="000000"/>
              </w:rPr>
              <w:t>投标人可提供一个在正常情况使用下，保质期满后一年内可保证仪器设备正常使用的备件和材料清单，并标明其种类、生产厂、单价和总价，业主有权决定全部或有选择的购买。</w:t>
            </w:r>
          </w:p>
          <w:p>
            <w:pPr>
              <w:pStyle w:val="null3"/>
              <w:jc w:val="left"/>
            </w:pPr>
            <w:r>
              <w:rPr>
                <w:rFonts w:ascii="仿宋_GB2312" w:hAnsi="仿宋_GB2312" w:cs="仿宋_GB2312" w:eastAsia="仿宋_GB2312"/>
                <w:sz w:val="22"/>
                <w:b/>
                <w:color w:val="000000"/>
              </w:rPr>
              <w:t>五、质量保质期</w:t>
            </w:r>
          </w:p>
          <w:p>
            <w:pPr>
              <w:pStyle w:val="null3"/>
              <w:jc w:val="left"/>
            </w:pPr>
            <w:r>
              <w:rPr>
                <w:rFonts w:ascii="仿宋_GB2312" w:hAnsi="仿宋_GB2312" w:cs="仿宋_GB2312" w:eastAsia="仿宋_GB2312"/>
                <w:sz w:val="22"/>
                <w:b/>
                <w:color w:val="000000"/>
                <w:shd w:fill="FFFFFF" w:val="clear"/>
              </w:rPr>
              <w:t>设备不得低于</w:t>
            </w:r>
            <w:r>
              <w:rPr>
                <w:rFonts w:ascii="仿宋_GB2312" w:hAnsi="仿宋_GB2312" w:cs="仿宋_GB2312" w:eastAsia="仿宋_GB2312"/>
                <w:sz w:val="22"/>
                <w:b/>
                <w:color w:val="000000"/>
                <w:shd w:fill="FFFFFF" w:val="clear"/>
              </w:rPr>
              <w:t>1年保修（自验收合格之日起算），</w:t>
            </w:r>
            <w:r>
              <w:rPr>
                <w:rFonts w:ascii="仿宋_GB2312" w:hAnsi="仿宋_GB2312" w:cs="仿宋_GB2312" w:eastAsia="仿宋_GB2312"/>
                <w:sz w:val="22"/>
                <w:color w:val="000000"/>
                <w:shd w:fill="FFFFFF" w:val="clear"/>
              </w:rPr>
              <w:t>（采购清单中免费保修期有特殊要求的按照采购清单中的为准）。若厂家有超过期限免费保修期的按厂家方案执行。）</w:t>
            </w:r>
          </w:p>
          <w:p>
            <w:pPr>
              <w:pStyle w:val="null3"/>
              <w:jc w:val="left"/>
            </w:pPr>
            <w:r>
              <w:rPr>
                <w:rFonts w:ascii="仿宋_GB2312" w:hAnsi="仿宋_GB2312" w:cs="仿宋_GB2312" w:eastAsia="仿宋_GB2312"/>
                <w:sz w:val="22"/>
                <w:b/>
                <w:color w:val="000000"/>
              </w:rPr>
              <w:t>六、售后服务</w:t>
            </w:r>
          </w:p>
          <w:p>
            <w:pPr>
              <w:pStyle w:val="null3"/>
              <w:jc w:val="left"/>
            </w:pPr>
            <w:r>
              <w:rPr>
                <w:rFonts w:ascii="仿宋_GB2312" w:hAnsi="仿宋_GB2312" w:cs="仿宋_GB2312" w:eastAsia="仿宋_GB2312"/>
                <w:sz w:val="22"/>
                <w:color w:val="000000"/>
              </w:rPr>
              <w:t>6.1在保质期以内，中标人在接到业主的维修通知后需及时响应，并派出有能力的维修人员赶到业主现场进行维修处理。</w:t>
            </w:r>
          </w:p>
          <w:p>
            <w:pPr>
              <w:pStyle w:val="null3"/>
              <w:jc w:val="left"/>
            </w:pPr>
            <w:r>
              <w:rPr>
                <w:rFonts w:ascii="仿宋_GB2312" w:hAnsi="仿宋_GB2312" w:cs="仿宋_GB2312" w:eastAsia="仿宋_GB2312"/>
                <w:sz w:val="22"/>
                <w:color w:val="000000"/>
              </w:rPr>
              <w:t>6.2在保质期满后，中标人应保证以合理的价格提供备件和保养服务，当发生故障时，投标人应按保质期内同样的要求进行维修处理，合理收取维修费。</w:t>
            </w:r>
          </w:p>
          <w:p>
            <w:pPr>
              <w:pStyle w:val="null3"/>
              <w:jc w:val="both"/>
            </w:pPr>
            <w:r>
              <w:rPr>
                <w:rFonts w:ascii="仿宋_GB2312" w:hAnsi="仿宋_GB2312" w:cs="仿宋_GB2312" w:eastAsia="仿宋_GB2312"/>
                <w:sz w:val="22"/>
                <w:b/>
              </w:rPr>
              <w:t>七、除招标文件明确外，未经业主同意，中标供应商不得以任何方式转包或分包本项目。</w:t>
            </w:r>
          </w:p>
          <w:p>
            <w:pPr>
              <w:pStyle w:val="null3"/>
              <w:jc w:val="both"/>
            </w:pPr>
            <w:r>
              <w:rPr>
                <w:rFonts w:ascii="仿宋_GB2312" w:hAnsi="仿宋_GB2312" w:cs="仿宋_GB2312" w:eastAsia="仿宋_GB2312"/>
                <w:sz w:val="22"/>
                <w:b/>
              </w:rPr>
              <w:t>八、签订合同：中标供应商在收到《中标通知书》后</w:t>
            </w:r>
            <w:r>
              <w:rPr>
                <w:rFonts w:ascii="仿宋_GB2312" w:hAnsi="仿宋_GB2312" w:cs="仿宋_GB2312" w:eastAsia="仿宋_GB2312"/>
                <w:sz w:val="22"/>
                <w:b/>
              </w:rPr>
              <w:t>5个工作日内与业主签订合同。</w:t>
            </w:r>
          </w:p>
          <w:p>
            <w:pPr>
              <w:pStyle w:val="null3"/>
              <w:jc w:val="both"/>
            </w:pPr>
            <w:r>
              <w:rPr>
                <w:rFonts w:ascii="仿宋_GB2312" w:hAnsi="仿宋_GB2312" w:cs="仿宋_GB2312" w:eastAsia="仿宋_GB2312"/>
                <w:sz w:val="22"/>
                <w:b/>
              </w:rPr>
              <w:t>九、交付期：</w:t>
            </w:r>
            <w:r>
              <w:rPr>
                <w:rFonts w:ascii="仿宋_GB2312" w:hAnsi="仿宋_GB2312" w:cs="仿宋_GB2312" w:eastAsia="仿宋_GB2312"/>
                <w:sz w:val="22"/>
                <w:b/>
              </w:rPr>
              <w:t>合同签订后</w:t>
            </w:r>
            <w:r>
              <w:rPr>
                <w:rFonts w:ascii="仿宋_GB2312" w:hAnsi="仿宋_GB2312" w:cs="仿宋_GB2312" w:eastAsia="仿宋_GB2312"/>
                <w:sz w:val="22"/>
                <w:b/>
              </w:rPr>
              <w:t>30个自然日内交货且安装调试完毕交付使用</w:t>
            </w:r>
            <w:r>
              <w:rPr>
                <w:rFonts w:ascii="仿宋_GB2312" w:hAnsi="仿宋_GB2312" w:cs="仿宋_GB2312" w:eastAsia="仿宋_GB2312"/>
                <w:sz w:val="22"/>
                <w:b/>
              </w:rPr>
              <w:t>。</w:t>
            </w:r>
          </w:p>
          <w:p>
            <w:pPr>
              <w:pStyle w:val="null3"/>
              <w:jc w:val="left"/>
            </w:pPr>
            <w:r>
              <w:rPr>
                <w:rFonts w:ascii="仿宋_GB2312" w:hAnsi="仿宋_GB2312" w:cs="仿宋_GB2312" w:eastAsia="仿宋_GB2312"/>
                <w:sz w:val="22"/>
                <w:b/>
              </w:rPr>
              <w:t>十、交付地点：采购人指定地点</w:t>
            </w:r>
          </w:p>
          <w:p>
            <w:pPr>
              <w:pStyle w:val="null3"/>
              <w:jc w:val="both"/>
            </w:pPr>
            <w:r>
              <w:rPr>
                <w:rFonts w:ascii="仿宋_GB2312" w:hAnsi="仿宋_GB2312" w:cs="仿宋_GB2312" w:eastAsia="仿宋_GB2312"/>
                <w:sz w:val="22"/>
                <w:b/>
              </w:rPr>
              <w:t>十一、其它注意事项</w:t>
            </w:r>
          </w:p>
          <w:p>
            <w:pPr>
              <w:pStyle w:val="null3"/>
              <w:jc w:val="both"/>
            </w:pPr>
            <w:r>
              <w:rPr>
                <w:rFonts w:ascii="仿宋_GB2312" w:hAnsi="仿宋_GB2312" w:cs="仿宋_GB2312" w:eastAsia="仿宋_GB2312"/>
                <w:sz w:val="22"/>
              </w:rPr>
              <w:t>11.1中标方负责设备的安装、调试</w:t>
            </w:r>
          </w:p>
          <w:p>
            <w:pPr>
              <w:pStyle w:val="null3"/>
              <w:jc w:val="both"/>
            </w:pPr>
            <w:r>
              <w:rPr>
                <w:rFonts w:ascii="仿宋_GB2312" w:hAnsi="仿宋_GB2312" w:cs="仿宋_GB2312" w:eastAsia="仿宋_GB2312"/>
                <w:sz w:val="22"/>
              </w:rPr>
              <w:t>11.2未尽事宜由双方商议解决</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没有环保类行政处罚记录承诺函 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投标有效期的承诺函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技术部分66.00分</w:t>
            </w:r>
          </w:p>
          <w:p>
            <w:pPr>
              <w:pStyle w:val="null3"/>
              <w:jc w:val="both"/>
            </w:pPr>
            <w:r>
              <w:rPr>
                <w:rFonts w:ascii="仿宋_GB2312" w:hAnsi="仿宋_GB2312" w:cs="仿宋_GB2312" w:eastAsia="仿宋_GB2312"/>
              </w:rPr>
              <w:t>商务部分4.00分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供应商提供的产品技术参数、规格及要求完全满足或优于招标文件《第三章采购需求技术参数、规格及要求》的技术指标要求得满分：带“▲”且不重复的技术指标共计16条，满分16分，每一项不满足扣1分，扣完为止。 注：重复的技术参数不重复扣分。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供应商提供的产品技术参数、规格及要求完全满足或优于招标文件《第三章采购需求技术参数、规格及要求》的技术指标要求得满分：未标注“▲”且不重复的技术指标共计450条，满分36分，每一项不满足扣0.08分，扣完为止。 注：重复的技术参数不重复扣分。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根据供应商提供“售后服务方案”进行评审： 1、供应商承诺中标后设有服务机构（提供承诺函）得3分；2、供应商承诺有固定的维护人员并有能力及时处理所有可能发生的故障（提供承诺函）得3分； 3、在质保期以内，供应商在接到业主的维修通知后，对故障能在1（含）小时内响应，4（含）小时内派出有能力的维修人员赶到业主现场进行处理得8分；在质保期以内，供应商在接到业主的维修通知后，对故障能在1-2（含）小时内电话响应，4-5（含）小时内派出有能力的维修人员赶到业主现场进行处理得5分；在质保期以内，供应商在接到业主的维修通知后，对故障能在2-3（含）小时内电话响应，5-24（含）小时内派出有能力的维修人员赶到业主现场进行处理得2分；其他情况不得分。（提供承诺函）</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1月1日至今的已完成成功案例（时间以收付款凭证日期为准），提供一宗类似单笔合同业绩者得1分，满分4分（以提供合同、验收证明材料、与该项目相关的收付款凭证扫描件为准，不提供不得分，并加盖投标人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[HNJY]20250700002[GK]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海南警察学院（筹）食堂建设项目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海南警察学院（筹）食堂建设项目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A05010399-其他椅凳类</w:t>
            </w:r>
          </w:p>
        </w:tc>
        <w:tc>
          <w:tcPr>
            <w:tcW w:type="dxa" w:w="755"/>
          </w:tcPr>
          <w:p>
            <w:pPr>
              <w:pStyle w:val="null3"/>
              <w:jc w:val="left"/>
            </w:pPr>
            <w:r>
              <w:rPr>
                <w:rFonts w:ascii="仿宋_GB2312" w:hAnsi="仿宋_GB2312" w:cs="仿宋_GB2312" w:eastAsia="仿宋_GB2312"/>
              </w:rPr>
              <w:t xml:space="preserve"> 150.0000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147000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A05020109-阀门</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12600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A05020199-其他厨卫用具-</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229015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A05020101-厨房操作台</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152610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A05020102-炊事机械</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264070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A05020199-其他厨卫用具</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1584018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A05020104-水池</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52940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详见附件：没有环保类行政处罚记录承诺函</w:t>
      </w:r>
    </w:p>
    <w:p>
      <w:pPr>
        <w:pStyle w:val="null3"/>
        <w:ind w:firstLine="960"/>
        <w:jc w:val="left"/>
      </w:pPr>
      <w:r>
        <w:rPr>
          <w:rFonts w:ascii="仿宋_GB2312" w:hAnsi="仿宋_GB2312" w:cs="仿宋_GB2312" w:eastAsia="仿宋_GB2312"/>
        </w:rPr>
        <w:t>详见附件：投标有效期的承诺函</w:t>
      </w:r>
    </w:p>
    <w:p>
      <w:pPr>
        <w:pStyle w:val="null3"/>
        <w:ind w:firstLine="960"/>
        <w:jc w:val="left"/>
      </w:pPr>
      <w:r>
        <w:rPr>
          <w:rFonts w:ascii="仿宋_GB2312" w:hAnsi="仿宋_GB2312" w:cs="仿宋_GB2312" w:eastAsia="仿宋_GB2312"/>
        </w:rPr>
        <w:t>详见附件：其他承诺函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