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G225海榆西线牙拉河二桥修复工程（K141+124）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琼XT-2025-026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海南省公路管理局儋州公路局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海南新拓工程管理有限公司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海南省公路管理局儋州公路局</w:t>
      </w:r>
      <w:r>
        <w:rPr>
          <w:rFonts w:ascii="仿宋_GB2312" w:hAnsi="仿宋_GB2312" w:cs="仿宋_GB2312" w:eastAsia="仿宋_GB2312"/>
        </w:rPr>
        <w:t xml:space="preserve"> 的委托， </w:t>
      </w:r>
      <w:r>
        <w:rPr>
          <w:rFonts w:ascii="仿宋_GB2312" w:hAnsi="仿宋_GB2312" w:cs="仿宋_GB2312" w:eastAsia="仿宋_GB2312"/>
        </w:rPr>
        <w:t>海南新拓工程管理有限公司</w:t>
      </w:r>
      <w:r>
        <w:rPr>
          <w:rFonts w:ascii="仿宋_GB2312" w:hAnsi="仿宋_GB2312" w:cs="仿宋_GB2312" w:eastAsia="仿宋_GB2312"/>
        </w:rPr>
        <w:t xml:space="preserve"> 对 </w:t>
      </w:r>
      <w:r>
        <w:rPr>
          <w:rFonts w:ascii="仿宋_GB2312" w:hAnsi="仿宋_GB2312" w:cs="仿宋_GB2312" w:eastAsia="仿宋_GB2312"/>
        </w:rPr>
        <w:t>G225海榆西线牙拉河二桥修复工程（K141+124）</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琼XT-2025-026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G225海榆西线牙拉河二桥修复工程（K141+124）</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2,005,457.00元</w:t>
      </w:r>
      <w:r>
        <w:rPr>
          <w:rFonts w:ascii="仿宋_GB2312" w:hAnsi="仿宋_GB2312" w:cs="仿宋_GB2312" w:eastAsia="仿宋_GB2312"/>
        </w:rPr>
        <w:t>贰佰万零伍仟肆佰伍拾柒元整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1、资质要求：本次招标要求投标人须具备交通运输主管部门核发的有效期内 桥梁养护乙级（含）以上资质及交通安全设施养护资质。</w:t>
      </w:r>
    </w:p>
    <w:p>
      <w:pPr>
        <w:pStyle w:val="null3"/>
        <w:jc w:val="left"/>
      </w:pPr>
      <w:r>
        <w:rPr>
          <w:rFonts w:ascii="仿宋_GB2312" w:hAnsi="仿宋_GB2312" w:cs="仿宋_GB2312" w:eastAsia="仿宋_GB2312"/>
        </w:rPr>
        <w:t>2、人员要求：本次招标要求投标人企业主要负责人持有交通主管部门颁发的有效的公路水运工程施工企业主要负责人和安全生产管理人员生产考核合格证书公路工程安全生产 A 证（即 2017 年起使用的含有二维码的证书），注册单位应为供应商；②拟派项目经理须具备公路工程专业贰级或以上注册建造师执业资格，同时持有交通主管部门颁发的有效的公路水运工程施工企业主要负责人和安全生产管理人员生产考核合格证书公路工程安全生产 B 证（即 2017 年起使用的含有二维码的证书），注册单位应为供应商；且未担任其他在施建设工程项目的项目经理；③专职从事安全生产工作的管理人员根据海南省交通运输厅关于印发《海南省公路水运工程施工企业主要负责人和安全生产管理人员考核管理实施细则》的通知（琼交运建〔2017〕136 号），应持有交通主管部门颁发的有效的公路水运工程施工企业主要负责人和安全生产管理人员生产考核合格证书公路工程安全生产 C 证（即 2017 年起使用的含有二维码的证书），注册单位应为供应商（证明材料：响应文件中提供人员相关证书复印件，及 2025年 1 月 1 日至今任意 3 个月在企业缴纳社保的证明复印件加盖公章）</w:t>
      </w:r>
    </w:p>
    <w:p>
      <w:pPr>
        <w:pStyle w:val="null3"/>
        <w:jc w:val="left"/>
      </w:pPr>
      <w:r>
        <w:rPr>
          <w:rFonts w:ascii="仿宋_GB2312" w:hAnsi="仿宋_GB2312" w:cs="仿宋_GB2312" w:eastAsia="仿宋_GB2312"/>
        </w:rPr>
        <w:t>3、供应商具有良好的社会责任、法律责任及清廉自贸港的清廉责任：（提供符合要求的清廉项目承诺书并配合承诺书公示，格式见附件，其中，拒绝承诺的由评审专家组取消其参选资格，承诺是否符合要求由采购人（业主）确认的审查清单为准）,公路养护工程建设清廉项目承诺书需加盖单位公章并签字捺印，清廉项目承诺书的签署人应按要求提供身份证明材料。</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 海南省公路管理局（https://jt.hainan.gov.cn/hnsglglj/）。关于本项目采购文件的补遗、澄清及变更信息以上述网站公告为准，代理机构不再另行通知，采购文件与更正公告的内容相互矛盾时，以最后发出的更正公告内容为准。（由于系统格式受限，发布媒介以这三个网站为主） 2、投标人须在海南政府采购网 （https://ccgp-hainan.gov.cn/)中的海南省政府采购智慧云平台进行注册并完善信息，然后下载参与投标项目电子招标文件（数据包）及其他文件；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海南省公路管理局儋州公路局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海南省儋州市那大镇人民中路326号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17608901092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海南新拓工程管理有限公司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海南省海口市龙华区文华路13号兴力国际大厦5层5A4号房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0898-66731239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采购包1：2,005,457.00元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成交供应商须提交履约保证金方可签订合同；（2）成交供应商可自主选择以支票、汇票、本票、保函等非现金形式缴纳或提交保证金，履约保证金为成交金额的5%，履约保证金有效期为自交纳之日起至验收通过为止。（3）履约保证期内，如成交供应商未按合同约定履行义务，给采购人造成的损失将从履约保证金中扣除，不足部分，采购人有权向成交供应商追偿。 （4）履约保证期满，经采购人确认无违约情况后退还，履约保证金不计利息。（5）如果成交供应商未在规定时间内交纳履约保证金，且又无正当理由的，将视为放弃成交资格。</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规定计算，按招标代理服务费控制价计取代理报酬，本项目招标代理服务费为人民币¥14482.47元（大写：壹万肆仟肆佰捌拾贰元肆角柒分) ，工程量清单及招标控制价编制服务费为人民币¥8523.19元（大写：捌仟伍佰贰拾叁元壹角玖分），本建设工程招标代理合同价款合计：¥23005.66元（大写：贰万叁仟零伍元陆角陆分）（含税）。</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签字和（或） 盖章要求： 1.1 电子标盖章要求：使用 CA 锁在响应文件制作工具中逐页加盖单位公章。 1.2 电子标签字以下四种形式之一均有效：（1）响应文件制作工具中加盖签名章或签字章；（2）响应文件制作工具中使用“手写签名”签字；（3）响应文件打印为文本签字后扫描上传；（4）响应文件打印为文本盖签名章或签字章后扫描上传。1.3 电子系统中所涉及签章均可以是加盖单位公章。 1.4由委托代理人签字的，投标文件应附有法定代表人授权书。因投标人原因导致无法读取电子版投标文件，视为无效投标。 2、投标报价应由注册在本单位的一级或二级造价工程师进行编制。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投标人的委托并编制招标控制价或投标报价，不得为同一招标项目的两个或者两个以上投标人编制投标报价，亦不得既为招标人编制招标控制价同时又为投标人编制投标报价，否则其编制的招标控制价和投标报价无效并视为存在相互串通投标行为。投标文件清单文件部分，仅清单封面须造价人员签字及盖章。其他清单文件部分内的编制人及审核人可无需签字盖章。 3、本项目为线上不见面开评标，各供应商无需到开标现场，根据文件要求按时登录系统进行操作。 4、中标单位（成交供应商）须提供正本 1 份、副本 2 份的纸质版响应文件用于资料汇总。5、本项目接受联合体（1）联合体所有成员数量不得超过2家；（2）联合体牵头人应具备交通运输主管部门核发的有效期内 桥梁养护乙级（含）以上资质或交通安全设施养护资质，联合体成员应具备交通运输主管部门核发的有效期内 桥梁养护乙级（含）以上资质或交通安全设施养护资质；（3）联合体各方应按招标文件提供的格式签订联合体协议书，明确联合体牵头单位和各方权利义务 ;（4）以联合体形式投标的，应当以联合体中牵头人名义提交投标保证金，对联合体各成员均有约束 力；（5）联合体各方不得再以自己名义单独或参加其他联合体在同一项目中投标；（6）所有联合体成员应按合同条件实施合同，承担共同的和分别的责任；（7）联合体各方均应当具备规定的相应资格条件。由同一专业的单位组成的联合体，按照资质等级 较低的单位确定资质等级，不同专业的单位组成的联合体，需要满足上述的资质条件承担专业相应的资质条件。6、公路养护工程建设清廉承诺明示内容：为落实省委推进清廉自贸港建设的有关精神，我单位决定参照省交通运输厅《交通工程建设清廉项目承诺制实施细则》（琼交规字〔2022〕500号）在公路养护工程建设领域的政府采购活动中实施清廉项目承诺，现将有关要求明示如下： 一、供应商应配合采购人（业主）实施清廉承诺，配合清廉项目承诺书（附件3-1）的签订、公示，在递交响应文件时，须将签署好的承诺书及有关身份证明材料（承诺人要求和身份证明材料清单见附件3-1）一并递交。 二、供应商拒绝承诺、公示或承诺不符合要求的不予选取。 三、若发现供应商在评审及合同履行过程中有违反承诺行为并违反政府采购相关法规的依照以下规范处理：若在评审前、期间发现的，将取消其候选资格；已确定中选单位，但合同尚未履行的，采购人（业主）有权取消其中选资格并撤销合同；合同已经履行的，但给采购人（业主）、其他供应商、采购代理单位造成损失的，由责任人依法承担赔偿责任。（详见附件：清廉项目承诺书）</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联系人：杨工</w:t>
      </w:r>
    </w:p>
    <w:p>
      <w:pPr>
        <w:pStyle w:val="null3"/>
        <w:jc w:val="left"/>
      </w:pPr>
      <w:r>
        <w:rPr>
          <w:rFonts w:ascii="仿宋_GB2312" w:hAnsi="仿宋_GB2312" w:cs="仿宋_GB2312" w:eastAsia="仿宋_GB2312"/>
        </w:rPr>
        <w:t>联系电话：17608901092</w:t>
      </w:r>
    </w:p>
    <w:p>
      <w:pPr>
        <w:pStyle w:val="null3"/>
        <w:jc w:val="left"/>
      </w:pPr>
      <w:r>
        <w:rPr>
          <w:rFonts w:ascii="仿宋_GB2312" w:hAnsi="仿宋_GB2312" w:cs="仿宋_GB2312" w:eastAsia="仿宋_GB2312"/>
        </w:rPr>
        <w:t>地址：海南省儋州市人民大道326号</w:t>
      </w:r>
    </w:p>
    <w:p>
      <w:pPr>
        <w:pStyle w:val="null3"/>
        <w:jc w:val="left"/>
      </w:pPr>
      <w:r>
        <w:rPr>
          <w:rFonts w:ascii="仿宋_GB2312" w:hAnsi="仿宋_GB2312" w:cs="仿宋_GB2312" w:eastAsia="仿宋_GB2312"/>
        </w:rPr>
        <w:t>邮编：/</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联系电话：0898-66731239</w:t>
      </w:r>
    </w:p>
    <w:p>
      <w:pPr>
        <w:pStyle w:val="null3"/>
        <w:jc w:val="left"/>
      </w:pPr>
      <w:r>
        <w:rPr>
          <w:rFonts w:ascii="仿宋_GB2312" w:hAnsi="仿宋_GB2312" w:cs="仿宋_GB2312" w:eastAsia="仿宋_GB2312"/>
        </w:rPr>
        <w:t>地址：海口市龙华区文华路13号兴力国际大厦5层5A4号房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w:t>
      </w:r>
      <w:r>
        <w:rPr>
          <w:rFonts w:ascii="仿宋_GB2312" w:hAnsi="仿宋_GB2312" w:cs="仿宋_GB2312" w:eastAsia="仿宋_GB2312"/>
        </w:rPr>
        <w:t>G225海榆西线牙拉河二桥修复工程（K141+124）</w:t>
      </w:r>
    </w:p>
    <w:p>
      <w:pPr>
        <w:pStyle w:val="null3"/>
        <w:ind w:firstLine="480"/>
        <w:jc w:val="left"/>
      </w:pPr>
      <w:r>
        <w:rPr>
          <w:rFonts w:ascii="仿宋_GB2312" w:hAnsi="仿宋_GB2312" w:cs="仿宋_GB2312" w:eastAsia="仿宋_GB2312"/>
        </w:rPr>
        <w:t>2、项目单位：</w:t>
      </w:r>
      <w:r>
        <w:rPr>
          <w:rFonts w:ascii="仿宋_GB2312" w:hAnsi="仿宋_GB2312" w:cs="仿宋_GB2312" w:eastAsia="仿宋_GB2312"/>
        </w:rPr>
        <w:t>海南省公路管理局儋州公路局</w:t>
      </w:r>
    </w:p>
    <w:p>
      <w:pPr>
        <w:pStyle w:val="null3"/>
        <w:ind w:firstLine="480"/>
        <w:jc w:val="left"/>
      </w:pPr>
      <w:r>
        <w:rPr>
          <w:rFonts w:ascii="仿宋_GB2312" w:hAnsi="仿宋_GB2312" w:cs="仿宋_GB2312" w:eastAsia="仿宋_GB2312"/>
        </w:rPr>
        <w:t>3、项目预算金额：</w:t>
      </w:r>
      <w:r>
        <w:rPr>
          <w:rFonts w:ascii="仿宋_GB2312" w:hAnsi="仿宋_GB2312" w:cs="仿宋_GB2312" w:eastAsia="仿宋_GB2312"/>
        </w:rPr>
        <w:t>￥2005457.00元</w:t>
      </w:r>
    </w:p>
    <w:p>
      <w:pPr>
        <w:pStyle w:val="null3"/>
        <w:ind w:firstLine="480"/>
        <w:jc w:val="left"/>
      </w:pPr>
      <w:r>
        <w:rPr>
          <w:rFonts w:ascii="仿宋_GB2312" w:hAnsi="仿宋_GB2312" w:cs="仿宋_GB2312" w:eastAsia="仿宋_GB2312"/>
        </w:rPr>
        <w:t>4、合同履行期限：</w:t>
      </w:r>
      <w:r>
        <w:rPr>
          <w:rFonts w:ascii="仿宋_GB2312" w:hAnsi="仿宋_GB2312" w:cs="仿宋_GB2312" w:eastAsia="仿宋_GB2312"/>
        </w:rPr>
        <w:t>180</w:t>
      </w:r>
      <w:r>
        <w:rPr>
          <w:rFonts w:ascii="仿宋_GB2312" w:hAnsi="仿宋_GB2312" w:cs="仿宋_GB2312" w:eastAsia="仿宋_GB2312"/>
        </w:rPr>
        <w:t>日历天</w:t>
      </w:r>
    </w:p>
    <w:p>
      <w:pPr>
        <w:pStyle w:val="null3"/>
        <w:ind w:firstLine="480"/>
        <w:jc w:val="left"/>
      </w:pPr>
      <w:r>
        <w:rPr>
          <w:rFonts w:ascii="仿宋_GB2312" w:hAnsi="仿宋_GB2312" w:cs="仿宋_GB2312" w:eastAsia="仿宋_GB2312"/>
        </w:rPr>
        <w:t>5、建设地点：</w:t>
      </w:r>
      <w:r>
        <w:rPr>
          <w:rFonts w:ascii="仿宋_GB2312" w:hAnsi="仿宋_GB2312" w:cs="仿宋_GB2312" w:eastAsia="仿宋_GB2312"/>
        </w:rPr>
        <w:t>儋州市那大镇</w:t>
      </w:r>
      <w:r>
        <w:rPr>
          <w:rFonts w:ascii="仿宋_GB2312" w:hAnsi="仿宋_GB2312" w:cs="仿宋_GB2312" w:eastAsia="仿宋_GB2312"/>
        </w:rPr>
        <w:t>G225海榆西线K141+124牙拉河二桥</w:t>
      </w:r>
    </w:p>
    <w:p>
      <w:pPr>
        <w:pStyle w:val="null3"/>
        <w:ind w:firstLine="480"/>
        <w:jc w:val="left"/>
      </w:pPr>
      <w:r>
        <w:rPr>
          <w:rFonts w:ascii="仿宋_GB2312" w:hAnsi="仿宋_GB2312" w:cs="仿宋_GB2312" w:eastAsia="仿宋_GB2312"/>
        </w:rPr>
        <w:t>6、建设内容及规模：牙拉河二桥位于海南省国道G225海榆西线分离段,中心桩号为K141+124，桥梁上部结构采用7.0m×1+14.0m×3+7.0m×1连续现浇钢筋混凝土肋梁,下部结构采用盖梁式桥台，重力式桥墩，钻孔灌注桩基础，桥面铺装采用沥青混凝土铺装。经检测，目前该桥已出现桥面铺装大面积磨光露骨、桥墩基础冲刷、主梁破损露筋、桥台基础脱空、部分锥坡严重破损塌陷等病害，为消除安全隐患，防止病害进一步扩大，本次拟对牙拉河二桥实施病害处置，具体实施方案如下：（一）台帽、梁板、开裂破损加固1.I 型修复：针对台帽、梁板仅表面处出现裂缝，裂缝宽度 &lt;0.15m 的梁板，因整体性较完整情况，对裂缝处进行封闭裂缝处理。2. Ⅱ型修复:针对台帽、梁板仅表面处出现裂缝，0.15mm&lt; 裂缝宽度&lt;1.5mm 的梁板，因整体性较完整情况，对裂缝处进行环氧树脂低压灌缝。3.Ⅲ型修复:针对台帽、梁板板身破损、露筋较严重，裂缝宽度&gt;1.5mm处，一是应进行凿除病害处松散混凝土；二是采用锈转化剂涂刷，将残留在钢筋上的铁锈转化成底漆；三是用环氧树脂砂浆修补凿除面；四是混凝土表面打磨处理；五是找平材料配置并对不平处进行修复处理；六是梁板底粘贴碳纤维布。（二）混凝土表面蜂窝麻面修复1.观察并标出结构物蜂窝麻面部位。2.采用环氧树脂砂浆修复破损部位。3.混凝土表面打磨处理。4.找平材料配置并对不平处进行修复处理。（三）浆砌片石结构病害修复1.I 型修复:针对浆砌片石结构仅表层块石之间出现裂缝，结构整体性较完整情况，应对结构开裂处采用重新勾缝处置。2.Ⅱ型修复:针对结构仅表层块石之间出现断裂、破损，下沉等病害，对破损部位进行注浆固化后重新砌筑浆砌片石，新旧结构接处进行勾缝、抹面处理。（四）附属工程修复1.桥梁铺装:根据桥面取芯情况，旧桥铺装结构层为4cm 沥青面层+10cm 钢筋混凝土，本次桥面铺装修复采用铣刨4cm 沥青面层后对桥面进行4cm 沥青铺装摊铺。2.桥梁护栏：桥面调整为单车道通行兼设人行道。对人行道 进行凿除，保留外侧栏杆，人行道内侧新增钢结构护栏。3.桥梁锥坡:清除既有锥坡杂物，重新施工桥梁锥坡。4.桥梁引道：由于病害情况较为严重，本项目桥梁引道500m路面拆除重建。5.基础脱空:先清除基础周围淤泥及松散土质，对基础掏空部位进行回填C30水下混凝土，最后于基础外1m范围内进行混凝土浇筑。</w:t>
      </w:r>
    </w:p>
    <w:p>
      <w:pPr>
        <w:pStyle w:val="null3"/>
        <w:ind w:firstLine="480"/>
        <w:jc w:val="left"/>
      </w:pPr>
      <w:r>
        <w:rPr>
          <w:rFonts w:ascii="仿宋_GB2312" w:hAnsi="仿宋_GB2312" w:cs="仿宋_GB2312" w:eastAsia="仿宋_GB2312"/>
        </w:rPr>
        <w:t>7、招标范围：施工总承包（具体内容详见工程量清单及施工图）</w:t>
      </w:r>
    </w:p>
    <w:p>
      <w:pPr>
        <w:pStyle w:val="null3"/>
        <w:ind w:firstLine="480"/>
        <w:jc w:val="left"/>
      </w:pPr>
      <w:r>
        <w:rPr>
          <w:rFonts w:ascii="仿宋_GB2312" w:hAnsi="仿宋_GB2312" w:cs="仿宋_GB2312" w:eastAsia="仿宋_GB2312"/>
        </w:rPr>
        <w:t>8、质量标准：合格</w:t>
      </w:r>
    </w:p>
    <w:p>
      <w:pPr>
        <w:pStyle w:val="null3"/>
        <w:ind w:firstLine="480"/>
        <w:jc w:val="left"/>
      </w:pPr>
      <w:r>
        <w:rPr>
          <w:rFonts w:ascii="仿宋_GB2312" w:hAnsi="仿宋_GB2312" w:cs="仿宋_GB2312" w:eastAsia="仿宋_GB2312"/>
        </w:rPr>
        <w:t>9、付款方式：具体以合同规定为准。</w:t>
      </w:r>
    </w:p>
    <w:p>
      <w:pPr>
        <w:pStyle w:val="null3"/>
        <w:ind w:firstLine="480"/>
        <w:jc w:val="left"/>
      </w:pPr>
      <w:r>
        <w:rPr>
          <w:rFonts w:ascii="仿宋_GB2312" w:hAnsi="仿宋_GB2312" w:cs="仿宋_GB2312" w:eastAsia="仿宋_GB2312"/>
        </w:rPr>
        <w:t>10、验收方式：具体以合同规定为准。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2,005,457.00</w:t>
      </w:r>
    </w:p>
    <w:p>
      <w:pPr>
        <w:pStyle w:val="null3"/>
        <w:jc w:val="left"/>
      </w:pPr>
      <w:r>
        <w:rPr>
          <w:rFonts w:ascii="仿宋_GB2312" w:hAnsi="仿宋_GB2312" w:cs="仿宋_GB2312" w:eastAsia="仿宋_GB2312"/>
        </w:rPr>
        <w:t>采购包最高限价（元）: 2,001,647.00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B02020000-公路工程施工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2,005,457.00</w:t>
            </w:r>
          </w:p>
        </w:tc>
        <w:tc>
          <w:tcPr>
            <w:tcW w:type="dxa" w:w="831"/>
          </w:tcPr>
          <w:p>
            <w:pPr>
              <w:pStyle w:val="null3"/>
              <w:jc w:val="left"/>
            </w:pPr>
            <w:r>
              <w:rPr>
                <w:rFonts w:ascii="仿宋_GB2312" w:hAnsi="仿宋_GB2312" w:cs="仿宋_GB2312" w:eastAsia="仿宋_GB2312"/>
              </w:rPr>
              <w:t>座</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G225海榆西线牙拉河二桥修复工程（K141+124）</w:t>
            </w:r>
          </w:p>
        </w:tc>
        <w:tc>
          <w:tcPr>
            <w:tcW w:type="dxa" w:w="554"/>
          </w:tcPr>
          <w:p>
            <w:pPr>
              <w:pStyle w:val="null3"/>
              <w:jc w:val="left"/>
            </w:pPr>
            <w:r>
              <w:rPr>
                <w:rFonts w:ascii="仿宋_GB2312" w:hAnsi="仿宋_GB2312" w:cs="仿宋_GB2312" w:eastAsia="仿宋_GB2312"/>
              </w:rPr>
              <w:t>座</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2,001,647.00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标的名称：B02020000-公路工程施工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color w:val="000000"/>
              </w:rPr>
              <w:t>以施工图纸及工程量清单包含的全部内容为准。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9"/>
                <w:color w:val="000000"/>
              </w:rPr>
              <w:t>以施工图纸及工程量清单包含的全部内容为准。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本次招标要求投标人须具备交通运输主管部门核发的有效期内 桥梁养护乙级（含）以上资质及交通安全设施养护资质。</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人员要求</w:t>
            </w:r>
          </w:p>
        </w:tc>
        <w:tc>
          <w:tcPr>
            <w:tcW w:type="dxa" w:w="3322"/>
          </w:tcPr>
          <w:p>
            <w:pPr>
              <w:pStyle w:val="null3"/>
              <w:jc w:val="left"/>
            </w:pPr>
            <w:r>
              <w:rPr>
                <w:rFonts w:ascii="仿宋_GB2312" w:hAnsi="仿宋_GB2312" w:cs="仿宋_GB2312" w:eastAsia="仿宋_GB2312"/>
              </w:rPr>
              <w:t>本次招标要求投标人企业主要负责人持有交通主管部门颁发的有效的公路水运工程施工企业主要负责人和安全生产管理人员生产考核合格证书公路工程安全生产 A 证（即 2017 年起使用的含有二维码的证书），注册单位应为供应商；②拟派项目经理须具备公路工程专业贰级或以上注册建造师执业资格，同时持有交通主管部门颁发的有效的公路水运工程施工企业主要负责人和安全生产管理人员生产考核合格证书公路工程安全生产 B 证（即 2017 年起使用的含有二维码的证书），注册单位应为供应商；且未担任其他在施建设工程项目的项目经理；③专职从事安全生产工作的管理人员根据海南省交通运输厅关于印发《海南省公路水运工程施工企业主要负责人和安全生产管理人员考核管理实施细则》的通知（琼交运建〔2017〕136 号），应持有交通主管部门颁发的有效的公路水运工程施工企业主要负责人和安全生产管理人员生产考核合格证书公路工程安全生产 C 证（即 2017 年起使用的含有二维码的证书），注册单位应为供应商（证明材料：响应文件中提供人员相关证书复印件，及 2025年 1 月 1 日至今任意 3 个月在企业缴纳社保的证明复印件加盖公章）</w:t>
            </w:r>
          </w:p>
        </w:tc>
        <w:tc>
          <w:tcPr>
            <w:tcW w:type="dxa" w:w="1661"/>
          </w:tcPr>
          <w:p>
            <w:pPr>
              <w:pStyle w:val="null3"/>
              <w:jc w:val="left"/>
            </w:pPr>
            <w:r>
              <w:rPr>
                <w:rFonts w:ascii="仿宋_GB2312" w:hAnsi="仿宋_GB2312" w:cs="仿宋_GB2312" w:eastAsia="仿宋_GB2312"/>
              </w:rPr>
              <w:t>项目管理人员情况表 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供应商具有良好的社会责任、法律责任及清廉自贸港的清廉责任</w:t>
            </w:r>
          </w:p>
        </w:tc>
        <w:tc>
          <w:tcPr>
            <w:tcW w:type="dxa" w:w="3322"/>
          </w:tcPr>
          <w:p>
            <w:pPr>
              <w:pStyle w:val="null3"/>
              <w:jc w:val="left"/>
            </w:pPr>
            <w:r>
              <w:rPr>
                <w:rFonts w:ascii="仿宋_GB2312" w:hAnsi="仿宋_GB2312" w:cs="仿宋_GB2312" w:eastAsia="仿宋_GB2312"/>
              </w:rPr>
              <w:t>（提供符合要求的清廉项目承诺书并配合承诺书公示，格式见附件，其中，拒绝承诺的由评审专家组取消其参选资格，承诺是否符合要求由采购人（业主）确认的审查清单为准）,公路养护工程建设清廉项目承诺书需加盖单位公章并签字捺印，清廉项目承诺书的签署人应按要求提供身份证明材料。</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根据响应单位制定的施工方案与技术措施进行评审，包含但不限于（施工现场管理组织机构、施工总体部署和规划、施工程序和施工方法、安全文明施工目标以及保证措施）等内容。 1、内容完整、详细完善、工作定位和目标明确、重点突出、切实可行，得12分； 2、内容较完整、较详细完善、工作定位和目标较明确、重点较突出、具有可行性，得 9分； 3、内容基本完整、详细、工作定位和目标基本明确、重点较突出、具有可行性，得6分； 4、内容不够完整、详细，工作定位和目标不够明确、重点不够突出、可行性一般，得3分； 5、内容不完整、有缺漏、工作定位和目标不明确、重点不突出、可行差，得1分；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根据响应单位制定的工程进度计划与措施进行评审，评审内容包含但不限于工程进度计划是否符合施工要求且时间安排合理，实施过程务实，各项指标均能完成等内容。 1、工程进度计划与措施方案内容完整、详细完善，工期进度安排合理，操作性强，得12分； 2、工程进度计划与措施方案内容较完整、较详细完善，工期进度安排较合理，操作性较强，得9分； 3、工程进度计划与措施方案内容基本完整，工期进度安排基本合理，操作性一般，得6分； 4、工程进度计划与措施方案内容不够完整，工期进度安排不够合理，具有操作性，得3分； 5、工程进度计划与措施方案内容出现偏差或描述存在漏洞，缺乏可操作性，得1分；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完善的指挥系统、质量监控系统、联络协调系统，能符合本项目的施工质量要求，各项指标均能完成等。1、质量管理体系与措施内容完整、详细完善，措施安排合理，规范性强，得12分； 2、质量管理体系与措施内容较完整、详细，措施安排较合理，规范性较强，得9分； 3、质量管理体系与措施内容基本完整，措施安排基本合理，规范性一般，得6分； 4、质量管理体系与措施内容不够完整，措施安排不够合理，具有规范性，得3分； 5、质量管理体系与措施内容出现偏差或描述存在漏洞，缺乏可规范性，得1分；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针对本项目工程特点、周边环境及项目实际情况，制定的措施能满足采购人的需要，包含安全管理方针、安全管理组织机构、施工安全管理目标、施工安全管理制度、施工安全管理各个岗位人员各自的职责和施工现场具体管理内容等进行评审。 1、安全管理体系与措施内容完整、详细完善，措施安排合理，规范性强，得12分； 2、安全管理体系与措施内容较完整、详细，措施安排较合理，规范性较强，得9分； 3、安全管理体系与措施内容基本完整，措施安排基本合理，规范性一般，得6分； 4、安全管理体系与措施内容不够完整，措施安排不够合理，具有规范性，得3分； 5、安全管理体系与措施内容出现偏差或描述存在漏洞，缺乏可规范性，得1分；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环境保护体系与措施</w:t>
            </w:r>
          </w:p>
        </w:tc>
        <w:tc>
          <w:tcPr>
            <w:tcW w:type="dxa" w:w="2492"/>
          </w:tcPr>
          <w:p>
            <w:pPr>
              <w:pStyle w:val="null3"/>
              <w:jc w:val="left"/>
            </w:pPr>
            <w:r>
              <w:rPr>
                <w:rFonts w:ascii="仿宋_GB2312" w:hAnsi="仿宋_GB2312" w:cs="仿宋_GB2312" w:eastAsia="仿宋_GB2312"/>
              </w:rPr>
              <w:t>针对本项目的工程特点、周边环境及项目实际情况，制定出能满足采购人需要且能保障整个施工过程对环境进行保护的环境保护体系与措施，含施工环境保护管理目标、施工环境保护组织机构及保证体系、施工环境保护各个岗位人员的管理职责、施工环境保护的主要技术措施等内容进行评审。 1、环境保护体系与措施内容完整、详细完善，措施安排合理，规范性强，得 12 分； 2、环境保护体系与措施较完整、详细，措施安排较合理，规范性较强，得 9 分； 3、环境保护体系与措施基本完整，措施安排基本合理，规范性一般，得 6 分； 4、环境保护体系与措施不够完整，措施安排不够合理，具有规范性，得 3 分； 5、环境保护体系与措施出现偏差或描述存在漏洞，缺乏可规范性，得 1 分； 6、未提供不得分。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①2022年1月1日至今投标人至少独立完成1个单项合同不小于100万元的二级及以上公路工程施工或养护工程业绩，得 10 分。② 每增加一个得5分，满分10分。证明材料：提供中标通知书或施工合同协议书复印件加盖公章，否则不得分。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联合体协议书</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 联合体协议书</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 联合体协议书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琼XT-2025-026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G225海榆西线牙拉河二桥修复工程（K141+124）</w:t>
      </w:r>
    </w:p>
    <w:p>
      <w:pPr>
        <w:pStyle w:val="null3"/>
        <w:jc w:val="left"/>
      </w:pPr>
      <w:r>
        <w:rPr>
          <w:rFonts w:ascii="仿宋_GB2312" w:hAnsi="仿宋_GB2312" w:cs="仿宋_GB2312" w:eastAsia="仿宋_GB2312"/>
        </w:rPr>
        <w:t>采购包：</w:t>
      </w:r>
      <w:r>
        <w:rPr>
          <w:rFonts w:ascii="仿宋_GB2312" w:hAnsi="仿宋_GB2312" w:cs="仿宋_GB2312" w:eastAsia="仿宋_GB2312"/>
        </w:rPr>
        <w:t>G225海榆西线牙拉河二桥修复工程（K141+124）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G225海榆西线牙拉河二桥修复工程（K141+124）</w:t>
            </w:r>
          </w:p>
        </w:tc>
        <w:tc>
          <w:tcPr>
            <w:tcW w:type="dxa" w:w="1038"/>
          </w:tcPr>
          <w:p>
            <w:pPr>
              <w:pStyle w:val="null3"/>
              <w:jc w:val="left"/>
            </w:pPr>
            <w:r>
              <w:rPr>
                <w:rFonts w:ascii="仿宋_GB2312" w:hAnsi="仿宋_GB2312" w:cs="仿宋_GB2312" w:eastAsia="仿宋_GB2312"/>
              </w:rPr>
              <w:t xml:space="preserve"> 1.00座</w:t>
            </w:r>
          </w:p>
        </w:tc>
        <w:tc>
          <w:tcPr>
            <w:tcW w:type="dxa" w:w="1038"/>
          </w:tcPr>
          <w:p>
            <w:pPr>
              <w:pStyle w:val="null3"/>
              <w:jc w:val="left"/>
            </w:pPr>
            <w:r>
              <w:rPr>
                <w:rFonts w:ascii="仿宋_GB2312" w:hAnsi="仿宋_GB2312" w:cs="仿宋_GB2312" w:eastAsia="仿宋_GB2312"/>
              </w:rPr>
              <w:t xml:space="preserve"> 2001647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详见附件：联合体协议书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