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2025年环境质量监测项目对外委托及设备购置(三次)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ZYZB(H)-[2025]-0302-2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海南省生态环境监测中心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智远工程管理有限公司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海南省生态环境监测中心</w:t>
      </w:r>
      <w:r>
        <w:rPr>
          <w:rFonts w:ascii="仿宋_GB2312" w:hAnsi="仿宋_GB2312" w:cs="仿宋_GB2312" w:eastAsia="仿宋_GB2312"/>
        </w:rPr>
        <w:t xml:space="preserve"> 委托， </w:t>
      </w:r>
      <w:r>
        <w:rPr>
          <w:rFonts w:ascii="仿宋_GB2312" w:hAnsi="仿宋_GB2312" w:cs="仿宋_GB2312" w:eastAsia="仿宋_GB2312"/>
        </w:rPr>
        <w:t>智远工程管理有限公司</w:t>
      </w:r>
      <w:r>
        <w:rPr>
          <w:rFonts w:ascii="仿宋_GB2312" w:hAnsi="仿宋_GB2312" w:cs="仿宋_GB2312" w:eastAsia="仿宋_GB2312"/>
        </w:rPr>
        <w:t xml:space="preserve"> 对 </w:t>
      </w:r>
      <w:r>
        <w:rPr>
          <w:rFonts w:ascii="仿宋_GB2312" w:hAnsi="仿宋_GB2312" w:cs="仿宋_GB2312" w:eastAsia="仿宋_GB2312"/>
        </w:rPr>
        <w:t>2025年环境质量监测项目对外委托及设备购置(三次)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ZYZB(H)-[2025]-0302-2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2025年环境质量监测项目对外委托及设备购置(三次)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919,040.00元</w:t>
      </w:r>
      <w:r>
        <w:rPr>
          <w:rFonts w:ascii="仿宋_GB2312" w:hAnsi="仿宋_GB2312" w:cs="仿宋_GB2312" w:eastAsia="仿宋_GB2312"/>
        </w:rPr>
        <w:t>玖拾壹万玖仟零肆拾元整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自合同签订之日起至2025年11月30日；</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1、具有良好的信用记录：必须为未被列入信用中国网站（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www.ccgp.gov.cn）的不良记录，即政府采购严重违法失信行为记录名单的供应商:提供查询结果截图或提交承诺书（加盖投标人公章）</w:t>
      </w:r>
    </w:p>
    <w:p>
      <w:pPr>
        <w:pStyle w:val="null3"/>
        <w:jc w:val="left"/>
      </w:pPr>
      <w:r>
        <w:rPr>
          <w:rFonts w:ascii="仿宋_GB2312" w:hAnsi="仿宋_GB2312" w:cs="仿宋_GB2312" w:eastAsia="仿宋_GB2312"/>
        </w:rPr>
        <w:t>2、无环保类行政处罚记录：提供参加政府采购活动前三年内，在经营活动中无环保类行政处罚记录声明函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1、本项目为远程不见面开标，供应商无须到达开标现场，但开标前必须进入电子开标大厅在线签到（未签到视为无效投标），远程按时参加在线开标解密即可。 2、本项目采用全流程电子化操作，投标人（供应商）详阅本文件中《政府采购电子招标投标活动须知》，并自行在海南省政府采购智慧云平台-下载专区查看相应的系统操作指南，严格按照操作指南要求进行系统操作，供应商使用交易系统遇到问题可致电技术支持：4001691288。 3、本项目采购信息指定发布媒体为： （1）中国政府采购网，网址www.ccgp.gov.cn。 （2）中国政府采购网海南分网（海南省政府采购智慧云平台），网址https://ccgp-hainan.gov.cn/。 ※若出现上述指定媒体信息不一致情形，应以中国政府采购网海南分网（海南省政府采购智慧云平台）发布的为准。 4、有关本项目招标文件的补遗、澄清及变更信息以上述网站公告与下载为准，采购代理机构不再另行通知，招标文件与更正公告的内容相互矛盾时，以最后发出的更正公告内容为准。</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海南省生态环境监测中心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海南省海口市美兰区白驹大道98号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史建康</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65968871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智远工程管理有限公司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海南省海口市龙华区大同路36号华能大厦17C</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571000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郭俊</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0898-68651606</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采购包1：919,040.00元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代理服务费收费标准：参照国家计委计价格[2002]1980号及发改办价格[2003]857号通知规定计算按8折计取，由中标供应商在领取中标通知书前向招标代理机构缴纳招标代理服务费。 支付形式：银行转账或现金 开户名: 智远工程管理有限公司海南分公司 开户行: 中国银行股份有限公司海南省分行 账 号: 2650 3045 7131</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1.供应商对投标文件的真实性、有效性负责，供应商须对招标文件提出的要求和条件逐条做出实质性响应，不得故意不提供、少提供，如发现供应商有虚假、伪造、应响应而未响应的情况，将按相关规定处理。 2.中标供应商在领取中标通知书时向采购代理机构提供3份胶装版纸质投标文件，须与在系统递交的电子版文件一致。 备注：如有招标文件因系统自动转换为PDF版本与WORD版招标文件不一致时，以发布的WORD版招标文件内容为准。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联系人：郭俊</w:t>
      </w:r>
    </w:p>
    <w:p>
      <w:pPr>
        <w:pStyle w:val="null3"/>
        <w:jc w:val="left"/>
      </w:pPr>
      <w:r>
        <w:rPr>
          <w:rFonts w:ascii="仿宋_GB2312" w:hAnsi="仿宋_GB2312" w:cs="仿宋_GB2312" w:eastAsia="仿宋_GB2312"/>
        </w:rPr>
        <w:t>联系电话：0898-68651606</w:t>
      </w:r>
    </w:p>
    <w:p>
      <w:pPr>
        <w:pStyle w:val="null3"/>
        <w:jc w:val="left"/>
      </w:pPr>
      <w:r>
        <w:rPr>
          <w:rFonts w:ascii="仿宋_GB2312" w:hAnsi="仿宋_GB2312" w:cs="仿宋_GB2312" w:eastAsia="仿宋_GB2312"/>
        </w:rPr>
        <w:t>地址：海南省海口市龙华区大同路36号华能大厦17C</w:t>
      </w:r>
    </w:p>
    <w:p>
      <w:pPr>
        <w:pStyle w:val="null3"/>
        <w:jc w:val="left"/>
      </w:pPr>
      <w:r>
        <w:rPr>
          <w:rFonts w:ascii="仿宋_GB2312" w:hAnsi="仿宋_GB2312" w:cs="仿宋_GB2312" w:eastAsia="仿宋_GB2312"/>
        </w:rPr>
        <w:t>邮编：570312</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预算金额：￥</w:t>
      </w:r>
      <w:r>
        <w:rPr>
          <w:rFonts w:ascii="仿宋_GB2312" w:hAnsi="仿宋_GB2312" w:cs="仿宋_GB2312" w:eastAsia="仿宋_GB2312"/>
          <w:sz w:val="24"/>
        </w:rPr>
        <w:t>919040</w:t>
      </w:r>
      <w:r>
        <w:rPr>
          <w:rFonts w:ascii="仿宋_GB2312" w:hAnsi="仿宋_GB2312" w:cs="仿宋_GB2312" w:eastAsia="仿宋_GB2312"/>
          <w:sz w:val="24"/>
        </w:rPr>
        <w:t>元；</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919,040.00</w:t>
      </w:r>
    </w:p>
    <w:p>
      <w:pPr>
        <w:pStyle w:val="null3"/>
        <w:jc w:val="left"/>
      </w:pPr>
      <w:r>
        <w:rPr>
          <w:rFonts w:ascii="仿宋_GB2312" w:hAnsi="仿宋_GB2312" w:cs="仿宋_GB2312" w:eastAsia="仿宋_GB2312"/>
        </w:rPr>
        <w:t>采购包最高限价（元）: 919,040.00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区域生态质量样地植物群落监测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919,040.00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区域生态质量样地植物群落监测</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919,040.00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标的名称：区域生态质量样地植物群落监测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2"/>
              <w:jc w:val="both"/>
            </w:pPr>
            <w:r>
              <w:rPr>
                <w:rFonts w:ascii="仿宋_GB2312" w:hAnsi="仿宋_GB2312" w:cs="仿宋_GB2312" w:eastAsia="仿宋_GB2312"/>
                <w:sz w:val="21"/>
              </w:rPr>
              <w:t>一、工作目标</w:t>
            </w:r>
          </w:p>
          <w:p>
            <w:pPr>
              <w:pStyle w:val="null3"/>
              <w:jc w:val="both"/>
            </w:pPr>
            <w:r>
              <w:rPr>
                <w:rFonts w:ascii="仿宋_GB2312" w:hAnsi="仿宋_GB2312" w:cs="仿宋_GB2312" w:eastAsia="仿宋_GB2312"/>
                <w:sz w:val="21"/>
              </w:rPr>
              <w:t>为落实《区域生态质量评价办法（试行）》（环监测</w:t>
            </w:r>
            <w:r>
              <w:rPr>
                <w:rFonts w:ascii="仿宋_GB2312" w:hAnsi="仿宋_GB2312" w:cs="仿宋_GB2312" w:eastAsia="仿宋_GB2312"/>
                <w:sz w:val="21"/>
              </w:rPr>
              <w:t>[2021]99号）要求，海南省生态环境监测中心拟于2025年开展生态质量样地地面监测工作，通过监测掌握海南省典型生态系统植物群落物种组成及结构，编制海南省生态质量样地（维管植物）监测报告、热带雨林国家公园生态质量评价报告、以及基于样地调查的海南省外来入侵物种（维管植物）、国家重点保护物种（维管植物）调查报告；报告应系统评估全省的生物多样性信息，并提出针对海南省省情的生物物种和生态系统的保护对策。现将48个生态质量样地（森林、湿地）的植物群落调查任务（具体工作时间按照采购人要求执行），通过公开招标的采购方式面向市场采购服务。</w:t>
            </w:r>
          </w:p>
          <w:p>
            <w:pPr>
              <w:pStyle w:val="null3"/>
              <w:ind w:firstLine="482"/>
              <w:jc w:val="both"/>
            </w:pPr>
            <w:r>
              <w:rPr>
                <w:rFonts w:ascii="仿宋_GB2312" w:hAnsi="仿宋_GB2312" w:cs="仿宋_GB2312" w:eastAsia="仿宋_GB2312"/>
                <w:sz w:val="21"/>
              </w:rPr>
              <w:t>二、技术规范</w:t>
            </w:r>
          </w:p>
          <w:p>
            <w:pPr>
              <w:pStyle w:val="null3"/>
              <w:jc w:val="both"/>
            </w:pPr>
            <w:r>
              <w:rPr>
                <w:rFonts w:ascii="仿宋_GB2312" w:hAnsi="仿宋_GB2312" w:cs="仿宋_GB2312" w:eastAsia="仿宋_GB2312"/>
                <w:sz w:val="21"/>
              </w:rPr>
              <w:t>本技术需求涉及的技术指标要求，按照《《全国生态质量监督监测工作方案（</w:t>
            </w:r>
            <w:r>
              <w:rPr>
                <w:rFonts w:ascii="仿宋_GB2312" w:hAnsi="仿宋_GB2312" w:cs="仿宋_GB2312" w:eastAsia="仿宋_GB2312"/>
                <w:sz w:val="21"/>
              </w:rPr>
              <w:t>2023-2025年）（环监测[2023]45号）》和《全国生态质量监督监测技术指南(试行)》执行完成，技术指标要求不得低于相关细则的规定。</w:t>
            </w:r>
          </w:p>
          <w:p>
            <w:pPr>
              <w:pStyle w:val="null3"/>
              <w:ind w:firstLine="482"/>
              <w:jc w:val="both"/>
            </w:pPr>
            <w:r>
              <w:rPr>
                <w:rFonts w:ascii="仿宋_GB2312" w:hAnsi="仿宋_GB2312" w:cs="仿宋_GB2312" w:eastAsia="仿宋_GB2312"/>
                <w:sz w:val="21"/>
              </w:rPr>
              <w:t>三、工作内容</w:t>
            </w:r>
          </w:p>
          <w:p>
            <w:pPr>
              <w:pStyle w:val="null3"/>
              <w:ind w:firstLine="482"/>
              <w:jc w:val="both"/>
            </w:pPr>
            <w:r>
              <w:rPr>
                <w:rFonts w:ascii="仿宋_GB2312" w:hAnsi="仿宋_GB2312" w:cs="仿宋_GB2312" w:eastAsia="仿宋_GB2312"/>
                <w:sz w:val="21"/>
              </w:rPr>
              <w:t>1、完成生态质量样地背景和生境调查。</w:t>
            </w:r>
          </w:p>
          <w:p>
            <w:pPr>
              <w:pStyle w:val="null3"/>
              <w:ind w:firstLine="482"/>
              <w:jc w:val="both"/>
            </w:pPr>
            <w:r>
              <w:rPr>
                <w:rFonts w:ascii="仿宋_GB2312" w:hAnsi="仿宋_GB2312" w:cs="仿宋_GB2312" w:eastAsia="仿宋_GB2312"/>
                <w:sz w:val="21"/>
              </w:rPr>
              <w:t>根据采购方提供的生态质量样地点位信息（表</w:t>
            </w:r>
            <w:r>
              <w:rPr>
                <w:rFonts w:ascii="仿宋_GB2312" w:hAnsi="仿宋_GB2312" w:cs="仿宋_GB2312" w:eastAsia="仿宋_GB2312"/>
                <w:sz w:val="21"/>
              </w:rPr>
              <w:t>1），通过直接观察，确定乔木、灌木及草本植物群落样地总体状况并进行定性或半定量描述，内容包括样地标识、定位信息、样方布设信息、地貌特征、气候特征、植被类型、利用方式、利用强度等，详见附表1、5、6。</w:t>
            </w:r>
          </w:p>
          <w:p>
            <w:pPr>
              <w:pStyle w:val="null3"/>
              <w:ind w:firstLine="482"/>
              <w:jc w:val="both"/>
            </w:pPr>
            <w:r>
              <w:rPr>
                <w:rFonts w:ascii="仿宋_GB2312" w:hAnsi="仿宋_GB2312" w:cs="仿宋_GB2312" w:eastAsia="仿宋_GB2312"/>
                <w:sz w:val="21"/>
              </w:rPr>
              <w:t>2、完成生态质量样地植物群落监测。</w:t>
            </w:r>
          </w:p>
          <w:p>
            <w:pPr>
              <w:pStyle w:val="null3"/>
              <w:ind w:firstLine="482"/>
              <w:jc w:val="both"/>
            </w:pPr>
            <w:r>
              <w:rPr>
                <w:rFonts w:ascii="仿宋_GB2312" w:hAnsi="仿宋_GB2312" w:cs="仿宋_GB2312" w:eastAsia="仿宋_GB2312"/>
                <w:sz w:val="21"/>
              </w:rPr>
              <w:t>根据采购方提供的生态质量样地点位信息（表</w:t>
            </w:r>
            <w:r>
              <w:rPr>
                <w:rFonts w:ascii="仿宋_GB2312" w:hAnsi="仿宋_GB2312" w:cs="仿宋_GB2312" w:eastAsia="仿宋_GB2312"/>
                <w:sz w:val="21"/>
              </w:rPr>
              <w:t>1），参照表2监测内容要求，开展48个样地的植物群落指标监测，并填写植物群落分层统计表（附表2、3、4），编制海南省生态质量样地(维管植物)监测报告。</w:t>
            </w:r>
          </w:p>
          <w:p>
            <w:pPr>
              <w:pStyle w:val="null3"/>
              <w:ind w:firstLine="482"/>
              <w:jc w:val="both"/>
            </w:pPr>
            <w:r>
              <w:rPr>
                <w:rFonts w:ascii="仿宋_GB2312" w:hAnsi="仿宋_GB2312" w:cs="仿宋_GB2312" w:eastAsia="仿宋_GB2312"/>
                <w:sz w:val="21"/>
              </w:rPr>
              <w:t>植物群落监测方法详见《全国生态质量监督监测工作方案（</w:t>
            </w:r>
            <w:r>
              <w:rPr>
                <w:rFonts w:ascii="仿宋_GB2312" w:hAnsi="仿宋_GB2312" w:cs="仿宋_GB2312" w:eastAsia="仿宋_GB2312"/>
                <w:sz w:val="21"/>
              </w:rPr>
              <w:t>2023-2025年）（环监测[2023]45号）》《全国生态质量监督监测技术指南(试行)》《陆地生态系统生物观测指标与规范》（中国生态系统研究网络科学委员会，北京：中国环境科学出版社，2019）。物种中文名参照《中国植物分类与代码》（GB/T 14467-2021）执行。生活型参考《中国植物志》《中国高等植物图鉴》《中国树木志》《海南植物图志》等确定。</w:t>
            </w:r>
          </w:p>
          <w:p>
            <w:pPr>
              <w:pStyle w:val="null3"/>
              <w:ind w:firstLine="420"/>
              <w:jc w:val="both"/>
            </w:pPr>
            <w:r>
              <w:rPr>
                <w:rFonts w:ascii="仿宋_GB2312" w:hAnsi="仿宋_GB2312" w:cs="仿宋_GB2312" w:eastAsia="仿宋_GB2312"/>
                <w:sz w:val="21"/>
              </w:rPr>
              <w:t>表</w:t>
            </w:r>
            <w:r>
              <w:rPr>
                <w:rFonts w:ascii="仿宋_GB2312" w:hAnsi="仿宋_GB2312" w:cs="仿宋_GB2312" w:eastAsia="仿宋_GB2312"/>
                <w:sz w:val="21"/>
              </w:rPr>
              <w:t>1 海南省48个生态质量样地点位信息表</w:t>
            </w:r>
          </w:p>
          <w:tbl>
            <w:tblPr>
              <w:tblInd w:type="dxa" w:w="240"/>
              <w:tblBorders>
                <w:top w:val="none" w:color="000000" w:sz="4"/>
                <w:left w:val="none" w:color="000000" w:sz="4"/>
                <w:bottom w:val="none" w:color="000000" w:sz="4"/>
                <w:right w:val="none" w:color="000000" w:sz="4"/>
                <w:insideH w:val="none"/>
                <w:insideV w:val="none"/>
              </w:tblBorders>
            </w:tblPr>
            <w:tblGrid>
              <w:gridCol w:w="169"/>
              <w:gridCol w:w="492"/>
              <w:gridCol w:w="415"/>
              <w:gridCol w:w="415"/>
              <w:gridCol w:w="231"/>
              <w:gridCol w:w="415"/>
              <w:gridCol w:w="415"/>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4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样地编号</w:t>
                  </w:r>
                </w:p>
              </w:tc>
              <w:tc>
                <w:tcPr>
                  <w:tcW w:type="dxa" w:w="4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市级行政区</w:t>
                  </w:r>
                </w:p>
              </w:tc>
              <w:tc>
                <w:tcPr>
                  <w:tcW w:type="dxa" w:w="4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县级行政区</w:t>
                  </w:r>
                </w:p>
              </w:tc>
              <w:tc>
                <w:tcPr>
                  <w:tcW w:type="dxa" w:w="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样地类别</w:t>
                  </w:r>
                </w:p>
              </w:tc>
              <w:tc>
                <w:tcPr>
                  <w:tcW w:type="dxa" w:w="4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经度</w:t>
                  </w:r>
                </w:p>
              </w:tc>
              <w:tc>
                <w:tcPr>
                  <w:tcW w:type="dxa" w:w="4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纬度</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460105020001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海口市</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秀英区</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110.28850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19.74970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460203020002</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三亚市</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三亚市</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109.54580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18.29650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460204020001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三亚市</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三亚市</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109.37870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18.33570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460204020002</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三亚市</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三亚市</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109.38310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18.49500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460400020001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儋州市</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儋州市</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109.09350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19.51170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460400020002</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儋州市</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儋州市</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109.26880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19.67030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469001020005</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五指山市</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五指山市</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109.40100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18.83410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469002020001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琼海市</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琼海市</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110.25710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19.12120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469002020004</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琼海市</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琼海市</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110.59540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19.27330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469005020003</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文昌市</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文昌市</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110.85640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19.89160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469006020002</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万宁市</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万宁市</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110.26000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18.96200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469006020003</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万宁市</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万宁市</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110.40540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18.94770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469007020001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东方市</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东方市</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109.04490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18.83690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469021020001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定安县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定安县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110.27820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19.62260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469022020001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屯昌县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屯昌县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110.10290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19.45720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469023020001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澄迈县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澄迈县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109.76340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19.48030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469023020002</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澄迈县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澄迈县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109.94180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19.63960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469024020001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临高县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临高县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109.60530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19.65550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469025020003</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白沙黎族自治县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白沙黎族自治县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109.25430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19.33910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469025020005</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白沙黎族自治县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白沙黎族自治县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109.44900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19.32480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469026020003</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昌江黎族自治县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昌江黎族自治县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108.93860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19.40160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469026020004</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昌江黎族自治县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昌江黎族自治县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109.18860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19.05420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469027020002</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乐东黎族自治县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乐东黎族自治县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109.23680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18.81670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469027020004</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乐东黎族自治县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乐东黎族自治县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109.06120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18.75150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469027020005</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乐东黎族自治县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乐东黎族自治县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109.31450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18.64370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469027020007</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乐东黎族自治县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乐东黎族自治县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108.84800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18.70190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469028020002</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陵水黎族自治县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陵水黎族自治县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109.89190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18.48230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469028020003</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陵水黎族自治县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陵水黎族自治县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110.05160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18.47070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469029020003</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保亭黎族苗族自治县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保亭黎族苗族自治县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109.65790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18.61160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469030020004</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琼中黎族苗族自治县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琼中黎族苗族自治县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109.90850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18.97680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469030020005</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琼中黎族苗族自治县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琼中黎族苗族自治县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110.06350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18.98150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469001020001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五指山市</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五指山市</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109.55820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18.71460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469001020002</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五指山市</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五指山市</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109.68210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18.86310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469001020003</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五指山市</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五指山市</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109.51260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18.88230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469001020004</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五指山市</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五指山市</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109.68940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18.90060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469005020001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文昌市</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文昌市</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111.01720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19.67110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469025020001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白沙黎族自治县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白沙黎族自治县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109.40350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19.06670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469025020002</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白沙黎族自治县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白沙黎族自治县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109.17160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19.10630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469026020001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昌江黎族自治县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昌江黎族自治县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109.21140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19.08720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469026020002</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昌江黎族自治县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昌江黎族自治县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109.10680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19.12060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469027020001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乐东黎族自治县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乐东黎族自治县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108.93160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18.74730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469028020001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陵水黎族自治县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陵水黎族自治县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109.86380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18.72590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469030020001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琼中黎族苗族自治县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琼中黎族苗族自治县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109.93890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18.81310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469030020002</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琼中黎族苗族自治县</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琼中黎族苗族自治县</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森林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109.56850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19.05030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460108030001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海口市</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美兰区</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湿地</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110.60990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19.97640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460205030001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三亚市</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三亚市</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湿地</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109.21590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18.41710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460400030001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儋州市</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儋州市</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湿地</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109.52890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19.83980</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469007030001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东方市</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东方市</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湿地</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108.63140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19.21350</w:t>
                  </w:r>
                </w:p>
              </w:tc>
            </w:tr>
          </w:tbl>
          <w:p>
            <w:pPr>
              <w:pStyle w:val="null3"/>
              <w:ind w:firstLine="426"/>
              <w:jc w:val="center"/>
            </w:pPr>
            <w:r>
              <w:rPr>
                <w:rFonts w:ascii="仿宋_GB2312" w:hAnsi="仿宋_GB2312" w:cs="仿宋_GB2312" w:eastAsia="仿宋_GB2312"/>
                <w:sz w:val="24"/>
                <w:b/>
              </w:rPr>
              <w:t>表</w:t>
            </w:r>
            <w:r>
              <w:rPr>
                <w:rFonts w:ascii="仿宋_GB2312" w:hAnsi="仿宋_GB2312" w:cs="仿宋_GB2312" w:eastAsia="仿宋_GB2312"/>
                <w:sz w:val="24"/>
                <w:b/>
              </w:rPr>
              <w:t>2 植物群落监测内容</w:t>
            </w:r>
          </w:p>
          <w:tbl>
            <w:tblPr>
              <w:tblInd w:type="dxa" w:w="120"/>
              <w:tblBorders>
                <w:top w:val="none" w:color="000000" w:sz="4"/>
                <w:left w:val="none" w:color="000000" w:sz="4"/>
                <w:bottom w:val="none" w:color="000000" w:sz="4"/>
                <w:right w:val="none" w:color="000000" w:sz="4"/>
                <w:insideH w:val="none"/>
                <w:insideV w:val="none"/>
              </w:tblBorders>
            </w:tblPr>
            <w:tblGrid>
              <w:gridCol w:w="511"/>
              <w:gridCol w:w="383"/>
              <w:gridCol w:w="1659"/>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1"/>
                      <w:b/>
                    </w:rPr>
                    <w:t>类别</w:t>
                  </w:r>
                </w:p>
              </w:tc>
              <w:tc>
                <w:tcPr>
                  <w:tcW w:type="dxa" w:w="3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1"/>
                      <w:b/>
                    </w:rPr>
                    <w:t>监测内容</w:t>
                  </w:r>
                </w:p>
              </w:tc>
              <w:tc>
                <w:tcPr>
                  <w:tcW w:type="dxa" w:w="16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1"/>
                      <w:b/>
                    </w:rPr>
                    <w:t>监测指标</w:t>
                  </w: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1"/>
                    </w:rPr>
                    <w:t>必测</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1"/>
                    </w:rPr>
                    <w:t>植物群落（乔木层）</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1"/>
                    </w:rPr>
                    <w:t>物种名称、多度、高度、胸径、冠幅、郁闭度、地表凋落物平均厚度、地表凋落物鲜重</w:t>
                  </w:r>
                  <w:r>
                    <w:rPr>
                      <w:rFonts w:ascii="仿宋_GB2312" w:hAnsi="仿宋_GB2312" w:cs="仿宋_GB2312" w:eastAsia="仿宋_GB2312"/>
                      <w:sz w:val="21"/>
                    </w:rPr>
                    <w:t>/干重、优势种、外来入侵物种</w:t>
                  </w:r>
                </w:p>
              </w:tc>
            </w:tr>
            <w:tr>
              <w:tc>
                <w:tcPr>
                  <w:tcW w:type="dxa" w:w="511"/>
                  <w:vMerge/>
                  <w:tcBorders>
                    <w:top w:val="none" w:color="000000" w:sz="4"/>
                    <w:left w:val="single" w:color="000000" w:sz="4"/>
                    <w:bottom w:val="single" w:color="000000" w:sz="4"/>
                    <w:right w:val="single" w:color="000000" w:sz="4"/>
                  </w:tcBorders>
                </w:tcP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1"/>
                    </w:rPr>
                    <w:t>植物群落（灌木层）</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left"/>
                  </w:pPr>
                  <w:r>
                    <w:rPr>
                      <w:rFonts w:ascii="仿宋_GB2312" w:hAnsi="仿宋_GB2312" w:cs="仿宋_GB2312" w:eastAsia="仿宋_GB2312"/>
                      <w:sz w:val="21"/>
                    </w:rPr>
                    <w:t>物种名称、多度、高度、基径、丛幅、分种盖度、优势种、外来入侵物种</w:t>
                  </w:r>
                </w:p>
              </w:tc>
            </w:tr>
            <w:tr>
              <w:tc>
                <w:tcPr>
                  <w:tcW w:type="dxa" w:w="511"/>
                  <w:vMerge/>
                  <w:tcBorders>
                    <w:top w:val="none" w:color="000000" w:sz="4"/>
                    <w:left w:val="single" w:color="000000" w:sz="4"/>
                    <w:bottom w:val="single" w:color="000000" w:sz="4"/>
                    <w:right w:val="single" w:color="000000" w:sz="4"/>
                  </w:tcBorders>
                </w:tcP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1"/>
                    </w:rPr>
                    <w:t>植物群落（草本层）</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left"/>
                  </w:pPr>
                  <w:r>
                    <w:rPr>
                      <w:rFonts w:ascii="仿宋_GB2312" w:hAnsi="仿宋_GB2312" w:cs="仿宋_GB2312" w:eastAsia="仿宋_GB2312"/>
                      <w:sz w:val="21"/>
                    </w:rPr>
                    <w:t>物种名称、多度、高度、分种盖度、群落地上生物量鲜重</w:t>
                  </w:r>
                  <w:r>
                    <w:rPr>
                      <w:rFonts w:ascii="仿宋_GB2312" w:hAnsi="仿宋_GB2312" w:cs="仿宋_GB2312" w:eastAsia="仿宋_GB2312"/>
                      <w:sz w:val="21"/>
                    </w:rPr>
                    <w:t>/干重、生活型、优势种、退化指示种、外来入侵物种</w:t>
                  </w: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1"/>
                    </w:rPr>
                    <w:t>选测</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7"/>
                    <w:jc w:val="center"/>
                  </w:pPr>
                  <w:r>
                    <w:rPr>
                      <w:rFonts w:ascii="仿宋_GB2312" w:hAnsi="仿宋_GB2312" w:cs="仿宋_GB2312" w:eastAsia="仿宋_GB2312"/>
                      <w:sz w:val="21"/>
                    </w:rPr>
                    <w:t>植物群落（乔木层）</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left"/>
                  </w:pPr>
                  <w:r>
                    <w:rPr>
                      <w:rFonts w:ascii="仿宋_GB2312" w:hAnsi="仿宋_GB2312" w:cs="仿宋_GB2312" w:eastAsia="仿宋_GB2312"/>
                      <w:sz w:val="21"/>
                    </w:rPr>
                    <w:t>叶面积指数、地上生物量</w:t>
                  </w:r>
                </w:p>
              </w:tc>
            </w:tr>
            <w:tr>
              <w:tc>
                <w:tcPr>
                  <w:tcW w:type="dxa" w:w="511"/>
                  <w:vMerge/>
                  <w:tcBorders>
                    <w:top w:val="none" w:color="000000" w:sz="4"/>
                    <w:left w:val="single" w:color="000000" w:sz="4"/>
                    <w:bottom w:val="single" w:color="000000" w:sz="4"/>
                    <w:right w:val="single" w:color="000000" w:sz="4"/>
                  </w:tcBorders>
                </w:tcP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7"/>
                    <w:jc w:val="center"/>
                  </w:pPr>
                  <w:r>
                    <w:rPr>
                      <w:rFonts w:ascii="仿宋_GB2312" w:hAnsi="仿宋_GB2312" w:cs="仿宋_GB2312" w:eastAsia="仿宋_GB2312"/>
                      <w:sz w:val="21"/>
                    </w:rPr>
                    <w:t>水生植被（湿地样地）</w:t>
                  </w:r>
                </w:p>
              </w:tc>
              <w:tc>
                <w:tcPr>
                  <w:tcW w:type="dxa" w:w="1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left"/>
                  </w:pPr>
                  <w:r>
                    <w:rPr>
                      <w:rFonts w:ascii="仿宋_GB2312" w:hAnsi="仿宋_GB2312" w:cs="仿宋_GB2312" w:eastAsia="仿宋_GB2312"/>
                      <w:sz w:val="21"/>
                    </w:rPr>
                    <w:t>按照当年《国家生态环境监测方案》</w:t>
                  </w:r>
                  <w:r>
                    <w:rPr>
                      <w:rFonts w:ascii="仿宋_GB2312" w:hAnsi="仿宋_GB2312" w:cs="仿宋_GB2312" w:eastAsia="仿宋_GB2312"/>
                      <w:sz w:val="21"/>
                    </w:rPr>
                    <w:t>“长江流域水生态监测”“其他重点流域水生态监测”中水生生物监测有关要求执行</w:t>
                  </w:r>
                </w:p>
              </w:tc>
            </w:tr>
          </w:tbl>
          <w:p>
            <w:pPr>
              <w:pStyle w:val="null3"/>
              <w:ind w:firstLine="355"/>
              <w:jc w:val="both"/>
            </w:pPr>
            <w:r>
              <w:rPr>
                <w:rFonts w:ascii="仿宋_GB2312" w:hAnsi="仿宋_GB2312" w:cs="仿宋_GB2312" w:eastAsia="仿宋_GB2312"/>
                <w:sz w:val="20"/>
                <w:b/>
              </w:rPr>
              <w:t>3、完成重点保护生物和入侵生物统计与监测</w:t>
            </w:r>
          </w:p>
          <w:p>
            <w:pPr>
              <w:pStyle w:val="null3"/>
              <w:ind w:firstLine="354"/>
              <w:jc w:val="both"/>
            </w:pPr>
            <w:r>
              <w:rPr>
                <w:rFonts w:ascii="仿宋_GB2312" w:hAnsi="仿宋_GB2312" w:cs="仿宋_GB2312" w:eastAsia="仿宋_GB2312"/>
                <w:sz w:val="20"/>
              </w:rPr>
              <w:t>重点保护生物统计与监测，收集整理</w:t>
            </w:r>
            <w:r>
              <w:rPr>
                <w:rFonts w:ascii="仿宋_GB2312" w:hAnsi="仿宋_GB2312" w:cs="仿宋_GB2312" w:eastAsia="仿宋_GB2312"/>
                <w:sz w:val="20"/>
              </w:rPr>
              <w:t>2025年出现的海南省国家重点保护野生植物分布和数量，编制海南省国家重点保护野生植物调查报告。数据来源可以是但不限于生态质量样地监测、国家标本平台标本数据、全球生物多样性信息服务数据库、IUCN物种观测记录数据库、各类物种志书等，以及中科院、相关大学、研究所、NGO等公开观测结果。重点保护植物名单参考《国家重点保护野生植物名录》（2021 版）收录的国家重点保护野生植物。调查表详见</w:t>
            </w:r>
            <w:r>
              <w:rPr>
                <w:rFonts w:ascii="仿宋_GB2312" w:hAnsi="仿宋_GB2312" w:cs="仿宋_GB2312" w:eastAsia="仿宋_GB2312"/>
                <w:sz w:val="20"/>
                <w:b/>
              </w:rPr>
              <w:t>附表</w:t>
            </w:r>
            <w:r>
              <w:rPr>
                <w:rFonts w:ascii="仿宋_GB2312" w:hAnsi="仿宋_GB2312" w:cs="仿宋_GB2312" w:eastAsia="仿宋_GB2312"/>
                <w:sz w:val="20"/>
                <w:b/>
              </w:rPr>
              <w:t>7</w:t>
            </w:r>
            <w:r>
              <w:rPr>
                <w:rFonts w:ascii="仿宋_GB2312" w:hAnsi="仿宋_GB2312" w:cs="仿宋_GB2312" w:eastAsia="仿宋_GB2312"/>
                <w:sz w:val="20"/>
              </w:rPr>
              <w:t>。</w:t>
            </w:r>
          </w:p>
          <w:p>
            <w:pPr>
              <w:pStyle w:val="null3"/>
              <w:ind w:firstLine="354"/>
              <w:jc w:val="both"/>
            </w:pPr>
            <w:r>
              <w:rPr>
                <w:rFonts w:ascii="仿宋_GB2312" w:hAnsi="仿宋_GB2312" w:cs="仿宋_GB2312" w:eastAsia="仿宋_GB2312"/>
                <w:sz w:val="20"/>
              </w:rPr>
              <w:t>入侵生物监测，根据</w:t>
            </w:r>
            <w:r>
              <w:rPr>
                <w:rFonts w:ascii="仿宋_GB2312" w:hAnsi="仿宋_GB2312" w:cs="仿宋_GB2312" w:eastAsia="仿宋_GB2312"/>
                <w:sz w:val="20"/>
              </w:rPr>
              <w:t>2025年生态质量样地监测结果，将本次群落调查记录到的外来物种进行入侵风险评估，根据评估结果编制海南省生态质量样地外来入侵物种调查报告，并根据物种生物学特性、分布特征与现行技术手段给出相应的防控方法指导。入侵物种名单参考《中国外来入侵物种名单》《重点管理外来入侵物种名录》《中国自然生态系统外来入侵物种名单（共四批）》。调查表详见</w:t>
            </w:r>
            <w:r>
              <w:rPr>
                <w:rFonts w:ascii="仿宋_GB2312" w:hAnsi="仿宋_GB2312" w:cs="仿宋_GB2312" w:eastAsia="仿宋_GB2312"/>
                <w:sz w:val="20"/>
                <w:b/>
              </w:rPr>
              <w:t>附表</w:t>
            </w:r>
            <w:r>
              <w:rPr>
                <w:rFonts w:ascii="仿宋_GB2312" w:hAnsi="仿宋_GB2312" w:cs="仿宋_GB2312" w:eastAsia="仿宋_GB2312"/>
                <w:sz w:val="20"/>
                <w:b/>
              </w:rPr>
              <w:t>8</w:t>
            </w:r>
            <w:r>
              <w:rPr>
                <w:rFonts w:ascii="仿宋_GB2312" w:hAnsi="仿宋_GB2312" w:cs="仿宋_GB2312" w:eastAsia="仿宋_GB2312"/>
                <w:sz w:val="20"/>
              </w:rPr>
              <w:t>。</w:t>
            </w:r>
          </w:p>
          <w:p>
            <w:pPr>
              <w:pStyle w:val="null3"/>
              <w:ind w:firstLine="355"/>
              <w:jc w:val="both"/>
            </w:pPr>
            <w:r>
              <w:rPr>
                <w:rFonts w:ascii="仿宋_GB2312" w:hAnsi="仿宋_GB2312" w:cs="仿宋_GB2312" w:eastAsia="仿宋_GB2312"/>
                <w:sz w:val="20"/>
                <w:b/>
              </w:rPr>
              <w:t>4、编制热带雨林国家公园生态质量评价报告。</w:t>
            </w:r>
          </w:p>
          <w:p>
            <w:pPr>
              <w:pStyle w:val="null3"/>
              <w:ind w:firstLine="355"/>
              <w:jc w:val="both"/>
            </w:pPr>
            <w:r>
              <w:rPr>
                <w:rFonts w:ascii="仿宋_GB2312" w:hAnsi="仿宋_GB2312" w:cs="仿宋_GB2312" w:eastAsia="仿宋_GB2312"/>
                <w:sz w:val="20"/>
                <w:b/>
              </w:rPr>
              <w:t>5、编制生态质量样地分布、样地维管植物分布专题地图。</w:t>
            </w:r>
          </w:p>
          <w:p>
            <w:pPr>
              <w:pStyle w:val="null3"/>
              <w:ind w:firstLine="400"/>
              <w:jc w:val="both"/>
            </w:pPr>
            <w:r>
              <w:rPr>
                <w:rFonts w:ascii="仿宋_GB2312" w:hAnsi="仿宋_GB2312" w:cs="仿宋_GB2312" w:eastAsia="仿宋_GB2312"/>
                <w:sz w:val="20"/>
              </w:rPr>
              <w:t>四、成果要求</w:t>
            </w:r>
          </w:p>
          <w:p>
            <w:pPr>
              <w:pStyle w:val="null3"/>
              <w:ind w:firstLine="400"/>
              <w:jc w:val="both"/>
            </w:pPr>
            <w:r>
              <w:rPr>
                <w:rFonts w:ascii="仿宋_GB2312" w:hAnsi="仿宋_GB2312" w:cs="仿宋_GB2312" w:eastAsia="仿宋_GB2312"/>
                <w:sz w:val="20"/>
              </w:rPr>
              <w:t>成果内容包括：</w:t>
            </w:r>
          </w:p>
          <w:p>
            <w:pPr>
              <w:pStyle w:val="null3"/>
              <w:ind w:firstLine="400"/>
              <w:jc w:val="both"/>
            </w:pPr>
            <w:r>
              <w:rPr>
                <w:rFonts w:ascii="仿宋_GB2312" w:hAnsi="仿宋_GB2312" w:cs="仿宋_GB2312" w:eastAsia="仿宋_GB2312"/>
                <w:sz w:val="20"/>
              </w:rPr>
              <w:t>1、《海南省生态质量样地（维管植物）监测报告（2025年）》</w:t>
            </w:r>
          </w:p>
          <w:p>
            <w:pPr>
              <w:pStyle w:val="null3"/>
              <w:ind w:firstLine="400"/>
              <w:jc w:val="both"/>
            </w:pPr>
            <w:r>
              <w:rPr>
                <w:rFonts w:ascii="仿宋_GB2312" w:hAnsi="仿宋_GB2312" w:cs="仿宋_GB2312" w:eastAsia="仿宋_GB2312"/>
                <w:sz w:val="20"/>
              </w:rPr>
              <w:t>2、《海南省国家重点保护野生植物调查报告（2025年）》</w:t>
            </w:r>
          </w:p>
          <w:p>
            <w:pPr>
              <w:pStyle w:val="null3"/>
              <w:ind w:firstLine="400"/>
              <w:jc w:val="both"/>
            </w:pPr>
            <w:r>
              <w:rPr>
                <w:rFonts w:ascii="仿宋_GB2312" w:hAnsi="仿宋_GB2312" w:cs="仿宋_GB2312" w:eastAsia="仿宋_GB2312"/>
                <w:sz w:val="20"/>
              </w:rPr>
              <w:t>3、《海南省生态质量样地外来入侵物种（维管植物）调查报告（2025年）》</w:t>
            </w:r>
          </w:p>
          <w:p>
            <w:pPr>
              <w:pStyle w:val="null3"/>
              <w:ind w:firstLine="400"/>
              <w:jc w:val="both"/>
            </w:pPr>
            <w:r>
              <w:rPr>
                <w:rFonts w:ascii="仿宋_GB2312" w:hAnsi="仿宋_GB2312" w:cs="仿宋_GB2312" w:eastAsia="仿宋_GB2312"/>
                <w:sz w:val="20"/>
              </w:rPr>
              <w:t>4、《热带雨林国家公园生态质量评价报告（2025年）》。</w:t>
            </w:r>
          </w:p>
          <w:p>
            <w:pPr>
              <w:pStyle w:val="null3"/>
              <w:ind w:firstLine="400"/>
              <w:jc w:val="both"/>
            </w:pPr>
            <w:r>
              <w:rPr>
                <w:rFonts w:ascii="仿宋_GB2312" w:hAnsi="仿宋_GB2312" w:cs="仿宋_GB2312" w:eastAsia="仿宋_GB2312"/>
                <w:sz w:val="20"/>
              </w:rPr>
              <w:t>5、调查照片、数据文档、专题地图等。</w:t>
            </w:r>
          </w:p>
          <w:p>
            <w:pPr>
              <w:pStyle w:val="null3"/>
              <w:ind w:firstLine="400"/>
              <w:jc w:val="both"/>
            </w:pPr>
            <w:r>
              <w:rPr>
                <w:rFonts w:ascii="仿宋_GB2312" w:hAnsi="仿宋_GB2312" w:cs="仿宋_GB2312" w:eastAsia="仿宋_GB2312"/>
                <w:sz w:val="20"/>
              </w:rPr>
              <w:t>数据和报告均需提交纸质（原始文件或其复印件）和电子文档（报告为</w:t>
            </w:r>
            <w:r>
              <w:rPr>
                <w:rFonts w:ascii="仿宋_GB2312" w:hAnsi="仿宋_GB2312" w:cs="仿宋_GB2312" w:eastAsia="仿宋_GB2312"/>
                <w:sz w:val="20"/>
              </w:rPr>
              <w:t>word文档，数据为excel表格，专题地图为采用CGCS2000地理坐标系的ArcGIS shape图层）。</w:t>
            </w:r>
          </w:p>
          <w:p>
            <w:pPr>
              <w:pStyle w:val="null3"/>
              <w:ind w:firstLine="400"/>
              <w:jc w:val="both"/>
            </w:pPr>
            <w:r>
              <w:rPr>
                <w:rFonts w:ascii="仿宋_GB2312" w:hAnsi="仿宋_GB2312" w:cs="仿宋_GB2312" w:eastAsia="仿宋_GB2312"/>
                <w:sz w:val="20"/>
              </w:rPr>
              <w:t>图片资料主要包括区域、样地和物种三个尺度上的图片。区域尺度上的图片主要指区域景观影像，可以反映样地周边地区植被、地形地貌等特征，原则上不少于</w:t>
            </w:r>
            <w:r>
              <w:rPr>
                <w:rFonts w:ascii="仿宋_GB2312" w:hAnsi="仿宋_GB2312" w:cs="仿宋_GB2312" w:eastAsia="仿宋_GB2312"/>
                <w:sz w:val="20"/>
              </w:rPr>
              <w:t>4 张（东、南、西、北四个方位），命名规则为：年份+行政区划+样地类型+样地编号+QY+方位英文首字母缩写（E/S/W/N）。样地尺度上主要包括样地植被外貌图像和植被的垂直结构图像, 原则上不少于5张，命名规则为：年份+行政区划+样地类型+样地编号+YD+1.2.3…。物种尺度上主要包括能准确反映物种特征（植物整体、茎、叶、花、果、穗等）的图片，原则上不少于30张。命名规则为：年份+行政区划+样地类型+样方编号+物种名称+植物部位（汉字）+序号。样地编号统一采用表1生态质量样地点位信息中的样地号。</w:t>
            </w:r>
          </w:p>
          <w:p>
            <w:pPr>
              <w:pStyle w:val="null3"/>
              <w:ind w:firstLine="400"/>
              <w:jc w:val="both"/>
            </w:pPr>
            <w:r>
              <w:rPr>
                <w:rFonts w:ascii="仿宋_GB2312" w:hAnsi="仿宋_GB2312" w:cs="仿宋_GB2312" w:eastAsia="仿宋_GB2312"/>
                <w:sz w:val="20"/>
              </w:rPr>
              <w:t>原则上通过采购方提供的野外监测自动传输系统</w:t>
            </w:r>
            <w:r>
              <w:rPr>
                <w:rFonts w:ascii="仿宋_GB2312" w:hAnsi="仿宋_GB2312" w:cs="仿宋_GB2312" w:eastAsia="仿宋_GB2312"/>
                <w:sz w:val="20"/>
              </w:rPr>
              <w:t>APP现场填报，如因环境客观因素在现场无法填报，可根据附表1、2、3、4、5内容先行记录，后续使用APP补报。</w:t>
            </w:r>
          </w:p>
          <w:p>
            <w:pPr>
              <w:pStyle w:val="null3"/>
              <w:ind w:firstLine="400"/>
              <w:jc w:val="both"/>
            </w:pPr>
            <w:r>
              <w:rPr>
                <w:rFonts w:ascii="仿宋_GB2312" w:hAnsi="仿宋_GB2312" w:cs="仿宋_GB2312" w:eastAsia="仿宋_GB2312"/>
                <w:sz w:val="20"/>
              </w:rPr>
              <w:t>投标人必须对项目技术方案以及由采购方提供的所有内部资料、技术文档和信息予以保密，未经采购方书面许可，投标人不得以任何形式向第三方透露本项目的任何内容。</w:t>
            </w:r>
          </w:p>
          <w:p>
            <w:pPr>
              <w:pStyle w:val="null3"/>
              <w:jc w:val="both"/>
            </w:pPr>
            <w:r>
              <w:rPr>
                <w:rFonts w:ascii="仿宋_GB2312" w:hAnsi="仿宋_GB2312" w:cs="仿宋_GB2312" w:eastAsia="仿宋_GB2312"/>
                <w:sz w:val="20"/>
              </w:rPr>
              <w:t>对该项目所记录的所有原始素材和相关文件须提交采购方，数据和报告成果版权归海南省生态环境监测中心所有，未经采购方书面许可，投标人不得应用于其他媒体或机构。</w:t>
            </w:r>
          </w:p>
          <w:p>
            <w:pPr>
              <w:pStyle w:val="null3"/>
              <w:ind w:firstLine="400"/>
              <w:jc w:val="both"/>
            </w:pPr>
            <w:r>
              <w:rPr>
                <w:rFonts w:ascii="仿宋_GB2312" w:hAnsi="仿宋_GB2312" w:cs="仿宋_GB2312" w:eastAsia="仿宋_GB2312"/>
                <w:sz w:val="20"/>
              </w:rPr>
              <w:t>五、其他要求</w:t>
            </w:r>
          </w:p>
          <w:p>
            <w:pPr>
              <w:pStyle w:val="null3"/>
              <w:jc w:val="both"/>
            </w:pPr>
            <w:r>
              <w:rPr>
                <w:rFonts w:ascii="仿宋_GB2312" w:hAnsi="仿宋_GB2312" w:cs="仿宋_GB2312" w:eastAsia="仿宋_GB2312"/>
                <w:sz w:val="20"/>
              </w:rPr>
              <w:t>中标单位（以下称乙方）自行组织若干工作人员在满足必要的软硬件条件、安全可靠的数据生产场地开展相关数据处理服务工作，要求项目团队人员具备生态样地调查项目经验。</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60"/>
              <w:jc w:val="left"/>
            </w:pPr>
            <w:r>
              <w:rPr>
                <w:rFonts w:ascii="仿宋_GB2312" w:hAnsi="仿宋_GB2312" w:cs="仿宋_GB2312" w:eastAsia="仿宋_GB2312"/>
              </w:rPr>
              <w:t>1、服务期限：自合同签订之日起至2025年11月30日</w:t>
            </w:r>
          </w:p>
          <w:p>
            <w:pPr>
              <w:pStyle w:val="null3"/>
              <w:spacing w:before="60"/>
              <w:jc w:val="left"/>
            </w:pPr>
            <w:r>
              <w:rPr>
                <w:rFonts w:ascii="仿宋_GB2312" w:hAnsi="仿宋_GB2312" w:cs="仿宋_GB2312" w:eastAsia="仿宋_GB2312"/>
              </w:rPr>
              <w:t>2、付款方式：费用由甲方分批支付，合同签订后15个工作日内，支付合同金额的50%；提交项目中期调查成果后，支付合同金额的40%；项目完成并通过验收后，支付余款。</w:t>
            </w:r>
          </w:p>
          <w:p>
            <w:pPr>
              <w:pStyle w:val="null3"/>
              <w:spacing w:before="60"/>
              <w:jc w:val="left"/>
            </w:pPr>
            <w:r>
              <w:rPr>
                <w:rFonts w:ascii="仿宋_GB2312" w:hAnsi="仿宋_GB2312" w:cs="仿宋_GB2312" w:eastAsia="仿宋_GB2312"/>
              </w:rPr>
              <w:t>甲方每次付款前，乙方应提供付款依据并根据甲方要求开具对应付款金额的合法、有效增值税专用发票原件。未提供发票或提供的发票不符合要求的，甲方有权拒绝付款且不承担违约责任，乙方应赔偿因此给甲方造成的一切损失。发票不符合要求的情形包括但不限于以下情形：开具虚假、作废等无效发票或者违反国家法律法规开具、提供发票的；发票上的信息错误；因乙方迟延送达、开具错误等原因造成发票认证失败等。</w:t>
            </w:r>
          </w:p>
          <w:p>
            <w:pPr>
              <w:pStyle w:val="null3"/>
              <w:spacing w:before="60"/>
              <w:jc w:val="left"/>
            </w:pPr>
            <w:r>
              <w:rPr>
                <w:rFonts w:ascii="仿宋_GB2312" w:hAnsi="仿宋_GB2312" w:cs="仿宋_GB2312" w:eastAsia="仿宋_GB2312"/>
              </w:rPr>
              <w:t>甲方已按时向财政等部门提交付款申请，因财政封账、财政审批等原因导致付款延迟，乙方表示谅解，甲方不因此承担违约责任。</w:t>
            </w:r>
          </w:p>
          <w:p>
            <w:pPr>
              <w:pStyle w:val="null3"/>
              <w:spacing w:before="60"/>
              <w:jc w:val="left"/>
            </w:pPr>
            <w:r>
              <w:rPr>
                <w:rFonts w:ascii="仿宋_GB2312" w:hAnsi="仿宋_GB2312" w:cs="仿宋_GB2312" w:eastAsia="仿宋_GB2312"/>
              </w:rPr>
              <w:t>3、服务地点：海南省；</w:t>
            </w:r>
          </w:p>
          <w:p>
            <w:pPr>
              <w:pStyle w:val="null3"/>
              <w:spacing w:before="60"/>
              <w:jc w:val="left"/>
            </w:pPr>
            <w:r>
              <w:rPr>
                <w:rFonts w:ascii="仿宋_GB2312" w:hAnsi="仿宋_GB2312" w:cs="仿宋_GB2312" w:eastAsia="仿宋_GB2312"/>
              </w:rPr>
              <w:t>4、服务标准：成交单位根据本项目的目标要求组建专业队伍，以完成本项目规定的各项服务；</w:t>
            </w:r>
          </w:p>
          <w:p>
            <w:pPr>
              <w:pStyle w:val="null3"/>
              <w:spacing w:before="60"/>
              <w:jc w:val="left"/>
            </w:pPr>
            <w:r>
              <w:rPr>
                <w:rFonts w:ascii="仿宋_GB2312" w:hAnsi="仿宋_GB2312" w:cs="仿宋_GB2312" w:eastAsia="仿宋_GB2312"/>
              </w:rPr>
              <w:t>5、安全标准：符合国家、行业相关标准，需要遵守国家法律法规以及社会服务伦理道德和专业操守，按本项目的服务内容提供服务、全面完成本项目的各项考核指标，为服务对象提供优质服务；</w:t>
            </w:r>
          </w:p>
          <w:p>
            <w:pPr>
              <w:pStyle w:val="null3"/>
              <w:jc w:val="both"/>
            </w:pPr>
            <w:r>
              <w:rPr>
                <w:rFonts w:ascii="仿宋_GB2312" w:hAnsi="仿宋_GB2312" w:cs="仿宋_GB2312" w:eastAsia="仿宋_GB2312"/>
                <w:sz w:val="21"/>
              </w:rPr>
              <w:t>6、验收方法及标准：符合国家、地方和行业的相关政策、法规及采购需求要求。</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具有良好的信用记录</w:t>
            </w:r>
          </w:p>
        </w:tc>
        <w:tc>
          <w:tcPr>
            <w:tcW w:type="dxa" w:w="3322"/>
          </w:tcPr>
          <w:p>
            <w:pPr>
              <w:pStyle w:val="null3"/>
              <w:jc w:val="left"/>
            </w:pPr>
            <w:r>
              <w:rPr>
                <w:rFonts w:ascii="仿宋_GB2312" w:hAnsi="仿宋_GB2312" w:cs="仿宋_GB2312" w:eastAsia="仿宋_GB2312"/>
              </w:rPr>
              <w:t>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www.ccgp.gov.cn）的不良记录，即政府采购严重违法失信行为记录名单的供应商:提供查询结果截图或提交承诺书（加盖投标人公章）</w:t>
            </w:r>
          </w:p>
        </w:tc>
        <w:tc>
          <w:tcPr>
            <w:tcW w:type="dxa" w:w="1661"/>
          </w:tcPr>
          <w:p>
            <w:pPr>
              <w:pStyle w:val="null3"/>
              <w:jc w:val="left"/>
            </w:pPr>
            <w:r>
              <w:rPr>
                <w:rFonts w:ascii="仿宋_GB2312" w:hAnsi="仿宋_GB2312" w:cs="仿宋_GB2312" w:eastAsia="仿宋_GB2312"/>
              </w:rPr>
              <w:t>其他证明材料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提供参加政府采购活动前三年内，在经营活动中无环保类行政处罚记录声明函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分项报价表 中小企业声明函 商务应答表 自觉抵制政府采购领域商业贿赂行为承诺书 封面 商业信誉、财务会计制度、缴纳税收和社保的承诺函 无串通投标的情形承诺函 具有独立承担民事责任的能力证明文件 投标人承诺函 无不良信用承诺函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分项报价表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无认定为“投标无效”的其他情形承诺函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技术部分54.00分</w:t>
            </w:r>
          </w:p>
          <w:p>
            <w:pPr>
              <w:pStyle w:val="null3"/>
              <w:jc w:val="both"/>
            </w:pPr>
            <w:r>
              <w:rPr>
                <w:rFonts w:ascii="仿宋_GB2312" w:hAnsi="仿宋_GB2312" w:cs="仿宋_GB2312" w:eastAsia="仿宋_GB2312"/>
              </w:rPr>
              <w:t>商务部分36.00分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项目技术方案</w:t>
            </w:r>
          </w:p>
        </w:tc>
        <w:tc>
          <w:tcPr>
            <w:tcW w:type="dxa" w:w="2492"/>
          </w:tcPr>
          <w:p>
            <w:pPr>
              <w:pStyle w:val="null3"/>
              <w:jc w:val="both"/>
            </w:pPr>
            <w:r>
              <w:rPr>
                <w:rFonts w:ascii="仿宋_GB2312" w:hAnsi="仿宋_GB2312" w:cs="仿宋_GB2312" w:eastAsia="仿宋_GB2312"/>
              </w:rPr>
              <w:t>项目技术方案(24分)：结合项目特点制定科学、合理、具体的项目实施方案。项目实施方案（包括但不限于：项目重点与难点分析、总体思路、目标定位、调查方案、监测方法、进度安排等）6项内容进行评审： 1、每一项内容符合项目需求，且内容完整无缺陷，得4分； 2、每一项内容符合项目需求，但存在缺陷，得2分； 3、每一项内容不符合项目需求或未提供相关方案，得0分；6项内容合计最高得24分。 备注：1、以上评分项所称“符合项目需求”是指供应商所提供方案内容完全响应对应的项目需求，不存在不响应或低于项目需求标准的情形； 2、以上评分项所称“缺陷”是指存在以下任一种情形：（1）泛泛而谈，不明确具体、不量化细化，未落到实处，容易导致项目实施过程产生争议； （2）脱离项目实际情况和特点，不适用本项目特性、凭空编造、存在与项目明显无关的表述、套用其他项目内容或完全摘抄项目需求等，不利于本项目目标的实现； （3）存在涉及的规范及标准错误、科学原理或常识错误等； （4）存在逻辑漏洞或对同一问题前后表述矛盾； （5）存在夸大其词、虚构、伪造、现有技术条件下不可能出现等情形； （6）存在不利于政府采购政策实施的内容，不利于提高政府采购资金的使用效益、不利于维护国家利益和社会公共利益、不利于节能环保要求、不利于促进中小企业发展等情形。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质量保障方案</w:t>
            </w:r>
          </w:p>
        </w:tc>
        <w:tc>
          <w:tcPr>
            <w:tcW w:type="dxa" w:w="2492"/>
          </w:tcPr>
          <w:p>
            <w:pPr>
              <w:pStyle w:val="null3"/>
              <w:jc w:val="both"/>
            </w:pPr>
            <w:r>
              <w:rPr>
                <w:rFonts w:ascii="仿宋_GB2312" w:hAnsi="仿宋_GB2312" w:cs="仿宋_GB2312" w:eastAsia="仿宋_GB2312"/>
              </w:rPr>
              <w:t>质量保障方案(12分)：结合项目特点制定科学、合理、具体的质量保障方案。质量保障方案（包括但不限于：服务质量目标、质量保证措施、进度保证措施、服务保密措施等）4项内容进行评审： 1、每一项内容符合项目需求，且内容完整无缺陷，得3分； 2、每一项内容符合项目需求，但存在缺陷，得1.5分； 3、每一项内容不符合项目需求或未提供相关方案，得0分；4项内容合计最高得12分。 备注：1、以上评分项所称“符合项目需求”是指供应商所提供方案内容完全响应对应的项目需求，不存在不响应或低于项目需求标准的情形； 2、以上评分项所称“缺陷”是指存在以下任一种情形：（1）泛泛而谈，不明确具体、不量化细化，未落到实处，容易导致项目实施过程产生争议； （2）脱离项目实际情况和特点，不适用本项目特性、凭空编造、存在与项目明显无关的表述、套用其他项目内容或完全摘抄项目需求等，不利于本项目目标的实现； （3）存在涉及的规范及标准错误、科学原理或常识错误等； （4）存在逻辑漏洞或对同一问题前后表述矛盾； （5）存在夸大其词、虚构、伪造、现有技术条件下不可能出现等情形； （6）存在不利于政府采购政策实施的内容，不利于提高政府采购资金的使用效益、不利于维护国家利益和社会公共利益、不利于节能环保要求、不利于促进中小企业发展等情形。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工作组织架构及工作方法</w:t>
            </w:r>
          </w:p>
        </w:tc>
        <w:tc>
          <w:tcPr>
            <w:tcW w:type="dxa" w:w="2492"/>
          </w:tcPr>
          <w:p>
            <w:pPr>
              <w:pStyle w:val="null3"/>
              <w:jc w:val="both"/>
            </w:pPr>
            <w:r>
              <w:rPr>
                <w:rFonts w:ascii="仿宋_GB2312" w:hAnsi="仿宋_GB2312" w:cs="仿宋_GB2312" w:eastAsia="仿宋_GB2312"/>
              </w:rPr>
              <w:t>工作组织架构及工作方法(12分)：结合项目特点制定科学、合理、具体的工作组织架构及工作方法。工作组织架构及工作方法（包括但不限于：项目管理组织机构；工作安排和工程布置；岗位职责分工；目标任务分析等）4项内容进行评审： 1、每一项内容符合项目需求，且内容完整无缺陷，得3分； 2、每一项内容符合项目需求，但存在缺陷，得1. 5分； 3、每一项内容不符合项目需求或未提供相关方案，得0分；4项内容合计最高得12分。 备注：1、以上评分项所称“符合项目需求”是指供应商所提供方案内容完全响应对应的项目需求，不存在不响应或低于项目需求标准的情形； 2、以上评分项所称“缺陷”是指存在以下任一种情形：（1）泛泛而谈，不明确具体、不量化细化，未落到实处，容易导致项目实施过程产生争议； （2）脱离项目实际情况和特点，不适用本项目特性、凭空编造、存在与项目明显无关的表述、套用其他项目内容或完全摘抄项目需求等，不利于本项目目标的实现； （3）存在涉及的规范及标准错误、科学原理或常识错误等； （4）存在逻辑漏洞或对同一问题前后表述矛盾； （5）存在夸大其词、虚构、伪造、现有技术条件下不可能出现等情形； （6）存在不利于政府采购政策实施的内容，不利于提高政府采购资金的使用效益、不利于维护国家利益和社会公共利益、不利于节能环保要求、不利于促进中小企业发展等情形。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应急预案</w:t>
            </w:r>
          </w:p>
        </w:tc>
        <w:tc>
          <w:tcPr>
            <w:tcW w:type="dxa" w:w="2492"/>
          </w:tcPr>
          <w:p>
            <w:pPr>
              <w:pStyle w:val="null3"/>
              <w:jc w:val="both"/>
            </w:pPr>
            <w:r>
              <w:rPr>
                <w:rFonts w:ascii="仿宋_GB2312" w:hAnsi="仿宋_GB2312" w:cs="仿宋_GB2312" w:eastAsia="仿宋_GB2312"/>
              </w:rPr>
              <w:t>应急预案(6分)：结合项目特点制定科学、合理、具体的应急预案。应急预案（包括但不限于：判断其对服务期间出现的严重影响服务质量的重大问题、预防和补救措施等）2项内容进行评审： 1、每一项内容符合项目需求，且内容完整无缺陷，得3分； 2、每一项内容符合项目需求，但存在缺陷，得1.5分； 3、每一项内容不符合项目需求或未提供相关方案，得0分；2项内容合计最高得6分。 备注：1、以上评分项所称“符合项目需求”是指供应商所提供方案内容完全响应对应的项目需求，不存在不响应或低于项目需求标准的情形； 2、以上评分项所称“缺陷”是指存在以下任一种情形：（1）泛泛而谈，不明确具体、不量化细化，未落到实处，容易导致项目实施过程产生争议； （2）脱离项目实际情况和特点，不适用本项目特性、凭空编造、存在与项目明显无关的表述、套用其他项目内容或完全摘抄项目需求等，不利于本项目目标的实现； （3）存在涉及的规范及标准错误、科学原理或常识错误等； （4）存在逻辑漏洞或对同一问题前后表述矛盾； （5）存在夸大其词、虚构、伪造、现有技术条件下不可能出现等情形； （6）存在不利于政府采购政策实施的内容，不利于提高政府采购资金的使用效益、不利于维护国家利益和社会公共利益、不利于节能环保要求、不利于促进中小企业发展等情形。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自2021年1月1日以来主持过生态环境部门野外调查评估项目，县市级每提供一个得1分，省部级每提供一个得5分，国家级每提供一个得10分，未主持过相关项目不得分。该项最高得分10分（提供合同复印件加盖公章，时间、内容以合同为准、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项目负责人情况</w:t>
            </w:r>
          </w:p>
        </w:tc>
        <w:tc>
          <w:tcPr>
            <w:tcW w:type="dxa" w:w="2492"/>
          </w:tcPr>
          <w:p>
            <w:pPr>
              <w:pStyle w:val="null3"/>
              <w:jc w:val="both"/>
            </w:pPr>
            <w:r>
              <w:rPr>
                <w:rFonts w:ascii="仿宋_GB2312" w:hAnsi="仿宋_GB2312" w:cs="仿宋_GB2312" w:eastAsia="仿宋_GB2312"/>
              </w:rPr>
              <w:t>1、项目负责人具有生态环境类相关专业的正高（正高级工程师、教授或研究员）职称的得5分；副高级（高级工程师、副教授或副研究员）职称的得3分；该项最高得分5分。 2、项目负责人获取人才称号情况。该项最高得分5分。项目负责人获得多个人才称号者，仅记最高分，此项不累计得分。人才称号得分包括： （1）项目负责人具备下列人才称号之一的：中国科学院院士、中国工程院院士、教育部长江学者、组织部“万人计划”入选者、组织部“千人计划”入选者、中国科学院“百人计划（A类）”入选者、国家杰出青年科学基金项目获得者、国家优秀青年科学基金项目获得者、海南自由贸易港高层次人才（教育和科研领域）A类、B类人才，得5分； （2）项目负责人具备下列人才称号之一的：教育部青年长江学者、组织部“青年千人计划”、中国科学院“百人计划（不包含A类）”入选者、海南自由贸易港高层次人才（教育和科研领域）C类人才，得3分； （3）项目负责人具备下列人才称号之一的：南海名家等省市级人才称号获得者、海南自由贸易港高层次人才（教育和科研领域）D类人才，得1分。 注：提供项目负责人人才称号证书复印件或相关证明文件复印件加盖公章、在本单位2024年10月1日以来任意3个月社保凭证并加盖公章，不提供不得分。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项目骨干人员</w:t>
            </w:r>
          </w:p>
        </w:tc>
        <w:tc>
          <w:tcPr>
            <w:tcW w:type="dxa" w:w="2492"/>
          </w:tcPr>
          <w:p>
            <w:pPr>
              <w:pStyle w:val="null3"/>
              <w:jc w:val="both"/>
            </w:pPr>
            <w:r>
              <w:rPr>
                <w:rFonts w:ascii="仿宋_GB2312" w:hAnsi="仿宋_GB2312" w:cs="仿宋_GB2312" w:eastAsia="仿宋_GB2312"/>
              </w:rPr>
              <w:t>1、投标人配备6名（含）以上具有生态类、环境类、地理类专业背景的技术骨干人员（不包括项目负责人），得2分；不足6名不得分。 2、上述人员中包括1名热带、亚热带植物分类鉴定专家，得4分。 3、上述人员中具有正高（正高级工程师、教授或研究员）职称的得4分，副高（高级工程师、副教授或副研究员）职称的得2分，具有中级职称的得1分。该项最高得分4分。 注：①配置人员不得兼任，需提供项目骨干人员在本单位2024年10月1日以来任意3个月社保凭证并加盖公章。②对于专家的认定可从毕业文凭、专业论文著作等方面判断，需提供职称证书或聘书、专业论文或著作复印件加盖投标人公章。未按要求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野外调查人员</w:t>
            </w:r>
          </w:p>
        </w:tc>
        <w:tc>
          <w:tcPr>
            <w:tcW w:type="dxa" w:w="2492"/>
          </w:tcPr>
          <w:p>
            <w:pPr>
              <w:pStyle w:val="null3"/>
              <w:jc w:val="both"/>
            </w:pPr>
            <w:r>
              <w:rPr>
                <w:rFonts w:ascii="仿宋_GB2312" w:hAnsi="仿宋_GB2312" w:cs="仿宋_GB2312" w:eastAsia="仿宋_GB2312"/>
              </w:rPr>
              <w:t>1、投标人配备15名（含）以上野外调查人员，得6分； 2、投标人配备10名至14名野外调查人员，得4分； 3、投标人配置野外调查人员不足10名的，不得分。 注：以上配备人员需承诺能投入野外调查、取样或室内鉴定工作。（需提供野外调查人员一览表、人员具体负责事项、人员服务承诺书、在本单位2024年10月1日以来任意3个月社保凭证并加盖公章加盖投标人公章，未按要求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ZYZB(H)-[2025]-0302-2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2025年环境质量监测项目对外委托及设备购置(三次)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区域生态质量样地植物群落监测</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919040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详见附件：无不良信用承诺函</w:t>
      </w:r>
    </w:p>
    <w:p>
      <w:pPr>
        <w:pStyle w:val="null3"/>
        <w:ind w:firstLine="960"/>
        <w:jc w:val="left"/>
      </w:pPr>
      <w:r>
        <w:rPr>
          <w:rFonts w:ascii="仿宋_GB2312" w:hAnsi="仿宋_GB2312" w:cs="仿宋_GB2312" w:eastAsia="仿宋_GB2312"/>
        </w:rPr>
        <w:t>详见附件：分项报价表</w:t>
      </w:r>
    </w:p>
    <w:p>
      <w:pPr>
        <w:pStyle w:val="null3"/>
        <w:ind w:firstLine="960"/>
        <w:jc w:val="left"/>
      </w:pPr>
      <w:r>
        <w:rPr>
          <w:rFonts w:ascii="仿宋_GB2312" w:hAnsi="仿宋_GB2312" w:cs="仿宋_GB2312" w:eastAsia="仿宋_GB2312"/>
        </w:rPr>
        <w:t>详见附件：无串通投标的情形承诺函</w:t>
      </w:r>
    </w:p>
    <w:p>
      <w:pPr>
        <w:pStyle w:val="null3"/>
        <w:ind w:firstLine="960"/>
        <w:jc w:val="left"/>
      </w:pPr>
      <w:r>
        <w:rPr>
          <w:rFonts w:ascii="仿宋_GB2312" w:hAnsi="仿宋_GB2312" w:cs="仿宋_GB2312" w:eastAsia="仿宋_GB2312"/>
        </w:rPr>
        <w:t>详见附件：无认定为“投标无效”的其他情形承诺函</w:t>
      </w:r>
    </w:p>
    <w:p>
      <w:pPr>
        <w:pStyle w:val="null3"/>
        <w:ind w:firstLine="960"/>
        <w:jc w:val="left"/>
      </w:pPr>
      <w:r>
        <w:rPr>
          <w:rFonts w:ascii="仿宋_GB2312" w:hAnsi="仿宋_GB2312" w:cs="仿宋_GB2312" w:eastAsia="仿宋_GB2312"/>
        </w:rPr>
        <w:t>详见附件：其他证明材料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