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三亚新机场专题深化研究项目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HFGC20252621H</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海南省发展和改革委员会</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海南菲迪克招标咨询有限公司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海南省发展和改革委员会</w:t>
      </w:r>
      <w:r>
        <w:rPr>
          <w:rFonts w:ascii="仿宋_GB2312" w:hAnsi="仿宋_GB2312" w:cs="仿宋_GB2312" w:eastAsia="仿宋_GB2312"/>
        </w:rPr>
        <w:t xml:space="preserve"> 委托， </w:t>
      </w:r>
      <w:r>
        <w:rPr>
          <w:rFonts w:ascii="仿宋_GB2312" w:hAnsi="仿宋_GB2312" w:cs="仿宋_GB2312" w:eastAsia="仿宋_GB2312"/>
        </w:rPr>
        <w:t>海南菲迪克招标咨询有限公司</w:t>
      </w:r>
      <w:r>
        <w:rPr>
          <w:rFonts w:ascii="仿宋_GB2312" w:hAnsi="仿宋_GB2312" w:cs="仿宋_GB2312" w:eastAsia="仿宋_GB2312"/>
        </w:rPr>
        <w:t xml:space="preserve"> 对 </w:t>
      </w:r>
      <w:r>
        <w:rPr>
          <w:rFonts w:ascii="仿宋_GB2312" w:hAnsi="仿宋_GB2312" w:cs="仿宋_GB2312" w:eastAsia="仿宋_GB2312"/>
        </w:rPr>
        <w:t>三亚新机场专题深化研究项目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HFGC20252621H</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三亚新机场专题深化研究项目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4,980,000.00元</w:t>
      </w:r>
      <w:r>
        <w:rPr>
          <w:rFonts w:ascii="仿宋_GB2312" w:hAnsi="仿宋_GB2312" w:cs="仿宋_GB2312" w:eastAsia="仿宋_GB2312"/>
        </w:rPr>
        <w:t>肆佰玖拾捌万元整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合同签订生效后至完成三亚新机场预可行性研究报告报批工作为止。</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1、无环保类行政处罚记录：参加政府采购活动前三年内，在经营活动中没有环保类行政处罚记录（成立不足三年的从成立之日起计算）（提供承诺函加盖单位公章）；</w:t>
      </w:r>
    </w:p>
    <w:p>
      <w:pPr>
        <w:pStyle w:val="null3"/>
        <w:jc w:val="left"/>
      </w:pPr>
      <w:r>
        <w:rPr>
          <w:rFonts w:ascii="仿宋_GB2312" w:hAnsi="仿宋_GB2312" w:cs="仿宋_GB2312" w:eastAsia="仿宋_GB2312"/>
        </w:rPr>
        <w:t>2、资质备案：①供应商应进入“全国投资项目在线审批监管平台”中的工程咨询单位名录（咨询专业和范围包括“民航“、”铁路、城市轨道交通“专业项目咨询），且供应商名称与该名录中的相应企业名称完全一致；②属于“中国民用航空局官网”公布的最新“飞行程序设计单位备案信息公布表”中的单位；③属于为生态环境部环境影响信用平台注册环评编制的单位（注：若为联合体投标，联合体成员合计满足即可）。</w:t>
      </w:r>
    </w:p>
    <w:p>
      <w:pPr>
        <w:pStyle w:val="null3"/>
        <w:jc w:val="left"/>
      </w:pPr>
      <w:r>
        <w:rPr>
          <w:rFonts w:ascii="仿宋_GB2312" w:hAnsi="仿宋_GB2312" w:cs="仿宋_GB2312" w:eastAsia="仿宋_GB2312"/>
        </w:rPr>
        <w:t>3、联合体协议（如有）：如供应商为联合体投标的，应按照第二章投标人须知的要求提交联合体协议书，并应当明确以下内容：（1）各方承担的工作内容及责任比例；（2）牵头人及被授予的全权代表权；（3）资质按分工对应的最低等级认定；（4） 连带责任条款。</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1.按照海南省政府采购智慧云平台使用相关要求，供应商参与项目投标时须办理蓝色CA数字证书。若因未及时办理蓝色CA数字证书导致投标不成功的，由供应商自行承担。 2.本项目采购信息指定发布媒体为： （1）中国政府采购网，网址www.ccgp.gov.cn。 （2）中国政府采购网海南分网（海南省政府采购智慧云平台），网址https://ccgp-hainan.gov.cn/。 （3）海南省发展和改革委员会官网，网址：https://plan.hainan.gov.cn/sfgw/index.shtml。 ※若出现上述指定媒体信息不一致情形，应以中国政府采购网海南分网（海南省政府采购智慧云平台）发布的为准。 2.有关本项目招标文件的补遗、澄清及变更信息以上述网站公告与下载为准，采购代理机构不再另行通知，招标文件与更正公告的内容相互矛盾时，以最后发出的更正公告内容为准。</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海南省发展和改革委员会</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海南省海口市美兰区国兴大道9号省政府办公楼7楼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13102125112</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海南菲迪克招标咨询有限公司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海南省海口市琼山区椰海大道126号椰海家园8栋802房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572022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宋女士/董先生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0898-65855160</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采购包1：4,980,000.00元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60天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代理服务费收费标准：由甲乙双方根据工作内容和市场价格协商确定，代理服务费收取金额为￥42,000.00元</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远程不见面开标，投标人无须到达开标现场，远程按时参加在线开标解密即可。本项目不接受供应商的电子备用投标文件，以供应商成功加密后递交至海南省政府采购智慧云平台的电子投标文件为准，因投标人自身原因导致无法解密或解密失败的，自行承担不利后果。2.供应商如遇技术问题自行联系海南省政府采购智慧云平台客服。</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联系人：宋女士/董先生</w:t>
      </w:r>
    </w:p>
    <w:p>
      <w:pPr>
        <w:pStyle w:val="null3"/>
        <w:jc w:val="left"/>
      </w:pPr>
      <w:r>
        <w:rPr>
          <w:rFonts w:ascii="仿宋_GB2312" w:hAnsi="仿宋_GB2312" w:cs="仿宋_GB2312" w:eastAsia="仿宋_GB2312"/>
        </w:rPr>
        <w:t>联系电话：0898-65855160</w:t>
      </w:r>
    </w:p>
    <w:p>
      <w:pPr>
        <w:pStyle w:val="null3"/>
        <w:jc w:val="left"/>
      </w:pPr>
      <w:r>
        <w:rPr>
          <w:rFonts w:ascii="仿宋_GB2312" w:hAnsi="仿宋_GB2312" w:cs="仿宋_GB2312" w:eastAsia="仿宋_GB2312"/>
        </w:rPr>
        <w:t>地址：海南省海口市琼山区椰海大道126号椰海家园8栋802房</w:t>
      </w:r>
    </w:p>
    <w:p>
      <w:pPr>
        <w:pStyle w:val="null3"/>
        <w:jc w:val="left"/>
      </w:pPr>
      <w:r>
        <w:rPr>
          <w:rFonts w:ascii="仿宋_GB2312" w:hAnsi="仿宋_GB2312" w:cs="仿宋_GB2312" w:eastAsia="仿宋_GB2312"/>
        </w:rPr>
        <w:t>邮编：571199</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1.项目名称：三亚新机场专题深化研究项目</w:t>
      </w:r>
    </w:p>
    <w:p>
      <w:pPr>
        <w:pStyle w:val="null3"/>
        <w:ind w:firstLine="480"/>
        <w:jc w:val="left"/>
      </w:pPr>
      <w:r>
        <w:rPr>
          <w:rFonts w:ascii="仿宋_GB2312" w:hAnsi="仿宋_GB2312" w:cs="仿宋_GB2312" w:eastAsia="仿宋_GB2312"/>
        </w:rPr>
        <w:t>2.采购预算：498万元</w:t>
      </w:r>
    </w:p>
    <w:p>
      <w:pPr>
        <w:pStyle w:val="null3"/>
        <w:jc w:val="both"/>
      </w:pPr>
      <w:r>
        <w:rPr>
          <w:rFonts w:ascii="仿宋_GB2312" w:hAnsi="仿宋_GB2312" w:cs="仿宋_GB2312" w:eastAsia="仿宋_GB2312"/>
          <w:sz w:val="21"/>
        </w:rPr>
        <w:t>3.采购内容：根据《运输机场建设管理规定》《民用机场预可研及可研报告编制内容及深度要求》及相关国家、行业规定，开展三亚新机场专题深化研究项目工作，编制满足运输机场预可研阶段深度要求的三亚新机场专题研究成果报告，并协助项目业主完成相关报批工作。</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4,980,000.00</w:t>
      </w:r>
    </w:p>
    <w:p>
      <w:pPr>
        <w:pStyle w:val="null3"/>
        <w:jc w:val="left"/>
      </w:pPr>
      <w:r>
        <w:rPr>
          <w:rFonts w:ascii="仿宋_GB2312" w:hAnsi="仿宋_GB2312" w:cs="仿宋_GB2312" w:eastAsia="仿宋_GB2312"/>
        </w:rPr>
        <w:t>采购包最高限价（元）: 4,980,000.00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三亚新机场专题深化研究项目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4,980,000.00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租赁和商务服务业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三亚新机场专题深化研究项目</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4,980,000.00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标的名称：三亚新机场专题深化研究项目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ind w:firstLine="400"/>
              <w:jc w:val="left"/>
            </w:pPr>
            <w:r>
              <w:rPr>
                <w:rFonts w:ascii="仿宋_GB2312" w:hAnsi="仿宋_GB2312" w:cs="仿宋_GB2312" w:eastAsia="仿宋_GB2312"/>
              </w:rPr>
              <w:t>1.空域规划与容量仿真（预可研阶段）专题研究：根据三亚新机场拟建跑道构型方案和建设目标年的容量需求，分析三亚地区军民航的空域特点与运行条件，提出三亚新机场预可研阶段的空域规划方案并进行容量仿真评估，编制满足民用运输机场预可行性研究深度要求和军民航审批要求的专题报告，服务军地协议签订工作；</w:t>
            </w:r>
          </w:p>
          <w:p>
            <w:pPr>
              <w:pStyle w:val="null3"/>
              <w:ind w:firstLine="400"/>
              <w:jc w:val="left"/>
            </w:pPr>
            <w:r>
              <w:rPr>
                <w:rFonts w:ascii="仿宋_GB2312" w:hAnsi="仿宋_GB2312" w:cs="仿宋_GB2312" w:eastAsia="仿宋_GB2312"/>
              </w:rPr>
              <w:t>2.综合交通系统规划（预可研阶段）专题研究：根据三亚新机场场址区位特点，围绕构建新机场与三亚主城区、省内其他城市之间综合交通系统，以强化新机场与周边区域交通系统的快速对接为重点，系统规划区域综合交通网络布局，提出三亚新机场与高铁、城际铁路和高速公路、快速路、低空航路等交通基础设施的衔接方案，分别编制满足预可行性研究深度和报批要求的《综合交通系统规划（预可研阶段）专题研究报告》《三亚新机场综合交通枢纽GTC项目预可研报告》《三亚新机场高速连接线项目预可研报告》《三亚新机场轨道交通项目预可研报告》，并谋划生成重点项目。</w:t>
            </w:r>
          </w:p>
          <w:p>
            <w:pPr>
              <w:pStyle w:val="null3"/>
              <w:ind w:firstLine="400"/>
              <w:jc w:val="left"/>
            </w:pPr>
            <w:r>
              <w:rPr>
                <w:rFonts w:ascii="仿宋_GB2312" w:hAnsi="仿宋_GB2312" w:cs="仿宋_GB2312" w:eastAsia="仿宋_GB2312"/>
              </w:rPr>
              <w:t>3.环境影响评价专题研究：根据《中华人民共和国环境保护法》《中华人民共和国环境影响评价法》《建设项目环境保护管理条例》等，开展包括项目污染源分析、项目环境调查和监测、项目环境影响预测和评估、环境报告措施建议等研究，并给出评价结论。分别编制满足项目预可行性研究深度的项目环境影响评估成果和满足项目环评审批要求的项目环境影响评估报告。</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ind w:firstLine="400"/>
              <w:jc w:val="left"/>
            </w:pPr>
            <w:r>
              <w:rPr>
                <w:rFonts w:ascii="仿宋_GB2312" w:hAnsi="仿宋_GB2312" w:cs="仿宋_GB2312" w:eastAsia="仿宋_GB2312"/>
              </w:rPr>
              <w:t>1.合同履行期限（服务期限）：合同签订生效后至完成三亚新机场预可行性研究报告报批工作且取得三亚新机场项目环评批复为止。</w:t>
            </w:r>
          </w:p>
          <w:p>
            <w:pPr>
              <w:pStyle w:val="null3"/>
              <w:ind w:firstLine="400"/>
              <w:jc w:val="left"/>
            </w:pPr>
            <w:r>
              <w:rPr>
                <w:rFonts w:ascii="仿宋_GB2312" w:hAnsi="仿宋_GB2312" w:cs="仿宋_GB2312" w:eastAsia="仿宋_GB2312"/>
              </w:rPr>
              <w:t>2.服务地点：采购人指定地点。</w:t>
            </w:r>
          </w:p>
          <w:p>
            <w:pPr>
              <w:pStyle w:val="null3"/>
              <w:ind w:firstLine="400"/>
              <w:jc w:val="left"/>
            </w:pPr>
            <w:r>
              <w:rPr>
                <w:rFonts w:ascii="仿宋_GB2312" w:hAnsi="仿宋_GB2312" w:cs="仿宋_GB2312" w:eastAsia="仿宋_GB2312"/>
              </w:rPr>
              <w:t>3.付款方式：</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1）合同签订后10个工作日内，中标人开具有效发票给采购人，采购人收到发票后向中标人支付合同金额50%的项目款。</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2）中标人提交研究报告成果，通过专家评审验收会并修改完善后10个工作日内，采购人收到发票后向中标人支付合同45%的项目款。</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3）协助采购人完成三亚新机场预可行性研究报告报批工作（国家发展改革委受理审查）且取得三亚新机场项目环评批复后10个工作日内，采购人向中标人支付合同5%的项目款。</w:t>
            </w:r>
          </w:p>
          <w:p>
            <w:pPr>
              <w:pStyle w:val="null3"/>
              <w:ind w:firstLine="400"/>
              <w:jc w:val="left"/>
            </w:pPr>
            <w:r>
              <w:rPr>
                <w:rFonts w:ascii="仿宋_GB2312" w:hAnsi="仿宋_GB2312" w:cs="仿宋_GB2312" w:eastAsia="仿宋_GB2312"/>
              </w:rPr>
              <w:t>4.质量标准：按照国家及相关的行业标准、规程、规范、技术条例。</w:t>
            </w:r>
          </w:p>
          <w:p>
            <w:pPr>
              <w:pStyle w:val="null3"/>
              <w:ind w:firstLine="400"/>
              <w:jc w:val="left"/>
            </w:pPr>
            <w:r>
              <w:rPr>
                <w:rFonts w:ascii="仿宋_GB2312" w:hAnsi="仿宋_GB2312" w:cs="仿宋_GB2312" w:eastAsia="仿宋_GB2312"/>
              </w:rPr>
              <w:t>5.验收标准：按照国家行业规划标准及合同要求进行验收。</w:t>
            </w:r>
          </w:p>
          <w:p>
            <w:pPr>
              <w:pStyle w:val="null3"/>
              <w:ind w:firstLine="400"/>
              <w:jc w:val="left"/>
            </w:pPr>
            <w:r>
              <w:rPr>
                <w:rFonts w:ascii="仿宋_GB2312" w:hAnsi="仿宋_GB2312" w:cs="仿宋_GB2312" w:eastAsia="仿宋_GB2312"/>
              </w:rPr>
              <w:t>6.报价说明：本项目投标人的报价为完成服务期限内所有可能发生费用的综合体现，包括人工、材料、损耗、管理、保险、利润、各种税费及一切有关的费用。</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1.中标供应商要保持同采购人的密切联系，遇有重大事项及时报告和反馈信息，尊重项目业主方的意见，接受项目业主方的提议、监督和指导。</w:t>
      </w:r>
    </w:p>
    <w:p>
      <w:pPr>
        <w:pStyle w:val="null3"/>
        <w:ind w:firstLine="480"/>
        <w:jc w:val="both"/>
      </w:pPr>
      <w:r>
        <w:rPr>
          <w:rFonts w:ascii="仿宋_GB2312" w:hAnsi="仿宋_GB2312" w:cs="仿宋_GB2312" w:eastAsia="仿宋_GB2312"/>
        </w:rPr>
        <w:t>2.在中标结果公示期间，采购人有权对中标候选人的资质证书等进行核查， 如发现与其响应文件中的描述不一，代理机构将报政府采购主管部门严肃处理</w:t>
      </w:r>
      <w:r>
        <w:rPr>
          <w:rFonts w:ascii="仿宋_GB2312" w:hAnsi="仿宋_GB2312" w:cs="仿宋_GB2312" w:eastAsia="仿宋_GB2312"/>
        </w:rPr>
        <w:t>。</w:t>
      </w:r>
    </w:p>
    <w:p>
      <w:pPr>
        <w:pStyle w:val="null3"/>
        <w:ind w:firstLine="480"/>
        <w:jc w:val="both"/>
      </w:pPr>
      <w:r>
        <w:rPr>
          <w:rFonts w:ascii="仿宋_GB2312" w:hAnsi="仿宋_GB2312" w:cs="仿宋_GB2312" w:eastAsia="仿宋_GB2312"/>
        </w:rPr>
        <w:t>3.保密要求。本项目实施过程中获得的相关数据信息未经采购人允许，一律不 得对外发布，一律不得用于论文发表、著作发布、科研实验等。</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封面 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投标人无不良信用记录承诺函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符合法律、行政法规规定的其他条件</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无环保类行政处罚记录</w:t>
            </w:r>
          </w:p>
        </w:tc>
        <w:tc>
          <w:tcPr>
            <w:tcW w:type="dxa" w:w="3322"/>
          </w:tcPr>
          <w:p>
            <w:pPr>
              <w:pStyle w:val="null3"/>
              <w:jc w:val="left"/>
            </w:pPr>
            <w:r>
              <w:rPr>
                <w:rFonts w:ascii="仿宋_GB2312" w:hAnsi="仿宋_GB2312" w:cs="仿宋_GB2312" w:eastAsia="仿宋_GB2312"/>
              </w:rPr>
              <w:t>参加政府采购活动前三年内，在经营活动中没有环保类行政处罚记录（成立不足三年的从成立之日起计算）（提供承诺函加盖单位公章）；</w:t>
            </w:r>
          </w:p>
        </w:tc>
        <w:tc>
          <w:tcPr>
            <w:tcW w:type="dxa" w:w="1661"/>
          </w:tcPr>
          <w:p>
            <w:pPr>
              <w:pStyle w:val="null3"/>
              <w:jc w:val="left"/>
            </w:pPr>
            <w:r>
              <w:rPr>
                <w:rFonts w:ascii="仿宋_GB2312" w:hAnsi="仿宋_GB2312" w:cs="仿宋_GB2312" w:eastAsia="仿宋_GB2312"/>
              </w:rPr>
              <w:t>无环保类行政处罚记录声明函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资质备案</w:t>
            </w:r>
          </w:p>
        </w:tc>
        <w:tc>
          <w:tcPr>
            <w:tcW w:type="dxa" w:w="3322"/>
          </w:tcPr>
          <w:p>
            <w:pPr>
              <w:pStyle w:val="null3"/>
              <w:jc w:val="left"/>
            </w:pPr>
            <w:r>
              <w:rPr>
                <w:rFonts w:ascii="仿宋_GB2312" w:hAnsi="仿宋_GB2312" w:cs="仿宋_GB2312" w:eastAsia="仿宋_GB2312"/>
              </w:rPr>
              <w:t>①供应商应进入“全国投资项目在线审批监管平台”中的工程咨询单位名录（咨询专业和范围包括“民航“、”铁路、城市轨道交通“专业项目咨询），且供应商名称与该名录中的相应企业名称完全一致；②属于“中国民用航空局官网”公布的最新“飞行程序设计单位备案信息公布表”中的单位；③属于为生态环境部环境影响信用平台注册环评编制的单位（注：若为联合体投标，联合体成员合计满足即可）。</w:t>
            </w:r>
          </w:p>
        </w:tc>
        <w:tc>
          <w:tcPr>
            <w:tcW w:type="dxa" w:w="1661"/>
          </w:tcPr>
          <w:p>
            <w:pPr>
              <w:pStyle w:val="null3"/>
              <w:jc w:val="left"/>
            </w:pPr>
            <w:r>
              <w:rPr>
                <w:rFonts w:ascii="仿宋_GB2312" w:hAnsi="仿宋_GB2312" w:cs="仿宋_GB2312" w:eastAsia="仿宋_GB2312"/>
              </w:rPr>
              <w:t>其他材料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联合体协议（如有）</w:t>
            </w:r>
          </w:p>
        </w:tc>
        <w:tc>
          <w:tcPr>
            <w:tcW w:type="dxa" w:w="3322"/>
          </w:tcPr>
          <w:p>
            <w:pPr>
              <w:pStyle w:val="null3"/>
              <w:jc w:val="left"/>
            </w:pPr>
            <w:r>
              <w:rPr>
                <w:rFonts w:ascii="仿宋_GB2312" w:hAnsi="仿宋_GB2312" w:cs="仿宋_GB2312" w:eastAsia="仿宋_GB2312"/>
              </w:rPr>
              <w:t>如供应商为联合体投标的，应按照第二章投标人须知的要求提交联合体协议书，并应当明确以下内容：（1）各方承担的工作内容及责任比例；（2）牵头人及被授予的全权代表权；（3）资质按分工对应的最低等级认定；（4） 连带责任条款。</w:t>
            </w:r>
          </w:p>
        </w:tc>
        <w:tc>
          <w:tcPr>
            <w:tcW w:type="dxa" w:w="1661"/>
          </w:tcPr>
          <w:p>
            <w:pPr>
              <w:pStyle w:val="null3"/>
              <w:jc w:val="left"/>
            </w:pPr>
            <w:r>
              <w:rPr>
                <w:rFonts w:ascii="仿宋_GB2312" w:hAnsi="仿宋_GB2312" w:cs="仿宋_GB2312" w:eastAsia="仿宋_GB2312"/>
              </w:rPr>
              <w:t>联合体投标协议书</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技术响应表</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商务响应表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投标书</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投标书</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商务部分45.00分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技术研究方案</w:t>
            </w:r>
          </w:p>
        </w:tc>
        <w:tc>
          <w:tcPr>
            <w:tcW w:type="dxa" w:w="2492"/>
          </w:tcPr>
          <w:p>
            <w:pPr>
              <w:pStyle w:val="null3"/>
              <w:jc w:val="both"/>
            </w:pPr>
            <w:r>
              <w:rPr>
                <w:rFonts w:ascii="仿宋_GB2312" w:hAnsi="仿宋_GB2312" w:cs="仿宋_GB2312" w:eastAsia="仿宋_GB2312"/>
              </w:rPr>
              <w:t>1、综合交通系统规划（预可研阶段）专题研究 根据投标人提供的综合交通规划方案的完整性、逻辑性、针对性及符合性等方面进行综合评定，内容应当包含：①三亚新机场综合交通发展战略目标与需求分析；②三亚新机场对外综合交通规划方案；③三亚新机场内外部综合交通衔接（引入）方案；④综合交通中心（GTC）布局方案；⑤规划方案评估及实施保障机制 全部满足得10分，每缺少一项内容扣2分，每项内容存在一处缺陷的扣0.5分，因缺陷每项最多扣2分（缺陷是指：非专门针对本项目或不适用本项目需求的情形、套用其他项目方案、内容前后矛盾、涉及的规范和标准错误及其他情形。不提供综合交通规划方案的不得分。 2、空域规划与容量仿真（预可研阶段）专题研究 根据投标人提供的空域规划与容量仿真方案的完整性、逻辑性、针对性及符合性等方面进行综合评定，内容应当包含：内容应当包括：①三亚终端区空域现状分析；②三亚新机场（育才）空域使用方案；③三亚终端区内新机场的空域规划需求；④三亚新机场外围航路航线规划方案；⑤制定对以上方案进行容量评估的目标与方法。 全部满足得10分，每缺少一项内容扣2分，每项内容存在一处缺陷的扣0.5分，因缺陷每项最多扣1分（缺陷是指：非专门针对本项目或不适用本项目需求的情形、套用其他项目方案、内容前后矛盾、涉及的规范和标准错误及其他情形） 不提供空域规划与容量仿真方案的不得分。 3、环境影响评价专题研究 根据投标人提供的环境影响评价方案的完整性、逻辑性、针对性及符合性等方面进行综合评定，，内容应当包含：①项目基础研究与需求分析；②环境影响评价技术方案；③环境管理与保障措施研究；④场址比选与优化；⑤成果交付与报批计划。 全部满足得10分，每缺少一项内容扣2分，每项内容存在一处缺陷的扣0.5分，因缺陷每项最多扣2分（缺陷是指：非专门针对本项目或不适用本项目需求的情形、套用其他项目方案、内容前后矛盾、涉及的规范和标准错误及其他情形）。 不提供环境影响评价方案的不得分。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服务承诺</w:t>
            </w:r>
          </w:p>
        </w:tc>
        <w:tc>
          <w:tcPr>
            <w:tcW w:type="dxa" w:w="2492"/>
          </w:tcPr>
          <w:p>
            <w:pPr>
              <w:pStyle w:val="null3"/>
              <w:jc w:val="both"/>
            </w:pPr>
            <w:r>
              <w:rPr>
                <w:rFonts w:ascii="仿宋_GB2312" w:hAnsi="仿宋_GB2312" w:cs="仿宋_GB2312" w:eastAsia="仿宋_GB2312"/>
              </w:rPr>
              <w:t>根据投标人提供的服务承诺进行综合评审，内容应当包含：①时效性保障②人员资质保障③质量过程控制④责任与风险承担⑤增值服务承诺。 全部满足得5分，每缺少一项内容扣1分，每项内容存在一处缺陷的扣0.25分，因缺陷每项最多扣1分（缺陷是指：非专门针对本项目或不适用本项目需求的情形、套用其他项目方案、内容前后矛盾、涉及的规范和标准错误及其他情形） 不提供服务承诺的不得分。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咨询服务组织协调安排与项目实施优化建议</w:t>
            </w:r>
          </w:p>
        </w:tc>
        <w:tc>
          <w:tcPr>
            <w:tcW w:type="dxa" w:w="2492"/>
          </w:tcPr>
          <w:p>
            <w:pPr>
              <w:pStyle w:val="null3"/>
              <w:jc w:val="both"/>
            </w:pPr>
            <w:r>
              <w:rPr>
                <w:rFonts w:ascii="仿宋_GB2312" w:hAnsi="仿宋_GB2312" w:cs="仿宋_GB2312" w:eastAsia="仿宋_GB2312"/>
              </w:rPr>
              <w:t>根据投标提供的咨询服务组织协调安排与项目实施优化建议进行综合评审，内容应当包含：①组织架构设计②全流程协调机制③实施优化策略④风险应急与升级机制⑤优化方案落地保障。 全部满足得10分，每缺少一项内容扣2分，每项内容存在一处缺陷的扣0.4分，因缺陷每项最多扣2分（缺陷是指：非专门针对本项目或不适用本项目需求的情形、套用其他项目方案、内容前后矛盾、涉及的规范和标准错误及其他情形） 不提供咨询服务组织协调安排与项目实施优化建议的不得分。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项目负责人</w:t>
            </w:r>
          </w:p>
        </w:tc>
        <w:tc>
          <w:tcPr>
            <w:tcW w:type="dxa" w:w="2492"/>
          </w:tcPr>
          <w:p>
            <w:pPr>
              <w:pStyle w:val="null3"/>
              <w:jc w:val="both"/>
            </w:pPr>
            <w:r>
              <w:rPr>
                <w:rFonts w:ascii="仿宋_GB2312" w:hAnsi="仿宋_GB2312" w:cs="仿宋_GB2312" w:eastAsia="仿宋_GB2312"/>
              </w:rPr>
              <w:t>1、项目负责人具有副高级职称的，得1分，具有正高级（或教授级）职称的，得2分；项目负责人具有注册咨询工程师（投资）或注册城乡规划师的，得2分。本项最高4分； 2、综合交通专题分项技术负责人具有副高级及以上职称的，得1分，具有具有注册咨询工程师（投资）或注册城乡规划师的，得1分，本项最高2分； 3、空域规划与容量仿真专题分项技术负责人具有副高级及以上职称的，得2分，本项最高2分； 4、环境影响评价专题分项技术负责人具有副高级及以上职称的，得1分，具有具有注册环评工程师的，得1分，本项最高2分。 注：需提供人员身份证、职称证书、学历证书、在职证明（至投标截止日前半年近三个月的社保或劳动合同）和注册证书，未按要求提供的不得分。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项目团队整体配置情况</w:t>
            </w:r>
          </w:p>
        </w:tc>
        <w:tc>
          <w:tcPr>
            <w:tcW w:type="dxa" w:w="2492"/>
          </w:tcPr>
          <w:p>
            <w:pPr>
              <w:pStyle w:val="null3"/>
              <w:jc w:val="both"/>
            </w:pPr>
            <w:r>
              <w:rPr>
                <w:rFonts w:ascii="仿宋_GB2312" w:hAnsi="仿宋_GB2312" w:cs="仿宋_GB2312" w:eastAsia="仿宋_GB2312"/>
              </w:rPr>
              <w:t>1、项目团队结构合理，项目团队配置技术人员大于30人（含30人），副高级及以上职称人员占比达到80%及以上，得7分，50%（含）-80%（不含）得5分，不到50%不得分。 2、项目组每含1名注册咨询工程师（投资）或注册城乡规划师或注册环评工程师或空中交通管理专业高级工程师，得1分，最高8分。 注：需提供人员身份证、职称证、毕业证、在职证明（至投标截止日前半年近三个月的社保或劳动合同）和注册证书（若有），未按要求提供的不得分。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同类项目业绩</w:t>
            </w:r>
          </w:p>
        </w:tc>
        <w:tc>
          <w:tcPr>
            <w:tcW w:type="dxa" w:w="2492"/>
          </w:tcPr>
          <w:p>
            <w:pPr>
              <w:pStyle w:val="null3"/>
              <w:jc w:val="both"/>
            </w:pPr>
            <w:r>
              <w:rPr>
                <w:rFonts w:ascii="仿宋_GB2312" w:hAnsi="仿宋_GB2312" w:cs="仿宋_GB2312" w:eastAsia="仿宋_GB2312"/>
              </w:rPr>
              <w:t>1、投标人近三年(2022年1月1日至投标截止日)承接过综合交通规划或综合交通枢纽规划的业绩，每个2分，最多得6分； 2、投标人近3年内(2022年1月1日至投标截止日)承接过4E及以上民用机场前期研究（选址、可研或预可研阶段）飞行程序研究或空域规划与容量评估报告编制业绩，每个得2分，最多得8分； 3、投标人近三年(2022年1月1日至投标截止日)承接过环境影响评价业绩，每个2分，最多得6分。 注：业绩以签署日期为准，需提供中标通知书或合同关键页扫描件并加盖投标人公章。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投标书</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联合协议或者分包</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both"/>
            </w:pPr>
            <w:r>
              <w:rPr>
                <w:rFonts w:ascii="仿宋_GB2312" w:hAnsi="仿宋_GB2312" w:cs="仿宋_GB2312" w:eastAsia="仿宋_GB2312"/>
              </w:rPr>
              <w:t>1、联合协议或分包意向协议约定小微企业的合同份额占到合同总金额 30%以上的，对联合体或者大中型企业的报价给予相应比例的扣除。2、监狱企业视同小型、微型企业，享受预留份额、评审中价格扣除等政府采购促进中小企业发展的政府采购政策。3、残疾人福利性单位提供本单位制造的货物、承担的工程或服务，或提供其他残疾人福利性单位制造的货物（不包括使用非残疾人福利性单位注册商标的货物），视同小微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r>
        <w:tc>
          <w:tcPr>
            <w:tcW w:type="dxa" w:w="831"/>
          </w:tcPr>
          <w:p>
            <w:pPr>
              <w:pStyle w:val="null3"/>
              <w:jc w:val="both"/>
            </w:pPr>
            <w:r>
              <w:rPr>
                <w:rFonts w:ascii="仿宋_GB2312" w:hAnsi="仿宋_GB2312" w:cs="仿宋_GB2312" w:eastAsia="仿宋_GB2312"/>
              </w:rPr>
              <w:t>2</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HFGC20252621H</w:t>
      </w:r>
    </w:p>
    <w:p>
      <w:pPr>
        <w:pStyle w:val="null3"/>
        <w:jc w:val="left"/>
      </w:pPr>
      <w:r>
        <w:rPr>
          <w:rFonts w:ascii="仿宋_GB2312" w:hAnsi="仿宋_GB2312" w:cs="仿宋_GB2312" w:eastAsia="仿宋_GB2312"/>
        </w:rPr>
        <w:t>项目名称：</w:t>
      </w:r>
      <w:r>
        <w:rPr>
          <w:rFonts w:ascii="仿宋_GB2312" w:hAnsi="仿宋_GB2312" w:cs="仿宋_GB2312" w:eastAsia="仿宋_GB2312"/>
        </w:rPr>
        <w:t>三亚新机场专题深化研究项目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三亚新机场专题深化研究项目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三亚新机场专题深化研究项目</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4980000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详见附件：商务响应表</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详见附件：联合体投标协议书</w:t>
      </w:r>
    </w:p>
    <w:p>
      <w:pPr>
        <w:pStyle w:val="null3"/>
        <w:ind w:firstLine="960"/>
        <w:jc w:val="left"/>
      </w:pPr>
      <w:r>
        <w:rPr>
          <w:rFonts w:ascii="仿宋_GB2312" w:hAnsi="仿宋_GB2312" w:cs="仿宋_GB2312" w:eastAsia="仿宋_GB2312"/>
        </w:rPr>
        <w:t>详见附件：技术响应表</w:t>
      </w:r>
    </w:p>
    <w:p>
      <w:pPr>
        <w:pStyle w:val="null3"/>
        <w:ind w:firstLine="960"/>
        <w:jc w:val="left"/>
      </w:pPr>
      <w:r>
        <w:rPr>
          <w:rFonts w:ascii="仿宋_GB2312" w:hAnsi="仿宋_GB2312" w:cs="仿宋_GB2312" w:eastAsia="仿宋_GB2312"/>
        </w:rPr>
        <w:t>详见附件：投标书</w:t>
      </w:r>
    </w:p>
    <w:p>
      <w:pPr>
        <w:pStyle w:val="null3"/>
        <w:ind w:firstLine="960"/>
        <w:jc w:val="left"/>
      </w:pPr>
      <w:r>
        <w:rPr>
          <w:rFonts w:ascii="仿宋_GB2312" w:hAnsi="仿宋_GB2312" w:cs="仿宋_GB2312" w:eastAsia="仿宋_GB2312"/>
        </w:rPr>
        <w:t>详见附件：投标人无不良信用记录承诺函</w:t>
      </w:r>
    </w:p>
    <w:p>
      <w:pPr>
        <w:pStyle w:val="null3"/>
        <w:ind w:firstLine="960"/>
        <w:jc w:val="left"/>
      </w:pPr>
      <w:r>
        <w:rPr>
          <w:rFonts w:ascii="仿宋_GB2312" w:hAnsi="仿宋_GB2312" w:cs="仿宋_GB2312" w:eastAsia="仿宋_GB2312"/>
        </w:rPr>
        <w:t>详见附件：符合法律、行政法规规定的其他条件</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