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8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38"/>
        <w:gridCol w:w="1620"/>
        <w:gridCol w:w="883"/>
        <w:gridCol w:w="700"/>
        <w:gridCol w:w="694"/>
        <w:gridCol w:w="743"/>
        <w:gridCol w:w="807"/>
        <w:gridCol w:w="3995"/>
      </w:tblGrid>
      <w:tr w14:paraId="14FC6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08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183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/>
              </w:rPr>
              <w:t>2025年海南“南渡江”国际帆船邀请赛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/>
              </w:rPr>
              <w:t>报价明细表</w:t>
            </w:r>
          </w:p>
        </w:tc>
      </w:tr>
      <w:tr w14:paraId="71127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BD2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 w:colFirst="8" w:colLast="8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9681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B30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294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255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D37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天/次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B09F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单价（元）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77A5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4E32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A56B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FAD9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7973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546B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赛事整体形象设计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678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205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F9E1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2CA0D58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8B50B8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5318D0B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8CE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2034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3E1C49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D13E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场地考察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D95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7F8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A2CD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64197C9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A2CDA75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C1FDFE1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5CF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0A38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034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人员劳务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E80E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技术团队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62E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2E0E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80BF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9B96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3ABD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FFA5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竞赛技术代表、仲裁、裁判、丈量及编排等30人，5天</w:t>
            </w:r>
          </w:p>
        </w:tc>
      </w:tr>
      <w:tr w14:paraId="78DA8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98E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B761B2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2281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工作艇驾驶员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5831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2FB6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204C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79EA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BDD5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94A6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媒体船、组委会工作船、救生船等工作艇驾驶员及救生员20人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，5天</w:t>
            </w:r>
          </w:p>
        </w:tc>
      </w:tr>
      <w:tr w14:paraId="50987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901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0F4FD2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3DB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00F1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FB1D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BC5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6077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4110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4582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工作人员30人（办公室、竞赛、后勤保障、活动仪式及搭建、媒体宣传、卫生防疫及安保等），赛前3天+比赛5天+赛后2天，共10天</w:t>
            </w:r>
          </w:p>
        </w:tc>
      </w:tr>
      <w:tr w14:paraId="3FC3D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22FB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6FC4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参赛船租赁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AE10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ILCA级帆船补助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FFC5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BC7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553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23E5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71F2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730A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ILCA级帆船运输补助（含船只装卸）</w:t>
            </w:r>
          </w:p>
        </w:tc>
      </w:tr>
      <w:tr w14:paraId="2DFF5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EEE0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9063C3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19F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Hobie16帆船租赁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5C2F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199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182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D471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F900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16C8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20艘hobie16船只租赁、运输、起吊及人员组装等费用</w:t>
            </w:r>
          </w:p>
        </w:tc>
      </w:tr>
      <w:tr w14:paraId="4270C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3A3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6425B7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83FB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OP级帆船租赁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0EF8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E126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9D3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2908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4E9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87E8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OP级帆船租赁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，5天</w:t>
            </w:r>
          </w:p>
        </w:tc>
      </w:tr>
      <w:tr w14:paraId="5B131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F68C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484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船只费用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2321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工作橡皮艇租赁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4A86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ABCD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A9C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14E9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CD4E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DE8A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15艘（起点船1艘、起点左侧1艘、终点船1艘、标旁船3艘、救生船2艘、仲裁船3艘、媒体3艘）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，5天</w:t>
            </w:r>
          </w:p>
        </w:tc>
      </w:tr>
      <w:tr w14:paraId="2C105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103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C2AD98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F71A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工作橡皮艇油料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05D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07C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7745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BA64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F683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98D6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92号汽油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，5天</w:t>
            </w:r>
          </w:p>
        </w:tc>
      </w:tr>
      <w:tr w14:paraId="2457E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A658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7983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场地搭建及氛围布置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4E2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氛围布置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9F45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82C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C9E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4801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C7BA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AA26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高杆旗、签到板、指示牌、帐篷+桌椅、地贴、公告栏、检录处场地租赁、停船区水电等；赛事期间维护、人工及运输等</w:t>
            </w:r>
          </w:p>
        </w:tc>
      </w:tr>
      <w:tr w14:paraId="43B01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3031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53B0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开闭幕及颁奖活动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FC29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开闭幕式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9903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836C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D337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A789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2313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1DC8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闭幕式场地租赁、场地用电、舞台搭建、演讲台、桌花、主持人、礼仪、颁奖台、致辞版、开闭幕式现场执行及活动组织人员等</w:t>
            </w:r>
          </w:p>
        </w:tc>
      </w:tr>
      <w:tr w14:paraId="4E42F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7949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4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ADF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奖杯奖牌及证书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0D7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7059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681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F289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8891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293D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颁发赛事奖杯、奖牌、证书</w:t>
            </w:r>
          </w:p>
        </w:tc>
      </w:tr>
      <w:tr w14:paraId="12B99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4AE7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9617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宣传推广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C56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媒体宣传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215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6F12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148A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FEA3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A415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E2E9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媒体宣传、官方摄影、官方摄像、图片直播、短视频、航拍、官方文字、媒体邀请、新闻稿、新媒体推广费等。</w:t>
            </w:r>
          </w:p>
        </w:tc>
      </w:tr>
      <w:tr w14:paraId="47EDC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86B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D677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竞赛轨迹跟踪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578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比赛船只轨迹系统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B074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EF0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4DD1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D4B2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695C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869C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GPS定位及SOS急救功能，配置风力采集设备，提供风力风向数据，航行轨迹须可以即时调速回放，并可追踪目标船只显示，提供每轮比赛的航行轨迹及航行数据，具有计时及计分功能，起终点摄像直播功能，并可以为参赛队提供所需要的比赛技术分析数据。</w:t>
            </w:r>
          </w:p>
        </w:tc>
      </w:tr>
      <w:tr w14:paraId="14EDD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AA4F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593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赛事奖金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D422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赛事奖金或等值奖品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22E8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C144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672B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4F8F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FA57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BD0F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所有组别前三名设有赛事奖金或等值奖品。</w:t>
            </w:r>
          </w:p>
        </w:tc>
      </w:tr>
      <w:tr w14:paraId="1AC83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F82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57AA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食宿保障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DE43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住宿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99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4257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间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BD0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84BA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9878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661C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嘉宾、技术团队及工作人员预计70人，需安排35间，平均按照5天（包含赛前筹备人员）</w:t>
            </w:r>
          </w:p>
        </w:tc>
      </w:tr>
      <w:tr w14:paraId="5E66E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76A0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C11BFF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B9C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6DE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869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383B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64F4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545F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0AF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嘉宾、技术团队及工作人员预计70人，平均按照5天（包含赛前筹备人员）</w:t>
            </w:r>
          </w:p>
        </w:tc>
      </w:tr>
      <w:tr w14:paraId="3D55D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2580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E39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交通费用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42D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车辆租赁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1721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3C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424A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D159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B2A2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63E6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1.车辆：5辆（商务车或小车）5天（含司机）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2.货车：2辆（货车）2次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3.大巴摆渡车：2辆（45座）5天</w:t>
            </w:r>
          </w:p>
        </w:tc>
      </w:tr>
      <w:tr w14:paraId="744BF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1599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1C87FE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42F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车辆油料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0E7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B479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E805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C5FA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85BC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0C43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5辆工作用车、2辆摆渡大巴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，5天</w:t>
            </w:r>
          </w:p>
        </w:tc>
      </w:tr>
      <w:tr w14:paraId="45E96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701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85AA99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95E7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人员机票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377E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180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3374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5E87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C0BD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5B46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部分技术团队及赛事人员往返机票费用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6人</w:t>
            </w:r>
          </w:p>
        </w:tc>
      </w:tr>
      <w:tr w14:paraId="7A1AB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11AF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353E66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BE3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市内交通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481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7871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5ADF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3846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C24E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F568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部分裁判仲裁及工作人员交通费30人</w:t>
            </w:r>
          </w:p>
        </w:tc>
      </w:tr>
      <w:tr w14:paraId="50ADF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1B4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B96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赛事物资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D16E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赛事物资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300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498C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3FF2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F6D7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924D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4820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1.饮用水200件；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2.办公耗材（打印纸、汽笛、笔、台卡、签字笔、垃圾桶、纸巾、证件等）；</w:t>
            </w:r>
          </w:p>
        </w:tc>
      </w:tr>
      <w:tr w14:paraId="40A40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884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C50C34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64C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赛事服装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1B4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938F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99E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1E84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3AE0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BC47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号码背心：220件</w:t>
            </w:r>
          </w:p>
        </w:tc>
      </w:tr>
      <w:tr w14:paraId="6D541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C2F5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F87FE4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891ECC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0D1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E050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D68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90A8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AC23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004D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赛事Polo及T恤：150件</w:t>
            </w:r>
          </w:p>
        </w:tc>
      </w:tr>
      <w:tr w14:paraId="0AAE9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4DD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5C63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现场救护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BAC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120转运现场医疗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0A0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39C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864A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8FB5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0208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B2AC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医疗用品及救护车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</w:tr>
      <w:tr w14:paraId="185E6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D5B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D9B448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5527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现场医疗人员补助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8575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2C6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64E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FF42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AA37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6491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救护车医生、护士劳务补助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</w:tr>
      <w:tr w14:paraId="2C5B2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01CD2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DB50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F08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场地及人员保险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1DEB6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45FC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D26D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2B29C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5A169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7E767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场地险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5天，保额300-500万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80人赛事期间保险</w:t>
            </w:r>
          </w:p>
        </w:tc>
      </w:tr>
      <w:bookmarkEnd w:id="0"/>
      <w:tr w14:paraId="4E641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52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61D4E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 w14:paraId="38374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56324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7BC28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</w:tbl>
    <w:p w14:paraId="64EAC82D"/>
    <w:p w14:paraId="1B436E66"/>
    <w:p w14:paraId="1EF444C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投标人（盖章）：</w:t>
      </w:r>
    </w:p>
    <w:p w14:paraId="478EDEA5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法定代表人或其授权代表（签字或盖章）：</w:t>
      </w:r>
    </w:p>
    <w:p w14:paraId="1DAEBD75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日期：</w:t>
      </w:r>
    </w:p>
    <w:p w14:paraId="3C85C219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DC0A33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注: 投标总金额包括本项目中要求的所有货物、服务、一切应付税费等所有费用，采购人不在支付任何费用。</w:t>
      </w:r>
    </w:p>
    <w:p w14:paraId="49C2416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91155"/>
    <w:multiLevelType w:val="singleLevel"/>
    <w:tmpl w:val="CA791155"/>
    <w:lvl w:ilvl="0" w:tentative="0">
      <w:start w:val="1"/>
      <w:numFmt w:val="chineseCounting"/>
      <w:pStyle w:val="4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01D69"/>
    <w:rsid w:val="2A8E746A"/>
    <w:rsid w:val="5A19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hint="eastAsia" w:ascii="Times New Roman" w:hAnsi="Times New Roman"/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1149</Words>
  <Characters>1248</Characters>
  <Lines>0</Lines>
  <Paragraphs>0</Paragraphs>
  <TotalTime>3</TotalTime>
  <ScaleCrop>false</ScaleCrop>
  <LinksUpToDate>false</LinksUpToDate>
  <CharactersWithSpaces>1248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2023-03-16T02:06:00Z</dcterms:created>
  <dc:creator>Administrator</dc:creator>
  <cp:lastModifiedBy>Administrator</cp:lastModifiedBy>
  <dcterms:modified xsi:type="dcterms:W3CDTF">2025-07-29T02:51:38Z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777EB010869540DAA4D73D3DC8FCD438</vt:lpwstr>
  </property>
  <property fmtid="{D5CDD505-2E9C-101B-9397-08002B2CF9AE}" pid="4" name="KSOTemplateDocerSaveRecord">
    <vt:lpwstr>eyJoZGlkIjoiZGI1ZTVmMjM1ZTk1NjIxMTQ4YzUxYjQwMGIyM2EwNjMifQ==</vt:lpwstr>
  </property>
</Properties>
</file>