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bCs/>
          <w:sz w:val="20"/>
          <w:szCs w:val="20"/>
          <w:lang w:val="en-US" w:eastAsia="zh-CN"/>
        </w:rPr>
      </w:pPr>
      <w:r>
        <w:rPr>
          <w:rFonts w:hint="eastAsia" w:ascii="仿宋_GB2312" w:hAnsi="仿宋_GB2312" w:eastAsia="仿宋_GB2312" w:cs="仿宋_GB2312"/>
          <w:b/>
          <w:bCs/>
          <w:sz w:val="20"/>
          <w:szCs w:val="20"/>
        </w:rPr>
        <w:t>附件</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：上床下桌组合家具配置清单及</w:t>
      </w:r>
      <w:r>
        <w:rPr>
          <w:rFonts w:hint="eastAsia" w:ascii="仿宋_GB2312" w:hAnsi="仿宋_GB2312" w:eastAsia="仿宋_GB2312" w:cs="仿宋_GB2312"/>
          <w:b/>
          <w:bCs/>
          <w:sz w:val="20"/>
          <w:szCs w:val="20"/>
          <w:lang w:val="en-US" w:eastAsia="zh-CN"/>
        </w:rPr>
        <w:t>参数</w:t>
      </w:r>
    </w:p>
    <w:tbl>
      <w:tblPr>
        <w:tblStyle w:val="3"/>
        <w:tblW w:w="0" w:type="auto"/>
        <w:jc w:val="center"/>
        <w:tblLayout w:type="fixed"/>
        <w:tblCellMar>
          <w:top w:w="0" w:type="dxa"/>
          <w:left w:w="108" w:type="dxa"/>
          <w:bottom w:w="0" w:type="dxa"/>
          <w:right w:w="108" w:type="dxa"/>
        </w:tblCellMar>
      </w:tblPr>
      <w:tblGrid>
        <w:gridCol w:w="420"/>
        <w:gridCol w:w="651"/>
        <w:gridCol w:w="2979"/>
        <w:gridCol w:w="4208"/>
        <w:gridCol w:w="518"/>
        <w:gridCol w:w="512"/>
      </w:tblGrid>
      <w:tr>
        <w:tblPrEx>
          <w:tblCellMar>
            <w:top w:w="0" w:type="dxa"/>
            <w:left w:w="108" w:type="dxa"/>
            <w:bottom w:w="0" w:type="dxa"/>
            <w:right w:w="108" w:type="dxa"/>
          </w:tblCellMar>
        </w:tblPrEx>
        <w:trPr>
          <w:trHeight w:val="968" w:hRule="atLeast"/>
          <w:jc w:val="center"/>
        </w:trPr>
        <w:tc>
          <w:tcPr>
            <w:tcW w:w="42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序号</w:t>
            </w:r>
          </w:p>
        </w:tc>
        <w:tc>
          <w:tcPr>
            <w:tcW w:w="65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名称</w:t>
            </w:r>
          </w:p>
        </w:tc>
        <w:tc>
          <w:tcPr>
            <w:tcW w:w="297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参考图片</w:t>
            </w:r>
          </w:p>
        </w:tc>
        <w:tc>
          <w:tcPr>
            <w:tcW w:w="420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参数</w:t>
            </w:r>
          </w:p>
        </w:tc>
        <w:tc>
          <w:tcPr>
            <w:tcW w:w="51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数量</w:t>
            </w:r>
          </w:p>
        </w:tc>
        <w:tc>
          <w:tcPr>
            <w:tcW w:w="51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单位</w:t>
            </w:r>
          </w:p>
        </w:tc>
      </w:tr>
      <w:tr>
        <w:tblPrEx>
          <w:tblCellMar>
            <w:top w:w="0" w:type="dxa"/>
            <w:left w:w="108" w:type="dxa"/>
            <w:bottom w:w="0" w:type="dxa"/>
            <w:right w:w="108" w:type="dxa"/>
          </w:tblCellMar>
        </w:tblPrEx>
        <w:trPr>
          <w:trHeight w:val="238" w:hRule="atLeast"/>
          <w:jc w:val="center"/>
        </w:trPr>
        <w:tc>
          <w:tcPr>
            <w:tcW w:w="42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65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二连2人位侧梯公寓钢架床</w:t>
            </w:r>
          </w:p>
        </w:tc>
        <w:tc>
          <w:tcPr>
            <w:tcW w:w="297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761490" cy="1417320"/>
                  <wp:effectExtent l="0" t="0" r="6350" b="0"/>
                  <wp:docPr id="10"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true"/>
                          </pic:cNvPicPr>
                        </pic:nvPicPr>
                        <pic:blipFill>
                          <a:blip r:embed="rId4"/>
                          <a:stretch>
                            <a:fillRect/>
                          </a:stretch>
                        </pic:blipFill>
                        <pic:spPr>
                          <a:xfrm>
                            <a:off x="0" y="0"/>
                            <a:ext cx="1761490" cy="1417320"/>
                          </a:xfrm>
                          <a:prstGeom prst="rect">
                            <a:avLst/>
                          </a:prstGeom>
                          <a:noFill/>
                          <a:ln>
                            <a:noFill/>
                          </a:ln>
                        </pic:spPr>
                      </pic:pic>
                    </a:graphicData>
                  </a:graphic>
                </wp:inline>
              </w:drawing>
            </w:r>
          </w:p>
        </w:tc>
        <w:tc>
          <w:tcPr>
            <w:tcW w:w="4208" w:type="dxa"/>
            <w:tcBorders>
              <w:top w:val="single" w:color="000000" w:sz="4" w:space="0"/>
              <w:left w:val="single" w:color="000000" w:sz="4" w:space="0"/>
              <w:bottom w:val="single" w:color="000000" w:sz="4" w:space="0"/>
              <w:right w:val="single" w:color="000000" w:sz="4" w:space="0"/>
              <w:tl2br w:val="nil"/>
              <w:tr2bl w:val="nil"/>
            </w:tcBorders>
          </w:tcPr>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一、产品外观规格：</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lang w:val="en-US" w:eastAsia="zh-CN"/>
              </w:rPr>
              <w:t>1、</w:t>
            </w:r>
            <w:r>
              <w:rPr>
                <w:rFonts w:hint="eastAsia" w:ascii="仿宋_GB2312" w:hAnsi="仿宋_GB2312" w:eastAsia="仿宋_GB2312" w:cs="仿宋_GB2312"/>
                <w:color w:val="auto"/>
                <w:kern w:val="0"/>
                <w:sz w:val="20"/>
                <w:szCs w:val="20"/>
              </w:rPr>
              <w:t>4200*903*2150mm/2950mm（蚊帐架），允许尺寸偏差±10mm</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b/>
                <w:color w:val="auto"/>
                <w:sz w:val="20"/>
                <w:szCs w:val="20"/>
              </w:rPr>
              <w:t>提供承诺书，</w:t>
            </w:r>
            <w:r>
              <w:rPr>
                <w:rFonts w:hint="eastAsia" w:ascii="仿宋_GB2312" w:hAnsi="仿宋_GB2312" w:eastAsia="仿宋_GB2312" w:cs="仿宋_GB2312"/>
                <w:b/>
                <w:color w:val="auto"/>
                <w:sz w:val="20"/>
                <w:szCs w:val="20"/>
                <w:lang w:val="en-US" w:eastAsia="zh-CN"/>
              </w:rPr>
              <w:t>格式自拟，</w:t>
            </w:r>
            <w:r>
              <w:rPr>
                <w:rFonts w:hint="eastAsia" w:ascii="仿宋_GB2312" w:hAnsi="仿宋_GB2312" w:eastAsia="仿宋_GB2312" w:cs="仿宋_GB2312"/>
                <w:b/>
                <w:color w:val="auto"/>
                <w:sz w:val="20"/>
                <w:szCs w:val="20"/>
              </w:rPr>
              <w:t>承诺内容：</w:t>
            </w:r>
            <w:r>
              <w:rPr>
                <w:rFonts w:hint="default" w:ascii="仿宋_GB2312" w:hAnsi="仿宋_GB2312" w:eastAsia="仿宋_GB2312" w:cs="仿宋_GB2312"/>
                <w:b/>
                <w:color w:val="auto"/>
                <w:sz w:val="20"/>
                <w:szCs w:val="20"/>
              </w:rPr>
              <w:t>若个别房间尺寸不一致，</w:t>
            </w:r>
            <w:r>
              <w:rPr>
                <w:rFonts w:hint="eastAsia" w:ascii="仿宋_GB2312" w:hAnsi="仿宋_GB2312" w:eastAsia="仿宋_GB2312" w:cs="仿宋_GB2312"/>
                <w:b/>
                <w:color w:val="auto"/>
                <w:sz w:val="20"/>
                <w:szCs w:val="20"/>
              </w:rPr>
              <w:t>具体以实际房间</w:t>
            </w:r>
            <w:r>
              <w:rPr>
                <w:rFonts w:hint="eastAsia" w:ascii="仿宋_GB2312" w:hAnsi="仿宋_GB2312" w:eastAsia="仿宋_GB2312" w:cs="仿宋_GB2312"/>
                <w:b/>
                <w:color w:val="auto"/>
                <w:sz w:val="20"/>
                <w:szCs w:val="20"/>
              </w:rPr>
              <w:t>需求尺寸为准，且满足采购人要求</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二、材质要求：</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1、材质为冷轧钢材，性能符合《金属家具通用技术条件》（GB/T 3325-2024）</w:t>
            </w:r>
            <w:r>
              <w:rPr>
                <w:rFonts w:hint="eastAsia" w:ascii="仿宋_GB2312" w:hAnsi="仿宋_GB2312" w:eastAsia="仿宋_GB2312" w:cs="仿宋_GB2312"/>
                <w:color w:val="auto"/>
                <w:sz w:val="20"/>
                <w:szCs w:val="20"/>
                <w:lang w:val="en-US" w:eastAsia="zh-CN"/>
              </w:rPr>
              <w:t>等</w:t>
            </w:r>
            <w:r>
              <w:rPr>
                <w:rFonts w:hint="eastAsia" w:ascii="仿宋_GB2312" w:hAnsi="仿宋_GB2312" w:eastAsia="仿宋_GB2312" w:cs="仿宋_GB2312"/>
                <w:color w:val="auto"/>
                <w:sz w:val="20"/>
                <w:szCs w:val="20"/>
              </w:rPr>
              <w:t>国家标准要求,管材无裂缝，管材表面无毛刺、结疤、错位、压痕或划痕。</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2、钢架组合床的质量按照</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金属家具质量检验及质量评定</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QB/T1951.2-2024</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等</w:t>
            </w:r>
            <w:r>
              <w:rPr>
                <w:rFonts w:hint="eastAsia" w:ascii="仿宋_GB2312" w:hAnsi="仿宋_GB2312" w:eastAsia="仿宋_GB2312" w:cs="仿宋_GB2312"/>
                <w:color w:val="auto"/>
                <w:sz w:val="20"/>
                <w:szCs w:val="20"/>
              </w:rPr>
              <w:t>轻工行业标准的规定执行；钢架组合床框架连接部分采用隐藏式卡式连接，不采用螺丝连接；床横梁、床支撑下沿要求圆弧处理（备注：立柱与长横梁和短横梁连接必须采用卡式锲入式锁扣结构连接）。</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3、每张床承重≥500kg；</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4、所有钢材均采用《金属家具通用技术条件》（GB/T 3325-2024）国家标准钢，钢架床部分焊接采用二氧化碳气体保护焊接，铁板表面经除油、去锈、磷化、静电喷粉、高温固化而成；</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5、架床要求在工厂制作，现场安装。</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表面除锈镀层要求：涂饰前零部件的表面应光滑、平整，不得有开裂、脱焊、漏焊、焊渣或飞边、尖角、毛刺等可能造成机械伤害的缺陷。表面至少须经过除锈处理，预备处理后表面无氧化皮、锈蚀、粘砂等其他杂质。</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7、喷塑要求：采用产品环氧聚酯塑粉静电喷塑，喷塑外膜的表面光滑平整，色泽均匀，喷塑层无漏喷、起泡、模糊、划痕或碰伤等缺陷。</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8、</w:t>
            </w:r>
            <w:r>
              <w:rPr>
                <w:rFonts w:hint="eastAsia" w:ascii="仿宋_GB2312" w:hAnsi="仿宋_GB2312" w:eastAsia="仿宋_GB2312" w:cs="仿宋_GB2312"/>
                <w:color w:val="auto"/>
                <w:sz w:val="20"/>
                <w:szCs w:val="20"/>
              </w:rPr>
              <w:t>部件规格及材质说明：</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床立柱：型材70*70*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1.2mm有4条加强筋</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长横梁：型材95*38*</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1.2mm有3条加强筋</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短横梁：型材95*38*</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1.0mm有3条加强筋</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床挂件：钢板28*28*206*</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2.0mm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床护栏：D型管+钢管</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床头护栏：圆管Ф19*</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床支撑：方管25*50*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0.7mm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长拉杆：方管20*30*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短拉杆：方管25*50*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床梯架：鹅蛋管25*40*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rPr>
              <w:t>床梯踏板：橡胶木直接板</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保护套：独立开模防水、防滑、防噪音的软塑胶。</w:t>
            </w:r>
          </w:p>
          <w:p>
            <w:pPr>
              <w:widowControl/>
              <w:jc w:val="left"/>
              <w:textAlignment w:val="top"/>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三、技术要求</w:t>
            </w:r>
            <w:r>
              <w:rPr>
                <w:rFonts w:hint="eastAsia" w:ascii="仿宋_GB2312" w:hAnsi="仿宋_GB2312" w:eastAsia="仿宋_GB2312" w:cs="仿宋_GB2312"/>
                <w:b/>
                <w:color w:val="auto"/>
                <w:sz w:val="20"/>
                <w:szCs w:val="20"/>
                <w:lang w:val="en-US" w:eastAsia="zh-CN"/>
              </w:rPr>
              <w:t>[</w:t>
            </w:r>
            <w:r>
              <w:rPr>
                <w:rFonts w:hint="eastAsia" w:ascii="仿宋_GB2312" w:hAnsi="仿宋_GB2312" w:eastAsia="仿宋_GB2312" w:cs="仿宋_GB2312"/>
                <w:b/>
                <w:bCs/>
                <w:color w:val="auto"/>
                <w:kern w:val="0"/>
                <w:sz w:val="20"/>
                <w:szCs w:val="20"/>
                <w:lang w:bidi="ar"/>
              </w:rPr>
              <w:t>提供国家认证认可监督管理委员会认可的检验检测机构出具的检验报告予以佐证</w:t>
            </w:r>
            <w:r>
              <w:rPr>
                <w:rFonts w:hint="eastAsia" w:ascii="仿宋_GB2312" w:hAnsi="仿宋_GB2312" w:eastAsia="仿宋_GB2312" w:cs="仿宋_GB2312"/>
                <w:b/>
                <w:bCs/>
                <w:color w:val="auto"/>
                <w:kern w:val="0"/>
                <w:sz w:val="20"/>
                <w:szCs w:val="20"/>
                <w:lang w:val="en-US" w:eastAsia="zh-CN" w:bidi="ar"/>
              </w:rPr>
              <w:t>]</w:t>
            </w:r>
            <w:r>
              <w:rPr>
                <w:rFonts w:hint="eastAsia" w:ascii="仿宋_GB2312" w:hAnsi="仿宋_GB2312" w:eastAsia="仿宋_GB2312" w:cs="仿宋_GB2312"/>
                <w:b/>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r>
              <w:rPr>
                <w:rFonts w:hint="eastAsia" w:ascii="仿宋_GB2312" w:hAnsi="仿宋_GB2312" w:eastAsia="仿宋_GB2312" w:cs="仿宋_GB2312"/>
                <w:b/>
                <w:bCs/>
                <w:color w:val="auto"/>
                <w:sz w:val="20"/>
                <w:szCs w:val="20"/>
              </w:rPr>
              <w:t>钢管</w:t>
            </w:r>
            <w:r>
              <w:rPr>
                <w:rFonts w:hint="eastAsia" w:ascii="仿宋_GB2312" w:hAnsi="仿宋_GB2312" w:eastAsia="仿宋_GB2312" w:cs="仿宋_GB2312"/>
                <w:color w:val="auto"/>
                <w:sz w:val="20"/>
                <w:szCs w:val="20"/>
              </w:rPr>
              <w:t>：具有中性盐雾、乙酸盐雾、铜加速乙酸盐雾、铜盐加速乙酸盐雾连续喷雾试验≥210小时，镀层本身的耐腐蚀等级≥10级，镀层对基体的保护等级≥10级，抗拉强度：270-410MPa,成分分析：C≤0.20%、Si≤0.35%、Mn≤0.14%,金属喷涂层厚度≥60μm,光泽度≥80GU,金属喷漆（塑）涂层耐腐蚀200h内，观察在溶剂中试样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2、</w:t>
            </w:r>
            <w:r>
              <w:rPr>
                <w:rFonts w:hint="eastAsia" w:ascii="仿宋_GB2312" w:hAnsi="仿宋_GB2312" w:eastAsia="仿宋_GB2312" w:cs="仿宋_GB2312"/>
                <w:b/>
                <w:bCs/>
                <w:color w:val="auto"/>
                <w:sz w:val="20"/>
                <w:szCs w:val="20"/>
              </w:rPr>
              <w:t>床立柱</w:t>
            </w:r>
            <w:r>
              <w:rPr>
                <w:rFonts w:hint="eastAsia" w:ascii="仿宋_GB2312" w:hAnsi="仿宋_GB2312" w:eastAsia="仿宋_GB2312" w:cs="仿宋_GB2312"/>
                <w:color w:val="auto"/>
                <w:sz w:val="20"/>
                <w:szCs w:val="20"/>
              </w:rPr>
              <w:t>：床立柱耐腐蚀要求120h内，观察在溶剂中样板上划道两侧3mm以外，应无气泡产生，120h后，检查划道两侧3mm以外，应无锈迹、剥落、起皱、变色和失光等现象。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3、</w:t>
            </w:r>
            <w:r>
              <w:rPr>
                <w:rFonts w:hint="eastAsia" w:ascii="仿宋_GB2312" w:hAnsi="仿宋_GB2312" w:eastAsia="仿宋_GB2312" w:cs="仿宋_GB2312"/>
                <w:b/>
                <w:bCs/>
                <w:color w:val="auto"/>
                <w:sz w:val="20"/>
                <w:szCs w:val="20"/>
              </w:rPr>
              <w:t>床横梁</w:t>
            </w:r>
            <w:r>
              <w:rPr>
                <w:rFonts w:hint="eastAsia" w:ascii="仿宋_GB2312" w:hAnsi="仿宋_GB2312" w:eastAsia="仿宋_GB2312" w:cs="仿宋_GB2312"/>
                <w:color w:val="auto"/>
                <w:sz w:val="20"/>
                <w:szCs w:val="20"/>
              </w:rPr>
              <w:t>：床横梁耐腐蚀要求120h内，观察在溶剂中样板上划道两侧3mm以外，应无气泡产生，120h后，检查划道两侧3mm以外，应无锈迹、剥落、起皱、变色和失光等现象。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4、</w:t>
            </w:r>
            <w:r>
              <w:rPr>
                <w:rFonts w:hint="eastAsia" w:ascii="仿宋_GB2312" w:hAnsi="仿宋_GB2312" w:eastAsia="仿宋_GB2312" w:cs="仿宋_GB2312"/>
                <w:b/>
                <w:bCs/>
                <w:color w:val="auto"/>
                <w:sz w:val="20"/>
                <w:szCs w:val="20"/>
              </w:rPr>
              <w:t>床前护栏</w:t>
            </w:r>
            <w:r>
              <w:rPr>
                <w:rFonts w:hint="eastAsia" w:ascii="仿宋_GB2312" w:hAnsi="仿宋_GB2312" w:eastAsia="仿宋_GB2312" w:cs="仿宋_GB2312"/>
                <w:color w:val="auto"/>
                <w:sz w:val="20"/>
                <w:szCs w:val="20"/>
              </w:rPr>
              <w:t>：床前护栏塑料件外观、家具中五金外观、其他外观符合</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重金属可溶性铅、镉、铬、汞未检出，邻苯二甲酸酯（BBP、DBP、DEHP、DNOP、DINP、DIDP）未检出。</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5、</w:t>
            </w:r>
            <w:r>
              <w:rPr>
                <w:rFonts w:hint="eastAsia" w:ascii="仿宋_GB2312" w:hAnsi="仿宋_GB2312" w:eastAsia="仿宋_GB2312" w:cs="仿宋_GB2312"/>
                <w:b/>
                <w:bCs/>
                <w:color w:val="auto"/>
                <w:sz w:val="20"/>
                <w:szCs w:val="20"/>
              </w:rPr>
              <w:t>床头护栏</w:t>
            </w:r>
            <w:r>
              <w:rPr>
                <w:rFonts w:hint="eastAsia" w:ascii="仿宋_GB2312" w:hAnsi="仿宋_GB2312" w:eastAsia="仿宋_GB2312" w:cs="仿宋_GB2312"/>
                <w:color w:val="auto"/>
                <w:sz w:val="20"/>
                <w:szCs w:val="20"/>
              </w:rPr>
              <w:t>：床头护栏塑料件外观、家具中五金外观、其他外观符合</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重金属可溶性铅、镉、铬、汞未检出，邻苯二甲酸酯（BBP、DBP、DEHP、DNOP、DINP、DIDP）未检出。</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6、</w:t>
            </w:r>
            <w:r>
              <w:rPr>
                <w:rFonts w:hint="eastAsia" w:ascii="仿宋_GB2312" w:hAnsi="仿宋_GB2312" w:eastAsia="仿宋_GB2312" w:cs="仿宋_GB2312"/>
                <w:b/>
                <w:bCs/>
                <w:color w:val="auto"/>
                <w:sz w:val="20"/>
                <w:szCs w:val="20"/>
              </w:rPr>
              <w:t>防腐抗菌喷涂粉末</w:t>
            </w:r>
            <w:r>
              <w:rPr>
                <w:rFonts w:hint="eastAsia" w:ascii="仿宋_GB2312" w:hAnsi="仿宋_GB2312" w:eastAsia="仿宋_GB2312" w:cs="仿宋_GB2312"/>
                <w:color w:val="auto"/>
                <w:sz w:val="20"/>
                <w:szCs w:val="20"/>
              </w:rPr>
              <w:t>：可迁移元素锑、砷、镉、铬、铅、汞、硒、钡均未检出，筛余物(125um)：全部通过。铅笔硬度（内聚破坏中擦伤）：≥2H,附着力≤1 级。耐冲击性：50cm 冲击试验未观察到裂纹、皱纹及剥落现象。弯曲试验：2mm。耐碱性(5%NaOH)：168h 无异常。耐酸性(3%HC1)：240h 无异常。耐沸水性：48h 无异常。耐湿性：500h 无异常。耐盐雾性：500h 划痕处单向腐蚀蔓延宽度≤2.0mm，未划痕区无起泡、生锈、开裂、剥落等异常现象。黑曲霉：耐霉性等级0级,金黄色葡萄球菌：抗细菌率＞99.7%。</w:t>
            </w:r>
          </w:p>
          <w:p>
            <w:pPr>
              <w:widowControl/>
              <w:jc w:val="left"/>
              <w:textAlignment w:val="top"/>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color w:val="auto"/>
                <w:sz w:val="20"/>
                <w:szCs w:val="20"/>
              </w:rPr>
              <w:t>提供国家认证认可监督管理委员会认可的检验检测机构出具的</w:t>
            </w:r>
            <w:r>
              <w:rPr>
                <w:rFonts w:hint="eastAsia" w:ascii="仿宋_GB2312" w:hAnsi="仿宋_GB2312" w:eastAsia="仿宋_GB2312" w:cs="仿宋_GB2312"/>
                <w:color w:val="auto"/>
                <w:sz w:val="20"/>
                <w:szCs w:val="20"/>
                <w:lang w:val="en-US" w:eastAsia="zh-CN"/>
              </w:rPr>
              <w:t>包含“技术要求”中1-6项内容的</w:t>
            </w:r>
            <w:r>
              <w:rPr>
                <w:rFonts w:hint="eastAsia" w:ascii="仿宋_GB2312" w:hAnsi="仿宋_GB2312" w:eastAsia="仿宋_GB2312" w:cs="仿宋_GB2312"/>
                <w:color w:val="auto"/>
                <w:sz w:val="20"/>
                <w:szCs w:val="20"/>
              </w:rPr>
              <w:t>检验报告</w:t>
            </w:r>
            <w:r>
              <w:rPr>
                <w:rFonts w:hint="eastAsia" w:ascii="仿宋_GB2312" w:hAnsi="仿宋_GB2312" w:eastAsia="仿宋_GB2312" w:cs="仿宋_GB2312"/>
                <w:color w:val="auto"/>
                <w:sz w:val="20"/>
                <w:szCs w:val="20"/>
                <w:lang w:val="en-US" w:eastAsia="zh-CN"/>
              </w:rPr>
              <w:t>扫描件</w:t>
            </w:r>
            <w:r>
              <w:rPr>
                <w:rFonts w:hint="eastAsia" w:ascii="仿宋_GB2312" w:hAnsi="仿宋_GB2312" w:eastAsia="仿宋_GB2312" w:cs="仿宋_GB2312"/>
                <w:color w:val="auto"/>
                <w:sz w:val="20"/>
                <w:szCs w:val="20"/>
              </w:rPr>
              <w:t>并加盖</w:t>
            </w:r>
            <w:r>
              <w:rPr>
                <w:rFonts w:hint="eastAsia" w:ascii="仿宋_GB2312" w:hAnsi="仿宋_GB2312" w:eastAsia="仿宋_GB2312" w:cs="仿宋_GB2312"/>
                <w:color w:val="auto"/>
                <w:sz w:val="20"/>
                <w:szCs w:val="20"/>
                <w:lang w:val="en-US" w:eastAsia="zh-CN"/>
              </w:rPr>
              <w:t>投标人</w:t>
            </w:r>
            <w:r>
              <w:rPr>
                <w:rFonts w:hint="eastAsia" w:ascii="仿宋_GB2312" w:hAnsi="仿宋_GB2312" w:eastAsia="仿宋_GB2312" w:cs="仿宋_GB2312"/>
                <w:color w:val="auto"/>
                <w:sz w:val="20"/>
                <w:szCs w:val="20"/>
              </w:rPr>
              <w:t>公章，检测内容符合</w:t>
            </w:r>
            <w:r>
              <w:rPr>
                <w:rFonts w:hint="eastAsia" w:ascii="仿宋_GB2312" w:hAnsi="仿宋_GB2312" w:eastAsia="仿宋_GB2312" w:cs="仿宋_GB2312"/>
                <w:b w:val="0"/>
                <w:bCs w:val="0"/>
                <w:color w:val="auto"/>
                <w:sz w:val="20"/>
                <w:szCs w:val="20"/>
              </w:rPr>
              <w:t>[</w:t>
            </w:r>
            <w:r>
              <w:rPr>
                <w:rFonts w:hint="eastAsia" w:ascii="仿宋_GB2312" w:hAnsi="仿宋_GB2312" w:eastAsia="仿宋_GB2312" w:cs="仿宋_GB2312"/>
                <w:color w:val="auto"/>
                <w:sz w:val="20"/>
                <w:szCs w:val="20"/>
              </w:rPr>
              <w:t>包含</w:t>
            </w:r>
            <w:r>
              <w:rPr>
                <w:rFonts w:hint="eastAsia" w:ascii="仿宋_GB2312" w:hAnsi="仿宋_GB2312" w:eastAsia="仿宋_GB2312" w:cs="仿宋_GB2312"/>
                <w:color w:val="auto"/>
                <w:sz w:val="20"/>
                <w:szCs w:val="20"/>
                <w:lang w:val="en-US" w:eastAsia="zh-CN"/>
              </w:rPr>
              <w:t>以下四项</w:t>
            </w:r>
            <w:r>
              <w:rPr>
                <w:rFonts w:hint="eastAsia" w:ascii="仿宋_GB2312" w:hAnsi="仿宋_GB2312" w:eastAsia="仿宋_GB2312" w:cs="仿宋_GB2312"/>
                <w:color w:val="auto"/>
                <w:sz w:val="20"/>
                <w:szCs w:val="20"/>
              </w:rPr>
              <w:t>但不限于：1、《金属家具通用技术条件》（GB/T 3325-2024）；2、《家具表面漆膜理化性能试验》（GB/T 4893-2020）；3、《家具中有害物质限量》（GB 18584—2024）；4、《金属家具质量检验及质量评定》（QB/T1951.2-2024）]等标准。</w:t>
            </w:r>
          </w:p>
          <w:p>
            <w:pPr>
              <w:widowControl/>
              <w:ind w:firstLine="400" w:firstLineChars="200"/>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未提供检验报告的视为不响应</w:t>
            </w:r>
            <w:r>
              <w:rPr>
                <w:rFonts w:hint="default" w:ascii="仿宋_GB2312" w:hAnsi="仿宋_GB2312" w:eastAsia="仿宋_GB2312" w:cs="仿宋_GB2312"/>
                <w:color w:val="auto"/>
                <w:sz w:val="20"/>
                <w:szCs w:val="20"/>
              </w:rPr>
              <w:t>相对应</w:t>
            </w:r>
            <w:r>
              <w:rPr>
                <w:rFonts w:hint="eastAsia" w:ascii="仿宋_GB2312" w:hAnsi="仿宋_GB2312" w:eastAsia="仿宋_GB2312" w:cs="仿宋_GB2312"/>
                <w:color w:val="auto"/>
                <w:sz w:val="20"/>
                <w:szCs w:val="20"/>
              </w:rPr>
              <w:t>1-6项内容</w:t>
            </w:r>
            <w:r>
              <w:rPr>
                <w:rFonts w:hint="default" w:ascii="仿宋_GB2312" w:hAnsi="仿宋_GB2312" w:eastAsia="仿宋_GB2312" w:cs="仿宋_GB2312"/>
                <w:color w:val="auto"/>
                <w:sz w:val="20"/>
                <w:szCs w:val="20"/>
              </w:rPr>
              <w:t>的</w:t>
            </w:r>
            <w:r>
              <w:rPr>
                <w:rFonts w:hint="eastAsia" w:ascii="仿宋_GB2312" w:hAnsi="仿宋_GB2312" w:eastAsia="仿宋_GB2312" w:cs="仿宋_GB2312"/>
                <w:color w:val="auto"/>
                <w:sz w:val="20"/>
                <w:szCs w:val="20"/>
              </w:rPr>
              <w:t>参数要求。</w:t>
            </w:r>
          </w:p>
        </w:tc>
        <w:tc>
          <w:tcPr>
            <w:tcW w:w="51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492</w:t>
            </w:r>
          </w:p>
        </w:tc>
        <w:tc>
          <w:tcPr>
            <w:tcW w:w="51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张</w:t>
            </w:r>
          </w:p>
        </w:tc>
      </w:tr>
      <w:tr>
        <w:tblPrEx>
          <w:tblCellMar>
            <w:top w:w="0" w:type="dxa"/>
            <w:left w:w="108" w:type="dxa"/>
            <w:bottom w:w="0" w:type="dxa"/>
            <w:right w:w="108" w:type="dxa"/>
          </w:tblCellMar>
        </w:tblPrEx>
        <w:trPr>
          <w:trHeight w:val="3898" w:hRule="atLeast"/>
          <w:jc w:val="center"/>
        </w:trPr>
        <w:tc>
          <w:tcPr>
            <w:tcW w:w="42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2</w:t>
            </w:r>
          </w:p>
        </w:tc>
        <w:tc>
          <w:tcPr>
            <w:tcW w:w="65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床板、床垫</w:t>
            </w:r>
          </w:p>
        </w:tc>
        <w:tc>
          <w:tcPr>
            <w:tcW w:w="297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799590" cy="867410"/>
                  <wp:effectExtent l="0" t="0" r="13970" b="1270"/>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5"/>
                          <a:stretch>
                            <a:fillRect/>
                          </a:stretch>
                        </pic:blipFill>
                        <pic:spPr>
                          <a:xfrm>
                            <a:off x="0" y="0"/>
                            <a:ext cx="1799590" cy="867410"/>
                          </a:xfrm>
                          <a:prstGeom prst="rect">
                            <a:avLst/>
                          </a:prstGeom>
                          <a:noFill/>
                          <a:ln>
                            <a:noFill/>
                          </a:ln>
                        </pic:spPr>
                      </pic:pic>
                    </a:graphicData>
                  </a:graphic>
                </wp:inline>
              </w:drawing>
            </w:r>
          </w:p>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此图为床板图，床垫图略</w:t>
            </w:r>
          </w:p>
        </w:tc>
        <w:tc>
          <w:tcPr>
            <w:tcW w:w="4208" w:type="dxa"/>
            <w:tcBorders>
              <w:top w:val="single" w:color="000000" w:sz="4" w:space="0"/>
              <w:left w:val="single" w:color="000000" w:sz="4" w:space="0"/>
              <w:bottom w:val="single" w:color="000000" w:sz="4" w:space="0"/>
              <w:right w:val="single" w:color="000000" w:sz="4" w:space="0"/>
              <w:tl2br w:val="nil"/>
              <w:tr2bl w:val="nil"/>
            </w:tcBorders>
          </w:tcPr>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1、规格：</w:t>
            </w:r>
            <w:r>
              <w:rPr>
                <w:rFonts w:hint="eastAsia" w:ascii="仿宋_GB2312" w:hAnsi="仿宋_GB2312" w:eastAsia="仿宋_GB2312" w:cs="仿宋_GB2312"/>
                <w:color w:val="auto"/>
                <w:sz w:val="20"/>
                <w:szCs w:val="20"/>
                <w:lang w:val="en-US" w:eastAsia="zh-CN"/>
              </w:rPr>
              <w:t>床板</w:t>
            </w:r>
            <w:r>
              <w:rPr>
                <w:rFonts w:hint="eastAsia" w:ascii="仿宋_GB2312" w:hAnsi="仿宋_GB2312" w:eastAsia="仿宋_GB2312" w:cs="仿宋_GB2312"/>
                <w:color w:val="auto"/>
                <w:sz w:val="20"/>
                <w:szCs w:val="20"/>
              </w:rPr>
              <w:t>2100mm×830mm×</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床垫2100mm×830mm×</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50mm，</w:t>
            </w:r>
            <w:r>
              <w:rPr>
                <w:rFonts w:hint="eastAsia" w:ascii="仿宋_GB2312" w:hAnsi="仿宋_GB2312" w:eastAsia="仿宋_GB2312" w:cs="仿宋_GB2312"/>
                <w:color w:val="auto"/>
                <w:sz w:val="20"/>
                <w:szCs w:val="20"/>
                <w:lang w:val="en-US" w:eastAsia="zh-CN"/>
              </w:rPr>
              <w:t>长宽</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长度与床配套，尺寸须根据最终床铺内空尺寸调整。</w:t>
            </w:r>
          </w:p>
          <w:p>
            <w:pPr>
              <w:widowControl/>
              <w:jc w:val="left"/>
              <w:textAlignment w:val="top"/>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sz w:val="20"/>
                <w:szCs w:val="20"/>
              </w:rPr>
              <w:t>2、整体采用全干杉木板制作</w:t>
            </w:r>
            <w:r>
              <w:rPr>
                <w:rFonts w:hint="eastAsia" w:ascii="仿宋_GB2312" w:hAnsi="仿宋_GB2312" w:eastAsia="仿宋_GB2312" w:cs="仿宋_GB2312"/>
                <w:color w:val="auto"/>
                <w:sz w:val="20"/>
                <w:szCs w:val="20"/>
                <w:lang w:val="en-US" w:eastAsia="zh-CN"/>
              </w:rPr>
              <w:t>拼接</w:t>
            </w:r>
            <w:r>
              <w:rPr>
                <w:rFonts w:hint="eastAsia" w:ascii="仿宋_GB2312" w:hAnsi="仿宋_GB2312" w:eastAsia="仿宋_GB2312" w:cs="仿宋_GB2312"/>
                <w:color w:val="auto"/>
                <w:sz w:val="20"/>
                <w:szCs w:val="20"/>
              </w:rPr>
              <w:t>而成，板数不超过八块板，</w:t>
            </w:r>
            <w:r>
              <w:rPr>
                <w:rFonts w:hint="eastAsia" w:ascii="仿宋_GB2312" w:hAnsi="仿宋_GB2312" w:eastAsia="仿宋_GB2312" w:cs="仿宋_GB2312"/>
                <w:color w:val="auto"/>
                <w:kern w:val="0"/>
                <w:sz w:val="20"/>
                <w:szCs w:val="20"/>
              </w:rPr>
              <w:t>经干燥防腐、防蛀处理，无闪边，双面刨光，无豁边木皮拼接需留透气缝，横档用≥20×30mm 实木木方三面刨光，数量不少于四根钉制而成（螺丝尖脚不外露）；床板</w:t>
            </w:r>
            <w:r>
              <w:rPr>
                <w:rFonts w:hint="eastAsia" w:ascii="仿宋_GB2312" w:hAnsi="仿宋_GB2312" w:eastAsia="仿宋_GB2312" w:cs="仿宋_GB2312"/>
                <w:color w:val="auto"/>
                <w:kern w:val="0"/>
                <w:sz w:val="20"/>
                <w:szCs w:val="20"/>
                <w:lang w:val="en-US" w:eastAsia="zh-CN"/>
              </w:rPr>
              <w:t>及</w:t>
            </w:r>
            <w:r>
              <w:rPr>
                <w:rFonts w:hint="eastAsia" w:ascii="仿宋_GB2312" w:hAnsi="仿宋_GB2312" w:eastAsia="仿宋_GB2312" w:cs="仿宋_GB2312"/>
                <w:color w:val="auto"/>
                <w:kern w:val="0"/>
                <w:sz w:val="20"/>
                <w:szCs w:val="20"/>
              </w:rPr>
              <w:t>床垫</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kern w:val="0"/>
                <w:sz w:val="20"/>
                <w:szCs w:val="20"/>
                <w:lang w:eastAsia="zh-CN"/>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kern w:val="0"/>
                <w:sz w:val="20"/>
                <w:szCs w:val="20"/>
              </w:rPr>
              <w:t>注：</w:t>
            </w:r>
            <w:r>
              <w:rPr>
                <w:rFonts w:hint="eastAsia" w:ascii="仿宋_GB2312" w:hAnsi="仿宋_GB2312" w:eastAsia="仿宋_GB2312" w:cs="仿宋_GB2312"/>
                <w:color w:val="auto"/>
                <w:kern w:val="0"/>
                <w:sz w:val="20"/>
                <w:szCs w:val="20"/>
              </w:rPr>
              <w:t>提供国家认证认可监督管理委员会认可的检验检测机构</w:t>
            </w:r>
            <w:r>
              <w:rPr>
                <w:rFonts w:hint="eastAsia" w:ascii="仿宋_GB2312" w:hAnsi="仿宋_GB2312" w:eastAsia="仿宋_GB2312" w:cs="仿宋_GB2312"/>
                <w:color w:val="auto"/>
                <w:kern w:val="0"/>
                <w:sz w:val="20"/>
                <w:szCs w:val="20"/>
                <w:lang w:val="en-US" w:eastAsia="zh-CN"/>
              </w:rPr>
              <w:t>出具的</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检测报告</w:t>
            </w:r>
            <w:r>
              <w:rPr>
                <w:rFonts w:hint="eastAsia" w:ascii="仿宋_GB2312" w:hAnsi="仿宋_GB2312" w:eastAsia="仿宋_GB2312" w:cs="仿宋_GB2312"/>
                <w:color w:val="auto"/>
                <w:kern w:val="0"/>
                <w:sz w:val="20"/>
                <w:szCs w:val="20"/>
                <w:lang w:val="en-US" w:eastAsia="zh-CN"/>
              </w:rPr>
              <w:t>扫描</w:t>
            </w:r>
            <w:r>
              <w:rPr>
                <w:rFonts w:hint="eastAsia" w:ascii="仿宋_GB2312" w:hAnsi="仿宋_GB2312" w:eastAsia="仿宋_GB2312" w:cs="仿宋_GB2312"/>
                <w:color w:val="auto"/>
                <w:kern w:val="0"/>
                <w:sz w:val="20"/>
                <w:szCs w:val="20"/>
              </w:rPr>
              <w:t>件</w:t>
            </w:r>
            <w:r>
              <w:rPr>
                <w:rFonts w:hint="eastAsia" w:ascii="仿宋_GB2312" w:hAnsi="仿宋_GB2312" w:eastAsia="仿宋_GB2312" w:cs="仿宋_GB2312"/>
                <w:color w:val="auto"/>
                <w:kern w:val="0"/>
                <w:sz w:val="20"/>
                <w:szCs w:val="20"/>
                <w:lang w:val="en-US" w:eastAsia="zh-CN"/>
              </w:rPr>
              <w:t>并</w:t>
            </w:r>
            <w:r>
              <w:rPr>
                <w:rFonts w:hint="eastAsia" w:ascii="仿宋_GB2312" w:hAnsi="仿宋_GB2312" w:eastAsia="仿宋_GB2312" w:cs="仿宋_GB2312"/>
                <w:color w:val="auto"/>
                <w:kern w:val="0"/>
                <w:sz w:val="20"/>
                <w:szCs w:val="20"/>
              </w:rPr>
              <w:t>加盖</w:t>
            </w:r>
            <w:r>
              <w:rPr>
                <w:rFonts w:hint="eastAsia" w:ascii="仿宋_GB2312" w:hAnsi="仿宋_GB2312" w:eastAsia="仿宋_GB2312" w:cs="仿宋_GB2312"/>
                <w:color w:val="auto"/>
                <w:sz w:val="20"/>
                <w:szCs w:val="20"/>
                <w:lang w:val="en-US" w:eastAsia="zh-CN"/>
              </w:rPr>
              <w:t>投标人</w:t>
            </w:r>
            <w:r>
              <w:rPr>
                <w:rFonts w:hint="eastAsia" w:ascii="仿宋_GB2312" w:hAnsi="仿宋_GB2312" w:eastAsia="仿宋_GB2312" w:cs="仿宋_GB2312"/>
                <w:color w:val="auto"/>
                <w:kern w:val="0"/>
                <w:sz w:val="20"/>
                <w:szCs w:val="20"/>
              </w:rPr>
              <w:t>公章，检测内容符合</w:t>
            </w:r>
            <w:r>
              <w:rPr>
                <w:rFonts w:hint="eastAsia" w:ascii="仿宋_GB2312" w:hAnsi="仿宋_GB2312" w:eastAsia="仿宋_GB2312" w:cs="仿宋_GB2312"/>
                <w:b w:val="0"/>
                <w:bCs w:val="0"/>
                <w:color w:val="auto"/>
                <w:sz w:val="20"/>
                <w:szCs w:val="20"/>
              </w:rPr>
              <w:t>[</w:t>
            </w:r>
            <w:r>
              <w:rPr>
                <w:rFonts w:hint="eastAsia" w:ascii="仿宋_GB2312" w:hAnsi="仿宋_GB2312" w:eastAsia="仿宋_GB2312" w:cs="仿宋_GB2312"/>
                <w:color w:val="auto"/>
                <w:kern w:val="0"/>
                <w:sz w:val="20"/>
                <w:szCs w:val="20"/>
              </w:rPr>
              <w:t>（包含</w:t>
            </w:r>
            <w:r>
              <w:rPr>
                <w:rFonts w:hint="eastAsia" w:ascii="仿宋_GB2312" w:hAnsi="仿宋_GB2312" w:eastAsia="仿宋_GB2312" w:cs="仿宋_GB2312"/>
                <w:color w:val="auto"/>
                <w:kern w:val="0"/>
                <w:sz w:val="20"/>
                <w:szCs w:val="20"/>
                <w:lang w:val="en-US" w:eastAsia="zh-CN"/>
              </w:rPr>
              <w:t>以下三项</w:t>
            </w:r>
            <w:r>
              <w:rPr>
                <w:rFonts w:hint="eastAsia" w:ascii="仿宋_GB2312" w:hAnsi="仿宋_GB2312" w:eastAsia="仿宋_GB2312" w:cs="仿宋_GB2312"/>
                <w:color w:val="auto"/>
                <w:kern w:val="0"/>
                <w:sz w:val="20"/>
                <w:szCs w:val="20"/>
              </w:rPr>
              <w:t>但不限于：1、</w:t>
            </w:r>
            <w:r>
              <w:rPr>
                <w:rFonts w:hint="eastAsia" w:ascii="仿宋_GB2312" w:hAnsi="仿宋_GB2312" w:eastAsia="仿宋_GB2312" w:cs="仿宋_GB2312"/>
                <w:color w:val="auto"/>
                <w:kern w:val="0"/>
                <w:sz w:val="20"/>
                <w:szCs w:val="20"/>
                <w:lang w:eastAsia="zh-CN"/>
              </w:rPr>
              <w:t>《木家具通用技术条件》（</w:t>
            </w:r>
            <w:r>
              <w:rPr>
                <w:rFonts w:hint="eastAsia" w:ascii="仿宋_GB2312" w:hAnsi="仿宋_GB2312" w:eastAsia="仿宋_GB2312" w:cs="仿宋_GB2312"/>
                <w:color w:val="auto"/>
                <w:kern w:val="0"/>
                <w:sz w:val="20"/>
                <w:szCs w:val="20"/>
              </w:rPr>
              <w:t>GB/T 3324-20</w:t>
            </w:r>
            <w:r>
              <w:rPr>
                <w:rFonts w:hint="eastAsia" w:ascii="仿宋_GB2312" w:hAnsi="仿宋_GB2312" w:eastAsia="仿宋_GB2312" w:cs="仿宋_GB2312"/>
                <w:color w:val="auto"/>
                <w:kern w:val="0"/>
                <w:sz w:val="20"/>
                <w:szCs w:val="20"/>
                <w:lang w:val="en-US" w:eastAsia="zh-CN"/>
              </w:rPr>
              <w:t>24</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；2、</w:t>
            </w:r>
            <w:r>
              <w:rPr>
                <w:rFonts w:hint="eastAsia" w:ascii="仿宋_GB2312" w:hAnsi="仿宋_GB2312" w:eastAsia="仿宋_GB2312" w:cs="仿宋_GB2312"/>
                <w:color w:val="auto"/>
                <w:kern w:val="0"/>
                <w:sz w:val="20"/>
                <w:szCs w:val="20"/>
                <w:lang w:eastAsia="zh-CN"/>
              </w:rPr>
              <w:t>《家具中有害物质限量》（GB 18584—20</w:t>
            </w:r>
            <w:bookmarkStart w:id="0" w:name="_GoBack"/>
            <w:bookmarkEnd w:id="0"/>
            <w:r>
              <w:rPr>
                <w:rFonts w:hint="eastAsia" w:ascii="仿宋_GB2312" w:hAnsi="仿宋_GB2312" w:eastAsia="仿宋_GB2312" w:cs="仿宋_GB2312"/>
                <w:color w:val="auto"/>
                <w:kern w:val="0"/>
                <w:sz w:val="20"/>
                <w:szCs w:val="20"/>
                <w:lang w:eastAsia="zh-CN"/>
              </w:rPr>
              <w:t>24）</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《绿色产品评价家具》（</w:t>
            </w:r>
            <w:r>
              <w:rPr>
                <w:rFonts w:hint="eastAsia" w:ascii="仿宋_GB2312" w:hAnsi="仿宋_GB2312" w:eastAsia="仿宋_GB2312" w:cs="仿宋_GB2312"/>
                <w:color w:val="auto"/>
                <w:sz w:val="20"/>
                <w:szCs w:val="20"/>
              </w:rPr>
              <w:t>GB/T 35607-20</w:t>
            </w:r>
            <w:r>
              <w:rPr>
                <w:rFonts w:hint="eastAsia" w:ascii="仿宋_GB2312" w:hAnsi="仿宋_GB2312" w:eastAsia="仿宋_GB2312" w:cs="仿宋_GB2312"/>
                <w:color w:val="auto"/>
                <w:sz w:val="20"/>
                <w:szCs w:val="20"/>
                <w:lang w:val="en-US" w:eastAsia="zh-CN"/>
              </w:rPr>
              <w:t>24</w:t>
            </w:r>
            <w:r>
              <w:rPr>
                <w:rFonts w:hint="eastAsia" w:ascii="仿宋_GB2312" w:hAnsi="仿宋_GB2312" w:eastAsia="仿宋_GB2312" w:cs="仿宋_GB2312"/>
                <w:color w:val="auto"/>
                <w:sz w:val="20"/>
                <w:szCs w:val="20"/>
              </w:rPr>
              <w:t>）]标准。未提供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1-2项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51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984</w:t>
            </w:r>
          </w:p>
        </w:tc>
        <w:tc>
          <w:tcPr>
            <w:tcW w:w="51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张</w:t>
            </w:r>
          </w:p>
        </w:tc>
      </w:tr>
      <w:tr>
        <w:tblPrEx>
          <w:tblCellMar>
            <w:top w:w="0" w:type="dxa"/>
            <w:left w:w="108" w:type="dxa"/>
            <w:bottom w:w="0" w:type="dxa"/>
            <w:right w:w="108" w:type="dxa"/>
          </w:tblCellMar>
        </w:tblPrEx>
        <w:trPr>
          <w:trHeight w:val="2345" w:hRule="atLeast"/>
          <w:jc w:val="center"/>
        </w:trPr>
        <w:tc>
          <w:tcPr>
            <w:tcW w:w="42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3</w:t>
            </w:r>
          </w:p>
        </w:tc>
        <w:tc>
          <w:tcPr>
            <w:tcW w:w="65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木制公寓柜</w:t>
            </w:r>
          </w:p>
        </w:tc>
        <w:tc>
          <w:tcPr>
            <w:tcW w:w="297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384935" cy="1367155"/>
                  <wp:effectExtent l="0" t="0" r="1905" b="4445"/>
                  <wp:docPr id="7"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true"/>
                          </pic:cNvPicPr>
                        </pic:nvPicPr>
                        <pic:blipFill>
                          <a:blip r:embed="rId6"/>
                          <a:stretch>
                            <a:fillRect/>
                          </a:stretch>
                        </pic:blipFill>
                        <pic:spPr>
                          <a:xfrm>
                            <a:off x="0" y="0"/>
                            <a:ext cx="1384935" cy="1367155"/>
                          </a:xfrm>
                          <a:prstGeom prst="rect">
                            <a:avLst/>
                          </a:prstGeom>
                          <a:noFill/>
                          <a:ln>
                            <a:noFill/>
                          </a:ln>
                        </pic:spPr>
                      </pic:pic>
                    </a:graphicData>
                  </a:graphic>
                </wp:inline>
              </w:drawing>
            </w:r>
          </w:p>
        </w:tc>
        <w:tc>
          <w:tcPr>
            <w:tcW w:w="4208" w:type="dxa"/>
            <w:tcBorders>
              <w:top w:val="single" w:color="000000" w:sz="4" w:space="0"/>
              <w:left w:val="single" w:color="000000" w:sz="4" w:space="0"/>
              <w:bottom w:val="single" w:color="000000" w:sz="4" w:space="0"/>
              <w:right w:val="single" w:color="000000" w:sz="4" w:space="0"/>
              <w:tl2br w:val="nil"/>
              <w:tr2bl w:val="nil"/>
            </w:tcBorders>
          </w:tcPr>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一、产品外观规格：</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w:t>
            </w:r>
            <w:r>
              <w:rPr>
                <w:rFonts w:hint="eastAsia" w:ascii="仿宋_GB2312" w:hAnsi="仿宋_GB2312" w:eastAsia="仿宋_GB2312" w:cs="仿宋_GB2312"/>
                <w:color w:val="auto"/>
                <w:sz w:val="20"/>
                <w:szCs w:val="20"/>
              </w:rPr>
              <w:t>1940mm×600mm×1690mm，</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b/>
                <w:color w:val="auto"/>
                <w:sz w:val="20"/>
                <w:szCs w:val="20"/>
              </w:rPr>
              <w:t>提供承诺书，</w:t>
            </w:r>
            <w:r>
              <w:rPr>
                <w:rFonts w:hint="eastAsia" w:ascii="仿宋_GB2312" w:hAnsi="仿宋_GB2312" w:eastAsia="仿宋_GB2312" w:cs="仿宋_GB2312"/>
                <w:b/>
                <w:color w:val="auto"/>
                <w:sz w:val="20"/>
                <w:szCs w:val="20"/>
                <w:lang w:val="en-US" w:eastAsia="zh-CN"/>
              </w:rPr>
              <w:t>格式自拟，</w:t>
            </w:r>
            <w:r>
              <w:rPr>
                <w:rFonts w:hint="eastAsia" w:ascii="仿宋_GB2312" w:hAnsi="仿宋_GB2312" w:eastAsia="仿宋_GB2312" w:cs="仿宋_GB2312"/>
                <w:b/>
                <w:color w:val="auto"/>
                <w:sz w:val="20"/>
                <w:szCs w:val="20"/>
              </w:rPr>
              <w:t>承诺内容：</w:t>
            </w:r>
            <w:r>
              <w:rPr>
                <w:rFonts w:hint="default" w:ascii="仿宋_GB2312" w:hAnsi="仿宋_GB2312" w:eastAsia="仿宋_GB2312" w:cs="仿宋_GB2312"/>
                <w:b/>
                <w:color w:val="auto"/>
                <w:sz w:val="20"/>
                <w:szCs w:val="20"/>
              </w:rPr>
              <w:t>若个别房间尺寸不一致，</w:t>
            </w:r>
            <w:r>
              <w:rPr>
                <w:rFonts w:hint="eastAsia" w:ascii="仿宋_GB2312" w:hAnsi="仿宋_GB2312" w:eastAsia="仿宋_GB2312" w:cs="仿宋_GB2312"/>
                <w:b/>
                <w:color w:val="auto"/>
                <w:sz w:val="20"/>
                <w:szCs w:val="20"/>
              </w:rPr>
              <w:t>具体以实际房间需求尺寸为准，且满足采购人要求</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二、材质要求：</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1、基材：ENF级多层胶合板，经过防虫、防腐等化学处理</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2、厚度：台面板厚度为≥25mm近色封边，背板密度板厚度≥5mm，其余板材厚度≥16mm；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3、覆面：三聚氰胺纸饰面，pvc封边；</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4、胶水：环保胶水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5、封边：封边应严密、平整、不允许有脱胶、表面有胶渍；采用机械热压工艺处理，薄木和其它材料覆面拼贴应严密、平整、不允许有脱胶、鼓泡、裂缝、压痕和划伤；</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6、配件部分：门铰采用翻板式隐蔽门铰，不锈钢挂衣杆直径为19*1.0mm；抽屉配抽底三节导轨。</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b w:val="0"/>
                <w:bCs/>
                <w:color w:val="auto"/>
                <w:sz w:val="20"/>
                <w:szCs w:val="20"/>
              </w:rPr>
              <w:t>提供国家认证认可监督管理委员会认可的检验检测机构</w:t>
            </w:r>
            <w:r>
              <w:rPr>
                <w:rFonts w:hint="eastAsia" w:ascii="仿宋_GB2312" w:hAnsi="仿宋_GB2312" w:eastAsia="仿宋_GB2312" w:cs="仿宋_GB2312"/>
                <w:b w:val="0"/>
                <w:bCs/>
                <w:color w:val="auto"/>
                <w:sz w:val="20"/>
                <w:szCs w:val="20"/>
                <w:lang w:val="en-US" w:eastAsia="zh-CN"/>
              </w:rPr>
              <w:t>出具的</w:t>
            </w:r>
            <w:r>
              <w:rPr>
                <w:rFonts w:hint="eastAsia" w:ascii="仿宋_GB2312" w:hAnsi="仿宋_GB2312" w:eastAsia="仿宋_GB2312" w:cs="仿宋_GB2312"/>
                <w:color w:val="auto"/>
                <w:sz w:val="20"/>
                <w:szCs w:val="20"/>
              </w:rPr>
              <w:t>“实木多层板（</w:t>
            </w:r>
            <w:r>
              <w:rPr>
                <w:rFonts w:hint="eastAsia" w:ascii="仿宋_GB2312" w:hAnsi="仿宋_GB2312" w:eastAsia="仿宋_GB2312" w:cs="仿宋_GB2312"/>
                <w:b w:val="0"/>
                <w:bCs w:val="0"/>
                <w:color w:val="auto"/>
                <w:sz w:val="20"/>
                <w:szCs w:val="20"/>
                <w:lang w:eastAsia="zh-CN"/>
              </w:rPr>
              <w:t>胶合板）”“胶水”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b w:val="0"/>
                <w:bCs w:val="0"/>
                <w:color w:val="auto"/>
                <w:sz w:val="20"/>
                <w:szCs w:val="20"/>
                <w:lang w:eastAsia="zh-CN"/>
              </w:rPr>
              <w:t>检测报告</w:t>
            </w:r>
            <w:r>
              <w:rPr>
                <w:rFonts w:hint="eastAsia" w:ascii="仿宋_GB2312" w:hAnsi="仿宋_GB2312" w:eastAsia="仿宋_GB2312" w:cs="仿宋_GB2312"/>
                <w:b w:val="0"/>
                <w:bCs w:val="0"/>
                <w:color w:val="auto"/>
                <w:sz w:val="20"/>
                <w:szCs w:val="20"/>
                <w:lang w:val="en-US" w:eastAsia="zh-CN"/>
              </w:rPr>
              <w:t>扫描</w:t>
            </w:r>
            <w:r>
              <w:rPr>
                <w:rFonts w:hint="eastAsia" w:ascii="仿宋_GB2312" w:hAnsi="仿宋_GB2312" w:eastAsia="仿宋_GB2312" w:cs="仿宋_GB2312"/>
                <w:b w:val="0"/>
                <w:bCs w:val="0"/>
                <w:color w:val="auto"/>
                <w:sz w:val="20"/>
                <w:szCs w:val="20"/>
                <w:lang w:eastAsia="zh-CN"/>
              </w:rPr>
              <w:t>件</w:t>
            </w:r>
            <w:r>
              <w:rPr>
                <w:rFonts w:hint="eastAsia" w:ascii="仿宋_GB2312" w:hAnsi="仿宋_GB2312" w:eastAsia="仿宋_GB2312" w:cs="仿宋_GB2312"/>
                <w:b w:val="0"/>
                <w:bCs w:val="0"/>
                <w:color w:val="auto"/>
                <w:sz w:val="20"/>
                <w:szCs w:val="20"/>
                <w:lang w:val="en-US" w:eastAsia="zh-CN"/>
              </w:rPr>
              <w:t>并</w:t>
            </w:r>
            <w:r>
              <w:rPr>
                <w:rFonts w:hint="eastAsia" w:ascii="仿宋_GB2312" w:hAnsi="仿宋_GB2312" w:eastAsia="仿宋_GB2312" w:cs="仿宋_GB2312"/>
                <w:b w:val="0"/>
                <w:bCs w:val="0"/>
                <w:color w:val="auto"/>
                <w:sz w:val="20"/>
                <w:szCs w:val="20"/>
                <w:lang w:eastAsia="zh-CN"/>
              </w:rPr>
              <w:t>加盖</w:t>
            </w:r>
            <w:r>
              <w:rPr>
                <w:rFonts w:hint="eastAsia" w:ascii="仿宋_GB2312" w:hAnsi="仿宋_GB2312" w:eastAsia="仿宋_GB2312" w:cs="仿宋_GB2312"/>
                <w:b w:val="0"/>
                <w:bCs w:val="0"/>
                <w:color w:val="auto"/>
                <w:sz w:val="20"/>
                <w:szCs w:val="20"/>
                <w:lang w:val="en-US" w:eastAsia="zh-CN"/>
              </w:rPr>
              <w:t>投标人</w:t>
            </w:r>
            <w:r>
              <w:rPr>
                <w:rFonts w:hint="eastAsia" w:ascii="仿宋_GB2312" w:hAnsi="仿宋_GB2312" w:eastAsia="仿宋_GB2312" w:cs="仿宋_GB2312"/>
                <w:b w:val="0"/>
                <w:bCs w:val="0"/>
                <w:color w:val="auto"/>
                <w:sz w:val="20"/>
                <w:szCs w:val="20"/>
                <w:lang w:eastAsia="zh-CN"/>
              </w:rPr>
              <w:t>公章，检测内容符合</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b w:val="0"/>
                <w:bCs w:val="0"/>
                <w:color w:val="auto"/>
                <w:sz w:val="20"/>
                <w:szCs w:val="20"/>
                <w:lang w:eastAsia="zh-CN"/>
              </w:rPr>
              <w:t>包含</w:t>
            </w:r>
            <w:r>
              <w:rPr>
                <w:rFonts w:hint="eastAsia" w:ascii="仿宋_GB2312" w:hAnsi="仿宋_GB2312" w:eastAsia="仿宋_GB2312" w:cs="仿宋_GB2312"/>
                <w:b w:val="0"/>
                <w:bCs w:val="0"/>
                <w:color w:val="auto"/>
                <w:sz w:val="20"/>
                <w:szCs w:val="20"/>
                <w:lang w:val="en-US" w:eastAsia="zh-CN"/>
              </w:rPr>
              <w:t>以下四项</w:t>
            </w:r>
            <w:r>
              <w:rPr>
                <w:rFonts w:hint="eastAsia" w:ascii="仿宋_GB2312" w:hAnsi="仿宋_GB2312" w:eastAsia="仿宋_GB2312" w:cs="仿宋_GB2312"/>
                <w:b w:val="0"/>
                <w:bCs w:val="0"/>
                <w:color w:val="auto"/>
                <w:sz w:val="20"/>
                <w:szCs w:val="20"/>
                <w:lang w:eastAsia="zh-CN"/>
              </w:rPr>
              <w:t>但不限于：1、《绿色产品评价 人</w:t>
            </w:r>
            <w:r>
              <w:rPr>
                <w:rFonts w:hint="eastAsia" w:ascii="仿宋_GB2312" w:hAnsi="仿宋_GB2312" w:eastAsia="仿宋_GB2312" w:cs="仿宋_GB2312"/>
                <w:color w:val="auto"/>
                <w:sz w:val="20"/>
                <w:szCs w:val="20"/>
                <w:lang w:eastAsia="zh-CN"/>
              </w:rPr>
              <w:t>造板和木质地板》（</w:t>
            </w:r>
            <w:r>
              <w:rPr>
                <w:rFonts w:hint="eastAsia" w:ascii="仿宋_GB2312" w:hAnsi="仿宋_GB2312" w:eastAsia="仿宋_GB2312" w:cs="仿宋_GB2312"/>
                <w:color w:val="auto"/>
                <w:sz w:val="20"/>
                <w:szCs w:val="20"/>
              </w:rPr>
              <w:t>GB/T 35601-20</w:t>
            </w:r>
            <w:r>
              <w:rPr>
                <w:rFonts w:hint="eastAsia" w:ascii="仿宋_GB2312" w:hAnsi="仿宋_GB2312" w:eastAsia="仿宋_GB2312" w:cs="仿宋_GB2312"/>
                <w:color w:val="auto"/>
                <w:sz w:val="20"/>
                <w:szCs w:val="20"/>
                <w:lang w:val="en-US" w:eastAsia="zh-CN"/>
              </w:rPr>
              <w:t>24</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；2、</w:t>
            </w:r>
            <w:r>
              <w:rPr>
                <w:rFonts w:hint="eastAsia" w:ascii="仿宋_GB2312" w:hAnsi="仿宋_GB2312" w:eastAsia="仿宋_GB2312" w:cs="仿宋_GB2312"/>
                <w:color w:val="auto"/>
                <w:sz w:val="20"/>
                <w:szCs w:val="20"/>
                <w:lang w:eastAsia="zh-CN"/>
              </w:rPr>
              <w:t>《室内装饰装修材料人造</w:t>
            </w:r>
            <w:r>
              <w:rPr>
                <w:rFonts w:hint="eastAsia" w:ascii="仿宋_GB2312" w:hAnsi="仿宋_GB2312" w:eastAsia="仿宋_GB2312" w:cs="仿宋_GB2312"/>
                <w:b w:val="0"/>
                <w:bCs w:val="0"/>
                <w:color w:val="auto"/>
                <w:sz w:val="20"/>
                <w:szCs w:val="20"/>
                <w:lang w:eastAsia="zh-CN"/>
              </w:rPr>
              <w:t>板及其制品中甲醛释放限量》（</w:t>
            </w:r>
            <w:r>
              <w:rPr>
                <w:rFonts w:hint="eastAsia" w:ascii="仿宋_GB2312" w:hAnsi="仿宋_GB2312" w:eastAsia="仿宋_GB2312" w:cs="仿宋_GB2312"/>
                <w:b w:val="0"/>
                <w:bCs w:val="0"/>
                <w:color w:val="auto"/>
                <w:sz w:val="20"/>
                <w:szCs w:val="20"/>
              </w:rPr>
              <w:t>GB 18580-2017</w:t>
            </w:r>
            <w:r>
              <w:rPr>
                <w:rFonts w:hint="eastAsia" w:ascii="仿宋_GB2312" w:hAnsi="仿宋_GB2312" w:eastAsia="仿宋_GB2312" w:cs="仿宋_GB2312"/>
                <w:b w:val="0"/>
                <w:bCs w:val="0"/>
                <w:color w:val="auto"/>
                <w:sz w:val="20"/>
                <w:szCs w:val="20"/>
                <w:lang w:eastAsia="zh-CN"/>
              </w:rPr>
              <w:t>）</w:t>
            </w:r>
            <w:r>
              <w:rPr>
                <w:rFonts w:hint="eastAsia" w:ascii="仿宋_GB2312" w:hAnsi="仿宋_GB2312" w:eastAsia="仿宋_GB2312" w:cs="仿宋_GB2312"/>
                <w:b w:val="0"/>
                <w:bCs w:val="0"/>
                <w:color w:val="auto"/>
                <w:sz w:val="20"/>
                <w:szCs w:val="20"/>
              </w:rPr>
              <w:t>；3</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《人造板及其制品甲醛释放量分级》（</w:t>
            </w:r>
            <w:r>
              <w:rPr>
                <w:rFonts w:hint="eastAsia" w:ascii="仿宋_GB2312" w:hAnsi="仿宋_GB2312" w:eastAsia="仿宋_GB2312" w:cs="仿宋_GB2312"/>
                <w:color w:val="auto"/>
                <w:sz w:val="20"/>
                <w:szCs w:val="20"/>
              </w:rPr>
              <w:t>GB/T 39600-2021</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标准）</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4、</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标准。未提供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1-6项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51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984</w:t>
            </w:r>
          </w:p>
        </w:tc>
        <w:tc>
          <w:tcPr>
            <w:tcW w:w="51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个</w:t>
            </w:r>
          </w:p>
        </w:tc>
      </w:tr>
      <w:tr>
        <w:tblPrEx>
          <w:tblCellMar>
            <w:top w:w="0" w:type="dxa"/>
            <w:left w:w="108" w:type="dxa"/>
            <w:bottom w:w="0" w:type="dxa"/>
            <w:right w:w="108" w:type="dxa"/>
          </w:tblCellMar>
        </w:tblPrEx>
        <w:trPr>
          <w:trHeight w:val="355" w:hRule="atLeast"/>
          <w:jc w:val="center"/>
        </w:trPr>
        <w:tc>
          <w:tcPr>
            <w:tcW w:w="420"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4</w:t>
            </w:r>
          </w:p>
        </w:tc>
        <w:tc>
          <w:tcPr>
            <w:tcW w:w="651"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公寓椅</w:t>
            </w:r>
          </w:p>
        </w:tc>
        <w:tc>
          <w:tcPr>
            <w:tcW w:w="2979"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713740" cy="988695"/>
                  <wp:effectExtent l="0" t="0" r="2540" b="1905"/>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7"/>
                          <a:stretch>
                            <a:fillRect/>
                          </a:stretch>
                        </pic:blipFill>
                        <pic:spPr>
                          <a:xfrm>
                            <a:off x="0" y="0"/>
                            <a:ext cx="713740" cy="988695"/>
                          </a:xfrm>
                          <a:prstGeom prst="rect">
                            <a:avLst/>
                          </a:prstGeom>
                          <a:noFill/>
                          <a:ln>
                            <a:noFill/>
                          </a:ln>
                        </pic:spPr>
                      </pic:pic>
                    </a:graphicData>
                  </a:graphic>
                </wp:inline>
              </w:drawing>
            </w:r>
          </w:p>
        </w:tc>
        <w:tc>
          <w:tcPr>
            <w:tcW w:w="4208" w:type="dxa"/>
            <w:tcBorders>
              <w:top w:val="single" w:color="000000" w:sz="4" w:space="0"/>
              <w:left w:val="single" w:color="000000" w:sz="4" w:space="0"/>
              <w:bottom w:val="single" w:color="000000" w:sz="4" w:space="0"/>
              <w:right w:val="single" w:color="000000" w:sz="4" w:space="0"/>
              <w:tl2br w:val="nil"/>
              <w:tr2bl w:val="nil"/>
            </w:tcBorders>
            <w:shd w:val="clear" w:color="auto" w:fill="auto"/>
          </w:tcPr>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1、产品规格：宽380mm*深390mm*高860mm，整体规格允许偏差±10mm，质量≥5.5kg。</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2、坐垫尺寸≥395mm*370mm，靠背尺寸≥405mm*350mm，椅坐靠板采用多层板贴皮</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≤0.025mg/m³，椅架采用</w:t>
            </w:r>
            <w:r>
              <w:rPr>
                <w:rFonts w:hint="eastAsia" w:ascii="仿宋_GB2312" w:hAnsi="仿宋_GB2312" w:eastAsia="仿宋_GB2312" w:cs="仿宋_GB2312"/>
                <w:color w:val="auto"/>
                <w:sz w:val="20"/>
                <w:szCs w:val="20"/>
                <w:lang w:val="en-US" w:eastAsia="zh-CN"/>
              </w:rPr>
              <w:t>符合</w:t>
            </w:r>
            <w:r>
              <w:rPr>
                <w:rFonts w:hint="eastAsia" w:ascii="仿宋_GB2312" w:hAnsi="仿宋_GB2312" w:eastAsia="仿宋_GB2312" w:cs="仿宋_GB2312"/>
                <w:color w:val="auto"/>
                <w:sz w:val="20"/>
                <w:szCs w:val="20"/>
              </w:rPr>
              <w:t>《金属家具通用技术条件》（GB/T 3325-2024）</w:t>
            </w:r>
            <w:r>
              <w:rPr>
                <w:rFonts w:hint="eastAsia" w:ascii="仿宋_GB2312" w:hAnsi="仿宋_GB2312" w:eastAsia="仿宋_GB2312" w:cs="仿宋_GB2312"/>
                <w:color w:val="auto"/>
                <w:sz w:val="20"/>
                <w:szCs w:val="20"/>
                <w:lang w:val="en-US" w:eastAsia="zh-CN"/>
              </w:rPr>
              <w:t>的</w:t>
            </w:r>
            <w:r>
              <w:rPr>
                <w:rFonts w:hint="eastAsia" w:ascii="仿宋_GB2312" w:hAnsi="仿宋_GB2312" w:eastAsia="仿宋_GB2312" w:cs="仿宋_GB2312"/>
                <w:color w:val="auto"/>
                <w:sz w:val="20"/>
                <w:szCs w:val="20"/>
              </w:rPr>
              <w:t>钢架，圆管 22mm*≥1.2mm 厚；</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3、喷涂脚架，表面经酸洗、磷化等防锈处理，流水线静电喷涂，具有耐磨，防腐，抗老化等性能；</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4、脚垫：采用配套的耐磨塑料材质，附着力强，防滑性好，不会刮花木地板；紧固体采用耐落螺丝。</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b w:val="0"/>
                <w:bCs/>
                <w:color w:val="auto"/>
                <w:sz w:val="20"/>
                <w:szCs w:val="20"/>
              </w:rPr>
              <w:t>提供国家认证认可监督管理委员会认可的检验检测机构</w:t>
            </w:r>
            <w:r>
              <w:rPr>
                <w:rFonts w:hint="eastAsia" w:ascii="仿宋_GB2312" w:hAnsi="仿宋_GB2312" w:eastAsia="仿宋_GB2312" w:cs="仿宋_GB2312"/>
                <w:color w:val="auto"/>
                <w:sz w:val="20"/>
                <w:szCs w:val="20"/>
              </w:rPr>
              <w:t>出具的“学生公寓椅”</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的检测报告</w:t>
            </w:r>
            <w:r>
              <w:rPr>
                <w:rFonts w:hint="eastAsia" w:ascii="仿宋_GB2312" w:hAnsi="仿宋_GB2312" w:eastAsia="仿宋_GB2312" w:cs="仿宋_GB2312"/>
                <w:color w:val="auto"/>
                <w:sz w:val="20"/>
                <w:szCs w:val="20"/>
                <w:lang w:val="en-US" w:eastAsia="zh-CN"/>
              </w:rPr>
              <w:t>扫描</w:t>
            </w:r>
            <w:r>
              <w:rPr>
                <w:rFonts w:hint="eastAsia" w:ascii="仿宋_GB2312" w:hAnsi="仿宋_GB2312" w:eastAsia="仿宋_GB2312" w:cs="仿宋_GB2312"/>
                <w:color w:val="auto"/>
                <w:sz w:val="20"/>
                <w:szCs w:val="20"/>
              </w:rPr>
              <w:t>件</w:t>
            </w:r>
            <w:r>
              <w:rPr>
                <w:rFonts w:hint="eastAsia" w:ascii="仿宋_GB2312" w:hAnsi="仿宋_GB2312" w:eastAsia="仿宋_GB2312" w:cs="仿宋_GB2312"/>
                <w:color w:val="auto"/>
                <w:sz w:val="20"/>
                <w:szCs w:val="20"/>
                <w:lang w:val="en-US" w:eastAsia="zh-CN"/>
              </w:rPr>
              <w:t>并</w:t>
            </w:r>
            <w:r>
              <w:rPr>
                <w:rFonts w:hint="eastAsia" w:ascii="仿宋_GB2312" w:hAnsi="仿宋_GB2312" w:eastAsia="仿宋_GB2312" w:cs="仿宋_GB2312"/>
                <w:color w:val="auto"/>
                <w:sz w:val="20"/>
                <w:szCs w:val="20"/>
              </w:rPr>
              <w:t>加盖</w:t>
            </w:r>
            <w:r>
              <w:rPr>
                <w:rFonts w:hint="eastAsia" w:ascii="仿宋_GB2312" w:hAnsi="仿宋_GB2312" w:eastAsia="仿宋_GB2312" w:cs="仿宋_GB2312"/>
                <w:color w:val="auto"/>
                <w:sz w:val="20"/>
                <w:szCs w:val="20"/>
                <w:lang w:val="en-US" w:eastAsia="zh-CN"/>
              </w:rPr>
              <w:t>投标人</w:t>
            </w:r>
            <w:r>
              <w:rPr>
                <w:rFonts w:hint="eastAsia" w:ascii="仿宋_GB2312" w:hAnsi="仿宋_GB2312" w:eastAsia="仿宋_GB2312" w:cs="仿宋_GB2312"/>
                <w:color w:val="auto"/>
                <w:sz w:val="20"/>
                <w:szCs w:val="20"/>
              </w:rPr>
              <w:t>公章，检测内容符合</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包含但不限于：1、</w:t>
            </w:r>
            <w:r>
              <w:rPr>
                <w:rFonts w:hint="eastAsia" w:ascii="仿宋_GB2312" w:hAnsi="仿宋_GB2312" w:eastAsia="仿宋_GB2312" w:cs="仿宋_GB2312"/>
                <w:color w:val="auto"/>
                <w:sz w:val="20"/>
                <w:szCs w:val="20"/>
                <w:lang w:eastAsia="zh-CN"/>
              </w:rPr>
              <w:t>《室内装饰装修材料人造板及其制品中甲醛释放限量》（</w:t>
            </w:r>
            <w:r>
              <w:rPr>
                <w:rFonts w:hint="eastAsia" w:ascii="仿宋_GB2312" w:hAnsi="仿宋_GB2312" w:eastAsia="仿宋_GB2312" w:cs="仿宋_GB2312"/>
                <w:color w:val="auto"/>
                <w:sz w:val="20"/>
                <w:szCs w:val="20"/>
              </w:rPr>
              <w:t>GB 18580-2017</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《人造板及其制品甲醛释放量分级》（</w:t>
            </w:r>
            <w:r>
              <w:rPr>
                <w:rFonts w:hint="eastAsia" w:ascii="仿宋_GB2312" w:hAnsi="仿宋_GB2312" w:eastAsia="仿宋_GB2312" w:cs="仿宋_GB2312"/>
                <w:color w:val="auto"/>
                <w:sz w:val="20"/>
                <w:szCs w:val="20"/>
              </w:rPr>
              <w:t>GB/T 39600-2021</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标准。未提供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1-4项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518"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984</w:t>
            </w:r>
          </w:p>
        </w:tc>
        <w:tc>
          <w:tcPr>
            <w:tcW w:w="512"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把</w:t>
            </w:r>
          </w:p>
        </w:tc>
      </w:tr>
      <w:tr>
        <w:tblPrEx>
          <w:tblCellMar>
            <w:top w:w="0" w:type="dxa"/>
            <w:left w:w="108" w:type="dxa"/>
            <w:bottom w:w="0" w:type="dxa"/>
            <w:right w:w="108" w:type="dxa"/>
          </w:tblCellMar>
        </w:tblPrEx>
        <w:trPr>
          <w:trHeight w:val="355" w:hRule="atLeast"/>
          <w:jc w:val="center"/>
        </w:trPr>
        <w:tc>
          <w:tcPr>
            <w:tcW w:w="9288" w:type="dxa"/>
            <w:gridSpan w:val="6"/>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lang w:eastAsia="zh-CN"/>
              </w:rPr>
              <w:t>注：</w:t>
            </w:r>
            <w:r>
              <w:rPr>
                <w:rFonts w:ascii="仿宋_GB2312" w:hAnsi="仿宋_GB2312" w:eastAsia="仿宋_GB2312" w:cs="仿宋_GB2312"/>
                <w:color w:val="auto"/>
              </w:rPr>
              <w:t>技术参数中尺寸规格等参数未明确允差的按±2%进行允差。</w:t>
            </w:r>
          </w:p>
        </w:tc>
      </w:tr>
    </w:tbl>
    <w:p>
      <w:pPr>
        <w:keepNext w:val="0"/>
        <w:keepLines w:val="0"/>
        <w:pageBreakBefore w:val="0"/>
        <w:widowControl w:val="0"/>
        <w:kinsoku/>
        <w:wordWrap/>
        <w:overflowPunct/>
        <w:topLinePunct w:val="0"/>
        <w:autoSpaceDE/>
        <w:autoSpaceDN/>
        <w:bidi w:val="0"/>
        <w:adjustRightInd/>
        <w:snapToGrid/>
        <w:spacing w:after="0"/>
        <w:ind w:left="0" w:leftChars="0" w:right="0" w:rightChars="0" w:firstLine="0" w:firstLineChars="0"/>
        <w:jc w:val="center"/>
        <w:textAlignment w:val="auto"/>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drawing>
          <wp:inline distT="0" distB="0" distL="114300" distR="114300">
            <wp:extent cx="4481195" cy="2520315"/>
            <wp:effectExtent l="0" t="0" r="14605" b="9525"/>
            <wp:docPr id="9" name="图片 5" descr="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5" descr="1"/>
                    <pic:cNvPicPr>
                      <a:picLocks noChangeAspect="true"/>
                    </pic:cNvPicPr>
                  </pic:nvPicPr>
                  <pic:blipFill>
                    <a:blip r:embed="rId8"/>
                    <a:stretch>
                      <a:fillRect/>
                    </a:stretch>
                  </pic:blipFill>
                  <pic:spPr>
                    <a:xfrm>
                      <a:off x="0" y="0"/>
                      <a:ext cx="4481195" cy="2520315"/>
                    </a:xfrm>
                    <a:prstGeom prst="rect">
                      <a:avLst/>
                    </a:prstGeom>
                    <a:noFill/>
                    <a:ln>
                      <a:noFill/>
                    </a:ln>
                  </pic:spPr>
                </pic:pic>
              </a:graphicData>
            </a:graphic>
          </wp:inline>
        </w:drawing>
      </w:r>
    </w:p>
    <w:p>
      <w:pPr>
        <w:widowControl w:val="0"/>
        <w:spacing w:after="0" w:line="520" w:lineRule="exact"/>
        <w:ind w:left="0" w:leftChars="0" w:right="0" w:rightChars="0"/>
        <w:jc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参考示意图</w:t>
      </w:r>
    </w:p>
    <w:p>
      <w:pPr>
        <w:widowControl w:val="0"/>
        <w:spacing w:after="0" w:line="52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说明：</w:t>
      </w:r>
    </w:p>
    <w:p>
      <w:pPr>
        <w:widowControl w:val="0"/>
        <w:spacing w:after="0" w:line="52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一、组合家具所述的1套（1间宿舍采购2套，共246间宿舍）包含：</w:t>
      </w:r>
    </w:p>
    <w:p>
      <w:pPr>
        <w:widowControl/>
        <w:spacing w:line="520" w:lineRule="exact"/>
        <w:textAlignment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1.二连2人位侧梯公寓钢架床</w:t>
      </w:r>
      <w:r>
        <w:rPr>
          <w:rFonts w:hint="eastAsia" w:ascii="仿宋_GB2312" w:hAnsi="仿宋_GB2312" w:eastAsia="仿宋_GB2312" w:cs="仿宋_GB2312"/>
          <w:color w:val="000000"/>
          <w:kern w:val="0"/>
          <w:sz w:val="20"/>
          <w:szCs w:val="20"/>
          <w:lang w:val="en-US" w:eastAsia="zh-CN"/>
        </w:rPr>
        <w:t>1张</w:t>
      </w:r>
      <w:r>
        <w:rPr>
          <w:rFonts w:hint="eastAsia" w:ascii="仿宋_GB2312" w:hAnsi="仿宋_GB2312" w:eastAsia="仿宋_GB2312" w:cs="仿宋_GB2312"/>
          <w:color w:val="000000"/>
          <w:kern w:val="0"/>
          <w:sz w:val="20"/>
          <w:szCs w:val="20"/>
        </w:rPr>
        <w:t>（有蚊帐架）；</w:t>
      </w:r>
    </w:p>
    <w:p>
      <w:pPr>
        <w:widowControl w:val="0"/>
        <w:spacing w:before="0" w:after="0" w:line="520" w:lineRule="exact"/>
        <w:jc w:val="left"/>
        <w:outlineLvl w:val="2"/>
        <w:rPr>
          <w:rFonts w:hint="eastAsia" w:ascii="仿宋_GB2312" w:hAnsi="仿宋_GB2312" w:eastAsia="仿宋_GB2312" w:cs="仿宋_GB2312"/>
          <w:b w:val="0"/>
          <w:bCs/>
          <w:kern w:val="2"/>
          <w:sz w:val="20"/>
          <w:szCs w:val="20"/>
          <w:lang w:val="en-US" w:eastAsia="zh-CN" w:bidi="ar-SA"/>
        </w:rPr>
      </w:pPr>
      <w:r>
        <w:rPr>
          <w:rFonts w:hint="eastAsia" w:ascii="仿宋_GB2312" w:hAnsi="仿宋_GB2312" w:eastAsia="仿宋_GB2312" w:cs="仿宋_GB2312"/>
          <w:b w:val="0"/>
          <w:bCs/>
          <w:color w:val="000000"/>
          <w:kern w:val="0"/>
          <w:sz w:val="20"/>
          <w:szCs w:val="20"/>
          <w:lang w:val="en-US" w:eastAsia="zh-CN" w:bidi="ar-SA"/>
        </w:rPr>
        <w:t>2.床板、床垫各2张；</w:t>
      </w:r>
    </w:p>
    <w:p>
      <w:pPr>
        <w:spacing w:line="520" w:lineRule="exact"/>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3.木制公寓柜</w:t>
      </w:r>
      <w:r>
        <w:rPr>
          <w:rFonts w:hint="eastAsia" w:ascii="仿宋_GB2312" w:hAnsi="仿宋_GB2312" w:eastAsia="仿宋_GB2312" w:cs="仿宋_GB2312"/>
          <w:color w:val="000000"/>
          <w:kern w:val="0"/>
          <w:sz w:val="20"/>
          <w:szCs w:val="20"/>
          <w:lang w:val="en-US" w:eastAsia="zh-CN"/>
        </w:rPr>
        <w:t>2</w:t>
      </w:r>
      <w:r>
        <w:rPr>
          <w:rFonts w:hint="eastAsia" w:ascii="仿宋_GB2312" w:hAnsi="仿宋_GB2312" w:eastAsia="仿宋_GB2312" w:cs="仿宋_GB2312"/>
          <w:color w:val="000000"/>
          <w:kern w:val="0"/>
          <w:sz w:val="20"/>
          <w:szCs w:val="20"/>
        </w:rPr>
        <w:t>个；</w:t>
      </w:r>
    </w:p>
    <w:p>
      <w:pPr>
        <w:widowControl w:val="0"/>
        <w:spacing w:before="0" w:after="0" w:line="520" w:lineRule="exact"/>
        <w:jc w:val="left"/>
        <w:outlineLvl w:val="2"/>
        <w:rPr>
          <w:rFonts w:hint="eastAsia" w:ascii="仿宋_GB2312" w:hAnsi="仿宋_GB2312" w:eastAsia="仿宋_GB2312" w:cs="仿宋_GB2312"/>
          <w:b/>
          <w:bCs/>
          <w:kern w:val="2"/>
          <w:sz w:val="20"/>
          <w:szCs w:val="20"/>
          <w:lang w:val="en-US" w:eastAsia="zh-CN" w:bidi="ar-SA"/>
        </w:rPr>
      </w:pPr>
      <w:r>
        <w:rPr>
          <w:rFonts w:hint="eastAsia" w:ascii="仿宋_GB2312" w:hAnsi="仿宋_GB2312" w:eastAsia="仿宋_GB2312" w:cs="仿宋_GB2312"/>
          <w:b w:val="0"/>
          <w:bCs/>
          <w:color w:val="000000"/>
          <w:kern w:val="0"/>
          <w:sz w:val="20"/>
          <w:szCs w:val="20"/>
          <w:lang w:val="en-US" w:eastAsia="zh-CN" w:bidi="ar-SA"/>
        </w:rPr>
        <w:t>4.公寓椅2把。</w:t>
      </w:r>
    </w:p>
    <w:p>
      <w:pPr>
        <w:pStyle w:val="5"/>
        <w:keepNext w:val="0"/>
        <w:keepLines w:val="0"/>
        <w:pageBreakBefore w:val="0"/>
        <w:widowControl/>
        <w:kinsoku/>
        <w:wordWrap/>
        <w:overflowPunct/>
        <w:topLinePunct w:val="0"/>
        <w:autoSpaceDE/>
        <w:autoSpaceDN/>
        <w:bidi w:val="0"/>
        <w:adjustRightInd/>
        <w:snapToGrid/>
        <w:jc w:val="left"/>
        <w:textAlignment w:val="auto"/>
        <w:rPr>
          <w:rFonts w:hint="eastAsia" w:ascii="仿宋_GB2312" w:hAnsi="仿宋_GB2312" w:eastAsia="仿宋_GB2312" w:cs="仿宋_GB2312"/>
          <w:color w:val="FF0000"/>
          <w:lang w:eastAsia="zh-CN"/>
        </w:rPr>
      </w:pPr>
      <w:r>
        <w:rPr>
          <w:rFonts w:hint="eastAsia" w:ascii="仿宋_GB2312" w:hAnsi="仿宋_GB2312" w:eastAsia="仿宋_GB2312" w:cs="仿宋_GB2312"/>
          <w:color w:val="FF0000"/>
          <w:lang w:eastAsia="zh-CN"/>
        </w:rPr>
        <w:t>二、该产品为核心产品</w:t>
      </w: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F0262"/>
    <w:rsid w:val="07131EBF"/>
    <w:rsid w:val="0DB641F3"/>
    <w:rsid w:val="148F641E"/>
    <w:rsid w:val="178A6137"/>
    <w:rsid w:val="1CD654DC"/>
    <w:rsid w:val="1E0949E0"/>
    <w:rsid w:val="1F4E4F34"/>
    <w:rsid w:val="207D7F1A"/>
    <w:rsid w:val="22FA6EEE"/>
    <w:rsid w:val="24D61E6B"/>
    <w:rsid w:val="28E15521"/>
    <w:rsid w:val="29D551AC"/>
    <w:rsid w:val="2EAB1262"/>
    <w:rsid w:val="305D5DD5"/>
    <w:rsid w:val="32AC7DB5"/>
    <w:rsid w:val="34AA5361"/>
    <w:rsid w:val="35E0728C"/>
    <w:rsid w:val="364F0262"/>
    <w:rsid w:val="3898050C"/>
    <w:rsid w:val="39A6259B"/>
    <w:rsid w:val="39B822CE"/>
    <w:rsid w:val="3FF74329"/>
    <w:rsid w:val="48FC3F85"/>
    <w:rsid w:val="4B1A4836"/>
    <w:rsid w:val="4B3E312F"/>
    <w:rsid w:val="4B4955F5"/>
    <w:rsid w:val="52826E13"/>
    <w:rsid w:val="56F30EEB"/>
    <w:rsid w:val="5BDB7642"/>
    <w:rsid w:val="5F927999"/>
    <w:rsid w:val="61371BA7"/>
    <w:rsid w:val="61A0428D"/>
    <w:rsid w:val="622215D0"/>
    <w:rsid w:val="6AFE161B"/>
    <w:rsid w:val="6E4B4F1B"/>
    <w:rsid w:val="6F1867AB"/>
    <w:rsid w:val="6FD73468"/>
    <w:rsid w:val="70C53A64"/>
    <w:rsid w:val="75330480"/>
    <w:rsid w:val="774DF2FB"/>
    <w:rsid w:val="775DA205"/>
    <w:rsid w:val="785C7CED"/>
    <w:rsid w:val="7DDE5FC4"/>
    <w:rsid w:val="7DF3C4C5"/>
    <w:rsid w:val="7EAD077A"/>
    <w:rsid w:val="7EFB200E"/>
    <w:rsid w:val="7EFB40DC"/>
    <w:rsid w:val="7FD5BFE5"/>
    <w:rsid w:val="BABEAB82"/>
    <w:rsid w:val="BDB7EDB3"/>
    <w:rsid w:val="BFF76638"/>
    <w:rsid w:val="D6BF9703"/>
    <w:rsid w:val="F5DABB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3047</Words>
  <Characters>3697</Characters>
  <Lines>0</Lines>
  <Paragraphs>0</Paragraphs>
  <TotalTime>39</TotalTime>
  <ScaleCrop>false</ScaleCrop>
  <LinksUpToDate>false</LinksUpToDate>
  <CharactersWithSpaces>3724</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2025-07-04T13:29:00Z</dcterms:created>
  <dc:creator>01</dc:creator>
  <cp:lastModifiedBy>greatwall</cp:lastModifiedBy>
  <cp:lastPrinted>2025-07-26T11:13:00Z</cp:lastPrinted>
  <dcterms:modified xsi:type="dcterms:W3CDTF">2025-08-01T15:32:46Z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6931373C824B468B9CB353FEB4FB2744_13</vt:lpwstr>
  </property>
  <property fmtid="{D5CDD505-2E9C-101B-9397-08002B2CF9AE}" pid="4" name="KSOTemplateDocerSaveRecord">
    <vt:lpwstr>eyJoZGlkIjoiYTdlZGY4M2NhNjFhODE5ZmM3ODM3MjZhYzE2NmI1ZWYiLCJ1c2VySWQiOiI0ODg1ODE2ODgifQ==</vt:lpwstr>
  </property>
</Properties>
</file>