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b/>
          <w:bCs/>
          <w:color w:val="auto"/>
          <w:sz w:val="44"/>
          <w:szCs w:val="44"/>
          <w:highlight w:val="none"/>
        </w:rPr>
        <w:t>第五章   合同文本</w:t>
      </w:r>
    </w:p>
    <w:p>
      <w:pPr>
        <w:rPr>
          <w:rFonts w:ascii="楷体" w:hAnsi="楷体" w:eastAsia="楷体"/>
          <w:color w:val="auto"/>
          <w:sz w:val="24"/>
          <w:highlight w:val="none"/>
          <w:u w:val="single"/>
        </w:rPr>
      </w:pPr>
      <w:r>
        <w:rPr>
          <w:rFonts w:hint="eastAsia" w:ascii="宋体" w:hAnsi="宋体"/>
          <w:b/>
          <w:color w:val="auto"/>
          <w:sz w:val="30"/>
          <w:szCs w:val="30"/>
          <w:highlight w:val="none"/>
        </w:rPr>
        <w:t>合同编号：</w:t>
      </w:r>
      <w:r>
        <w:rPr>
          <w:rFonts w:ascii="楷体" w:hAnsi="楷体" w:eastAsia="楷体"/>
          <w:color w:val="auto"/>
          <w:sz w:val="24"/>
          <w:highlight w:val="none"/>
          <w:u w:val="single"/>
        </w:rPr>
        <w:t xml:space="preserve">        </w:t>
      </w:r>
      <w:r>
        <w:rPr>
          <w:rFonts w:hint="eastAsia" w:ascii="楷体" w:hAnsi="楷体" w:eastAsia="楷体"/>
          <w:color w:val="auto"/>
          <w:sz w:val="24"/>
          <w:highlight w:val="none"/>
          <w:u w:val="single"/>
        </w:rPr>
        <w:t xml:space="preserve">   </w:t>
      </w:r>
    </w:p>
    <w:p>
      <w:pPr>
        <w:spacing w:line="360" w:lineRule="auto"/>
        <w:jc w:val="left"/>
        <w:rPr>
          <w:rFonts w:ascii="宋体" w:hAnsi="宋体"/>
          <w:b/>
          <w:color w:val="auto"/>
          <w:sz w:val="30"/>
          <w:szCs w:val="30"/>
          <w:highlight w:val="none"/>
        </w:rPr>
      </w:pPr>
    </w:p>
    <w:p>
      <w:pPr>
        <w:spacing w:line="360" w:lineRule="auto"/>
        <w:ind w:right="40" w:firstLine="4350" w:firstLineChars="1450"/>
        <w:jc w:val="left"/>
        <w:rPr>
          <w:rFonts w:ascii="宋体" w:hAnsi="宋体" w:cs="宋体"/>
          <w:color w:val="auto"/>
          <w:sz w:val="30"/>
          <w:szCs w:val="30"/>
          <w:highlight w:val="none"/>
        </w:rPr>
      </w:pPr>
    </w:p>
    <w:p>
      <w:pPr>
        <w:spacing w:line="360" w:lineRule="auto"/>
        <w:ind w:right="40" w:firstLine="4350" w:firstLineChars="1450"/>
        <w:jc w:val="left"/>
        <w:rPr>
          <w:rFonts w:ascii="宋体" w:hAnsi="宋体" w:cs="宋体"/>
          <w:color w:val="auto"/>
          <w:sz w:val="30"/>
          <w:szCs w:val="30"/>
          <w:highlight w:val="none"/>
        </w:rPr>
      </w:pPr>
    </w:p>
    <w:p>
      <w:pPr>
        <w:spacing w:line="360" w:lineRule="auto"/>
        <w:jc w:val="center"/>
        <w:rPr>
          <w:rFonts w:ascii="宋体" w:hAnsi="宋体"/>
          <w:b/>
          <w:color w:val="auto"/>
          <w:sz w:val="72"/>
          <w:szCs w:val="72"/>
          <w:highlight w:val="none"/>
        </w:rPr>
      </w:pPr>
      <w:r>
        <w:rPr>
          <w:rFonts w:hint="eastAsia" w:ascii="宋体" w:hAnsi="宋体"/>
          <w:b/>
          <w:color w:val="auto"/>
          <w:sz w:val="72"/>
          <w:szCs w:val="72"/>
          <w:highlight w:val="none"/>
        </w:rPr>
        <w:t>海南省政府采购项目</w:t>
      </w:r>
    </w:p>
    <w:p>
      <w:pPr>
        <w:spacing w:line="360" w:lineRule="auto"/>
        <w:rPr>
          <w:rFonts w:ascii="宋体" w:hAnsi="宋体"/>
          <w:b/>
          <w:color w:val="auto"/>
          <w:sz w:val="30"/>
          <w:szCs w:val="30"/>
          <w:highlight w:val="none"/>
        </w:rPr>
      </w:pPr>
    </w:p>
    <w:p>
      <w:pPr>
        <w:spacing w:line="360" w:lineRule="auto"/>
        <w:jc w:val="center"/>
        <w:rPr>
          <w:rFonts w:ascii="宋体" w:hAnsi="宋体"/>
          <w:b/>
          <w:color w:val="auto"/>
          <w:sz w:val="110"/>
          <w:szCs w:val="110"/>
          <w:highlight w:val="none"/>
        </w:rPr>
      </w:pPr>
      <w:r>
        <w:rPr>
          <w:rFonts w:hint="eastAsia" w:ascii="宋体" w:hAnsi="宋体"/>
          <w:b/>
          <w:color w:val="auto"/>
          <w:sz w:val="110"/>
          <w:szCs w:val="110"/>
          <w:highlight w:val="none"/>
        </w:rPr>
        <w:t xml:space="preserve">合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 xml:space="preserve">同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书</w:t>
      </w:r>
    </w:p>
    <w:p>
      <w:pPr>
        <w:spacing w:line="360" w:lineRule="auto"/>
        <w:jc w:val="center"/>
        <w:rPr>
          <w:rFonts w:ascii="宋体" w:hAnsi="宋体"/>
          <w:b/>
          <w:color w:val="auto"/>
          <w:sz w:val="32"/>
          <w:szCs w:val="32"/>
          <w:highlight w:val="none"/>
        </w:rPr>
      </w:pPr>
    </w:p>
    <w:p>
      <w:pPr>
        <w:spacing w:line="360" w:lineRule="auto"/>
        <w:rPr>
          <w:rFonts w:ascii="宋体" w:hAnsi="宋体"/>
          <w:b/>
          <w:color w:val="auto"/>
          <w:sz w:val="32"/>
          <w:szCs w:val="32"/>
          <w:highlight w:val="none"/>
        </w:rPr>
      </w:pPr>
    </w:p>
    <w:p>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p>
    <w:p>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p>
    <w:p>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项目名称：</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项目编号：</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甲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乙    方：</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w:t>
      </w:r>
    </w:p>
    <w:p>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r>
        <w:rPr>
          <w:rFonts w:hint="eastAsia" w:ascii="宋体" w:hAnsi="宋体"/>
          <w:b/>
          <w:color w:val="auto"/>
          <w:sz w:val="32"/>
          <w:szCs w:val="32"/>
          <w:highlight w:val="none"/>
        </w:rPr>
        <w:t>签订日期：</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年</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 xml:space="preserve"> 月</w:t>
      </w:r>
      <w:r>
        <w:rPr>
          <w:rFonts w:hint="eastAsia" w:ascii="宋体" w:hAnsi="宋体"/>
          <w:b/>
          <w:color w:val="auto"/>
          <w:sz w:val="32"/>
          <w:szCs w:val="32"/>
          <w:highlight w:val="none"/>
          <w:u w:val="single"/>
        </w:rPr>
        <w:t xml:space="preserve">    </w:t>
      </w:r>
      <w:r>
        <w:rPr>
          <w:rFonts w:hint="eastAsia" w:ascii="宋体" w:hAnsi="宋体"/>
          <w:b/>
          <w:color w:val="auto"/>
          <w:sz w:val="32"/>
          <w:szCs w:val="32"/>
          <w:highlight w:val="none"/>
        </w:rPr>
        <w:t>日</w:t>
      </w:r>
    </w:p>
    <w:p>
      <w:pPr>
        <w:pStyle w:val="2"/>
        <w:rPr>
          <w:rFonts w:hint="default"/>
          <w:color w:val="auto"/>
          <w:highlight w:val="none"/>
        </w:rPr>
      </w:pPr>
    </w:p>
    <w:p>
      <w:pPr>
        <w:spacing w:line="360" w:lineRule="auto"/>
        <w:ind w:firstLine="1285" w:firstLineChars="400"/>
        <w:rPr>
          <w:rFonts w:ascii="宋体" w:hAnsi="宋体"/>
          <w:b/>
          <w:color w:val="auto"/>
          <w:sz w:val="32"/>
          <w:szCs w:val="32"/>
          <w:highlight w:val="none"/>
        </w:rPr>
      </w:pPr>
    </w:p>
    <w:p>
      <w:pPr>
        <w:spacing w:line="360" w:lineRule="auto"/>
        <w:jc w:val="center"/>
        <w:rPr>
          <w:rFonts w:ascii="宋体" w:hAnsi="宋体"/>
          <w:b/>
          <w:color w:val="auto"/>
          <w:sz w:val="32"/>
          <w:szCs w:val="32"/>
          <w:highlight w:val="none"/>
        </w:rPr>
      </w:pPr>
      <w:r>
        <w:rPr>
          <w:rFonts w:ascii="宋体" w:hAnsi="宋体"/>
          <w:b/>
          <w:color w:val="auto"/>
          <w:sz w:val="32"/>
          <w:szCs w:val="32"/>
          <w:highlight w:val="none"/>
        </w:rPr>
        <w:br w:type="page"/>
      </w:r>
      <w:r>
        <w:rPr>
          <w:rFonts w:hint="eastAsia" w:ascii="宋体" w:hAnsi="宋体"/>
          <w:b/>
          <w:color w:val="auto"/>
          <w:sz w:val="32"/>
          <w:szCs w:val="32"/>
          <w:highlight w:val="none"/>
        </w:rPr>
        <w:t>合同专用条款</w:t>
      </w:r>
    </w:p>
    <w:p>
      <w:pPr>
        <w:spacing w:line="360" w:lineRule="auto"/>
        <w:jc w:val="center"/>
        <w:rPr>
          <w:rFonts w:ascii="宋体" w:hAnsi="宋体"/>
          <w:b/>
          <w:color w:val="auto"/>
          <w:sz w:val="32"/>
          <w:szCs w:val="32"/>
          <w:highlight w:val="none"/>
        </w:rPr>
      </w:pPr>
    </w:p>
    <w:p>
      <w:pPr>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u w:val="single"/>
        </w:rPr>
        <w:t xml:space="preserve">  （采购人名称）   </w:t>
      </w:r>
      <w:r>
        <w:rPr>
          <w:rFonts w:hint="eastAsia" w:ascii="宋体" w:hAnsi="宋体" w:cs="宋体"/>
          <w:color w:val="auto"/>
          <w:sz w:val="28"/>
          <w:szCs w:val="28"/>
          <w:highlight w:val="none"/>
        </w:rPr>
        <w:t xml:space="preserve">以 </w:t>
      </w:r>
      <w:r>
        <w:rPr>
          <w:rFonts w:hint="eastAsia" w:ascii="宋体" w:hAnsi="宋体" w:cs="宋体"/>
          <w:color w:val="auto"/>
          <w:sz w:val="28"/>
          <w:szCs w:val="28"/>
          <w:highlight w:val="none"/>
          <w:u w:val="single"/>
        </w:rPr>
        <w:t xml:space="preserve">  （政府采购方式）  </w:t>
      </w:r>
      <w:r>
        <w:rPr>
          <w:rFonts w:hint="eastAsia" w:ascii="宋体" w:hAnsi="宋体" w:cs="宋体"/>
          <w:color w:val="auto"/>
          <w:sz w:val="28"/>
          <w:szCs w:val="28"/>
          <w:highlight w:val="none"/>
        </w:rPr>
        <w:t xml:space="preserve">对 </w:t>
      </w:r>
      <w:r>
        <w:rPr>
          <w:rFonts w:hint="eastAsia" w:ascii="宋体" w:hAnsi="宋体" w:cs="宋体"/>
          <w:color w:val="auto"/>
          <w:sz w:val="28"/>
          <w:szCs w:val="28"/>
          <w:highlight w:val="none"/>
          <w:u w:val="single"/>
        </w:rPr>
        <w:t xml:space="preserve">  （同前页项目名称）</w:t>
      </w:r>
      <w:r>
        <w:rPr>
          <w:rFonts w:hint="eastAsia" w:ascii="宋体" w:hAnsi="宋体" w:cs="宋体"/>
          <w:color w:val="auto"/>
          <w:sz w:val="28"/>
          <w:szCs w:val="28"/>
          <w:highlight w:val="none"/>
        </w:rPr>
        <w:t xml:space="preserve">   项目（项目编号：</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）进行了采购，</w:t>
      </w:r>
      <w:r>
        <w:rPr>
          <w:rFonts w:hint="eastAsia" w:ascii="宋体" w:hAnsi="宋体" w:cs="宋体"/>
          <w:color w:val="auto"/>
          <w:sz w:val="28"/>
          <w:szCs w:val="28"/>
          <w:highlight w:val="none"/>
          <w:u w:val="single"/>
        </w:rPr>
        <w:t xml:space="preserve">   （中标供应商名称）</w:t>
      </w:r>
      <w:r>
        <w:rPr>
          <w:rFonts w:hint="eastAsia" w:ascii="宋体" w:hAnsi="宋体" w:cs="宋体"/>
          <w:color w:val="auto"/>
          <w:sz w:val="28"/>
          <w:szCs w:val="28"/>
          <w:highlight w:val="none"/>
        </w:rPr>
        <w:t>为该项目中标供应商。</w:t>
      </w:r>
    </w:p>
    <w:p>
      <w:pPr>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u w:val="single"/>
        </w:rPr>
        <w:t xml:space="preserve">（采购人名称）  </w:t>
      </w:r>
      <w:r>
        <w:rPr>
          <w:rFonts w:hint="eastAsia" w:ascii="宋体" w:hAnsi="宋体" w:cs="宋体"/>
          <w:color w:val="auto"/>
          <w:sz w:val="28"/>
          <w:szCs w:val="28"/>
          <w:highlight w:val="none"/>
          <w:lang w:val="zh-CN"/>
        </w:rPr>
        <w:t>(以下简称：甲方)</w:t>
      </w:r>
      <w:r>
        <w:rPr>
          <w:rFonts w:hint="eastAsia" w:ascii="宋体" w:hAnsi="宋体" w:cs="宋体"/>
          <w:color w:val="auto"/>
          <w:sz w:val="28"/>
          <w:szCs w:val="28"/>
          <w:highlight w:val="none"/>
        </w:rPr>
        <w:t xml:space="preserve">和 </w:t>
      </w:r>
      <w:r>
        <w:rPr>
          <w:rFonts w:hint="eastAsia" w:ascii="宋体" w:hAnsi="宋体" w:cs="宋体"/>
          <w:color w:val="auto"/>
          <w:sz w:val="28"/>
          <w:szCs w:val="28"/>
          <w:highlight w:val="none"/>
          <w:u w:val="single"/>
        </w:rPr>
        <w:t xml:space="preserve"> （中标供应商名称）   </w:t>
      </w:r>
      <w:r>
        <w:rPr>
          <w:rFonts w:hint="eastAsia" w:ascii="宋体" w:hAnsi="宋体" w:cs="宋体"/>
          <w:color w:val="auto"/>
          <w:sz w:val="28"/>
          <w:szCs w:val="28"/>
          <w:highlight w:val="none"/>
          <w:lang w:val="zh-CN"/>
        </w:rPr>
        <w:t>(以下简称：乙方)</w:t>
      </w:r>
      <w:r>
        <w:rPr>
          <w:rFonts w:hint="eastAsia" w:ascii="宋体" w:hAnsi="宋体" w:cs="宋体"/>
          <w:color w:val="auto"/>
          <w:sz w:val="28"/>
          <w:szCs w:val="28"/>
          <w:highlight w:val="none"/>
        </w:rPr>
        <w:t>根据《中华人民共和国民法典》、</w:t>
      </w:r>
      <w:r>
        <w:rPr>
          <w:rFonts w:hint="eastAsia" w:ascii="宋体" w:hAnsi="宋体" w:cs="宋体"/>
          <w:color w:val="auto"/>
          <w:sz w:val="28"/>
          <w:szCs w:val="28"/>
          <w:highlight w:val="none"/>
          <w:lang w:val="zh-CN"/>
        </w:rPr>
        <w:t>《中华人民共和国政府采购法》等相</w:t>
      </w:r>
      <w:r>
        <w:rPr>
          <w:rFonts w:hint="eastAsia" w:ascii="宋体" w:hAnsi="宋体" w:cs="宋体"/>
          <w:color w:val="auto"/>
          <w:sz w:val="28"/>
          <w:szCs w:val="28"/>
          <w:highlight w:val="none"/>
        </w:rPr>
        <w:t>关法律法规，遵循平等、自愿、公平和诚实信用原则，同意按照下面的条款和条件订立本政府采购合同，共同信守。</w:t>
      </w:r>
    </w:p>
    <w:p>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一、政府采购合同文件</w:t>
      </w:r>
    </w:p>
    <w:p>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本政府采购合同所附下列文件是构成本政府采购合同不可分割的部分：</w:t>
      </w:r>
    </w:p>
    <w:p>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1.招标文件（含澄清或者修改文件）；</w:t>
      </w:r>
    </w:p>
    <w:p>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2.招标文件的更正公告、变更公告；</w:t>
      </w:r>
    </w:p>
    <w:p>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3.乙方提交的投标文件（含澄清或者说明文件）；</w:t>
      </w:r>
    </w:p>
    <w:p>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4.政府采购合同条款；</w:t>
      </w:r>
    </w:p>
    <w:p>
      <w:p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5.中标通知书；</w:t>
      </w:r>
    </w:p>
    <w:p>
      <w:pPr>
        <w:tabs>
          <w:tab w:val="left" w:pos="6680"/>
        </w:tabs>
        <w:spacing w:line="360" w:lineRule="auto"/>
        <w:ind w:firstLine="560" w:firstLineChars="200"/>
        <w:jc w:val="left"/>
        <w:rPr>
          <w:rFonts w:hint="eastAsia" w:ascii="宋体" w:hAnsi="宋体" w:eastAsia="宋体" w:cs="宋体"/>
          <w:color w:val="auto"/>
          <w:sz w:val="28"/>
          <w:szCs w:val="28"/>
          <w:highlight w:val="none"/>
          <w:lang w:eastAsia="zh-CN"/>
        </w:rPr>
      </w:pPr>
      <w:r>
        <w:rPr>
          <w:rFonts w:hint="eastAsia" w:ascii="宋体" w:hAnsi="宋体" w:cs="宋体"/>
          <w:color w:val="auto"/>
          <w:sz w:val="28"/>
          <w:szCs w:val="28"/>
          <w:highlight w:val="none"/>
        </w:rPr>
        <w:t>6.政府采购合同的其它附件。</w:t>
      </w:r>
      <w:r>
        <w:rPr>
          <w:rFonts w:hint="eastAsia" w:ascii="宋体" w:hAnsi="宋体" w:cs="宋体"/>
          <w:color w:val="auto"/>
          <w:sz w:val="28"/>
          <w:szCs w:val="28"/>
          <w:highlight w:val="none"/>
          <w:lang w:eastAsia="zh-CN"/>
        </w:rPr>
        <w:tab/>
      </w:r>
    </w:p>
    <w:p>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二、政府采购合同范围和条件</w:t>
      </w:r>
    </w:p>
    <w:p>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本政府采购合同的范围和条件与上述政府采购合同文件的规定相一致。</w:t>
      </w:r>
    </w:p>
    <w:p>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三、政府采购合同标的</w:t>
      </w:r>
    </w:p>
    <w:p>
      <w:pPr>
        <w:spacing w:line="360" w:lineRule="auto"/>
        <w:jc w:val="left"/>
        <w:rPr>
          <w:rFonts w:ascii="宋体" w:hAnsi="宋体" w:cs="宋体"/>
          <w:color w:val="auto"/>
          <w:sz w:val="28"/>
          <w:szCs w:val="28"/>
          <w:highlight w:val="none"/>
        </w:rPr>
      </w:pPr>
      <w:r>
        <w:rPr>
          <w:rFonts w:hint="eastAsia" w:ascii="宋体" w:hAnsi="宋体" w:cs="宋体"/>
          <w:color w:val="auto"/>
          <w:sz w:val="28"/>
          <w:szCs w:val="28"/>
          <w:highlight w:val="none"/>
        </w:rPr>
        <w:t xml:space="preserve">    本政府采购合同的标的为政府采购合同货物清单(同投标文件中的开标一览表/分项报价明细表)中所列货物及相关服务。</w:t>
      </w:r>
    </w:p>
    <w:tbl>
      <w:tblPr>
        <w:tblStyle w:val="5"/>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序号</w:t>
            </w:r>
          </w:p>
        </w:tc>
        <w:tc>
          <w:tcPr>
            <w:tcW w:w="1523"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服务名称</w:t>
            </w:r>
          </w:p>
        </w:tc>
        <w:tc>
          <w:tcPr>
            <w:tcW w:w="2019"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品牌、规格型号</w:t>
            </w:r>
          </w:p>
          <w:p>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（或服务要求）</w:t>
            </w:r>
          </w:p>
        </w:tc>
        <w:tc>
          <w:tcPr>
            <w:tcW w:w="93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数量/单位</w:t>
            </w:r>
          </w:p>
        </w:tc>
        <w:tc>
          <w:tcPr>
            <w:tcW w:w="1194"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单价</w:t>
            </w:r>
          </w:p>
          <w:p>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（元）</w:t>
            </w:r>
          </w:p>
        </w:tc>
        <w:tc>
          <w:tcPr>
            <w:tcW w:w="1667"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单项总价</w:t>
            </w:r>
          </w:p>
          <w:p>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(元)</w:t>
            </w:r>
          </w:p>
        </w:tc>
        <w:tc>
          <w:tcPr>
            <w:tcW w:w="126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cs="宋体"/>
                <w:b/>
                <w:bCs/>
                <w:color w:val="auto"/>
                <w:sz w:val="24"/>
                <w:highlight w:val="none"/>
              </w:rPr>
            </w:pPr>
            <w:r>
              <w:rPr>
                <w:rFonts w:hint="eastAsia" w:ascii="宋体" w:hAnsi="宋体" w:cs="宋体"/>
                <w:b/>
                <w:bCs/>
                <w:color w:val="auto"/>
                <w:sz w:val="24"/>
                <w:highlight w:val="none"/>
              </w:rPr>
              <w:t>备注</w:t>
            </w:r>
          </w:p>
        </w:tc>
      </w:tr>
      <w:tr>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r>
      <w:tr>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r>
      <w:tr>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r>
      <w:tr>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left"/>
              <w:rPr>
                <w:rFonts w:ascii="宋体" w:hAnsi="宋体" w:cs="宋体"/>
                <w:color w:val="auto"/>
                <w:sz w:val="28"/>
                <w:szCs w:val="28"/>
                <w:highlight w:val="none"/>
              </w:rPr>
            </w:pPr>
          </w:p>
        </w:tc>
        <w:tc>
          <w:tcPr>
            <w:tcW w:w="1523"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2019"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93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1194"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r>
      <w:tr>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auto"/>
              <w:jc w:val="center"/>
              <w:rPr>
                <w:rFonts w:ascii="宋体" w:hAnsi="宋体" w:cs="宋体"/>
                <w:color w:val="auto"/>
                <w:sz w:val="28"/>
                <w:szCs w:val="28"/>
                <w:highlight w:val="none"/>
              </w:rPr>
            </w:pPr>
            <w:r>
              <w:rPr>
                <w:rFonts w:hint="eastAsia" w:ascii="宋体" w:hAnsi="宋体" w:cs="宋体"/>
                <w:color w:val="auto"/>
                <w:sz w:val="28"/>
                <w:szCs w:val="28"/>
                <w:highlight w:val="none"/>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360" w:lineRule="auto"/>
              <w:jc w:val="left"/>
              <w:rPr>
                <w:rFonts w:ascii="宋体" w:hAnsi="宋体" w:cs="宋体"/>
                <w:color w:val="auto"/>
                <w:sz w:val="28"/>
                <w:szCs w:val="28"/>
                <w:highlight w:val="none"/>
              </w:rPr>
            </w:pPr>
          </w:p>
        </w:tc>
      </w:tr>
    </w:tbl>
    <w:p>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四、政府采购合同金额</w:t>
      </w:r>
    </w:p>
    <w:p>
      <w:pPr>
        <w:spacing w:line="360" w:lineRule="auto"/>
        <w:jc w:val="left"/>
        <w:rPr>
          <w:rFonts w:ascii="宋体" w:hAnsi="宋体" w:cs="宋体"/>
          <w:b/>
          <w:color w:val="auto"/>
          <w:sz w:val="28"/>
          <w:szCs w:val="28"/>
          <w:highlight w:val="none"/>
        </w:rPr>
      </w:pPr>
      <w:r>
        <w:rPr>
          <w:rFonts w:hint="eastAsia" w:ascii="宋体" w:hAnsi="宋体" w:cs="宋体"/>
          <w:color w:val="auto"/>
          <w:sz w:val="28"/>
          <w:szCs w:val="28"/>
          <w:highlight w:val="none"/>
        </w:rPr>
        <w:t xml:space="preserve">    根据上述政府采购合同文件要求，政府采购合同的总金额为人民币</w:t>
      </w:r>
      <w:r>
        <w:rPr>
          <w:rFonts w:hint="eastAsia" w:ascii="宋体" w:hAnsi="宋体" w:cs="宋体"/>
          <w:color w:val="auto"/>
          <w:sz w:val="28"/>
          <w:szCs w:val="28"/>
          <w:highlight w:val="none"/>
          <w:u w:val="single"/>
        </w:rPr>
        <w:t xml:space="preserve">(大写) </w:t>
      </w:r>
      <w:r>
        <w:rPr>
          <w:rFonts w:hint="eastAsia" w:ascii="宋体" w:hAnsi="宋体" w:cs="宋体"/>
          <w:color w:val="auto"/>
          <w:sz w:val="28"/>
          <w:szCs w:val="28"/>
          <w:highlight w:val="none"/>
        </w:rPr>
        <w:t>，小写：</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元。 （此合同价指验收合格并将货物送到交货地点的全部货款）</w:t>
      </w:r>
    </w:p>
    <w:p>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五、付款方式</w:t>
      </w:r>
    </w:p>
    <w:p>
      <w:pPr>
        <w:adjustRightInd w:val="0"/>
        <w:snapToGrid w:val="0"/>
        <w:spacing w:after="120" w:afterLines="50" w:line="300" w:lineRule="auto"/>
        <w:ind w:firstLine="560" w:firstLineChars="200"/>
        <w:rPr>
          <w:rFonts w:hint="eastAsia" w:ascii="宋体" w:hAnsi="宋体" w:eastAsia="宋体" w:cs="宋体"/>
          <w:color w:val="0070C0"/>
          <w:sz w:val="28"/>
          <w:szCs w:val="28"/>
          <w:highlight w:val="none"/>
          <w:lang w:eastAsia="zh-CN"/>
        </w:rPr>
      </w:pPr>
      <w:r>
        <w:rPr>
          <w:rFonts w:hint="eastAsia" w:ascii="宋体" w:hAnsi="宋体" w:cs="宋体"/>
          <w:color w:val="auto"/>
          <w:sz w:val="28"/>
          <w:szCs w:val="28"/>
          <w:highlight w:val="none"/>
        </w:rPr>
        <w:t>付款方式：</w:t>
      </w:r>
      <w:r>
        <w:rPr>
          <w:rFonts w:hint="eastAsia" w:ascii="宋体" w:hAnsi="宋体" w:cs="宋体"/>
          <w:color w:val="0070C0"/>
          <w:sz w:val="28"/>
          <w:szCs w:val="28"/>
          <w:highlight w:val="none"/>
          <w:lang w:eastAsia="zh-CN"/>
        </w:rPr>
        <w:t>按月支付。</w:t>
      </w:r>
      <w:bookmarkStart w:id="0" w:name="_GoBack"/>
      <w:bookmarkEnd w:id="0"/>
    </w:p>
    <w:p>
      <w:pPr>
        <w:spacing w:before="100" w:beforeAutospacing="1"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六、交付/履约时间、交付/履约地点和方式</w:t>
      </w:r>
    </w:p>
    <w:p>
      <w:pPr>
        <w:pStyle w:val="7"/>
        <w:spacing w:before="0" w:after="0" w:line="460" w:lineRule="atLeast"/>
        <w:ind w:firstLine="560" w:firstLineChars="200"/>
        <w:rPr>
          <w:rFonts w:ascii="宋体" w:hAnsi="宋体" w:cs="宋体"/>
          <w:bCs/>
          <w:color w:val="auto"/>
          <w:sz w:val="28"/>
          <w:szCs w:val="28"/>
          <w:highlight w:val="none"/>
          <w:lang w:eastAsia="zh-CN"/>
        </w:rPr>
      </w:pPr>
      <w:r>
        <w:rPr>
          <w:rFonts w:hint="eastAsia" w:ascii="宋体" w:hAnsi="宋体" w:cs="宋体"/>
          <w:bCs/>
          <w:color w:val="auto"/>
          <w:sz w:val="28"/>
          <w:szCs w:val="28"/>
          <w:highlight w:val="none"/>
          <w:lang w:eastAsia="zh-CN"/>
        </w:rPr>
        <w:t>交付</w:t>
      </w:r>
      <w:r>
        <w:rPr>
          <w:rFonts w:hint="eastAsia" w:ascii="宋体" w:hAnsi="宋体" w:cs="宋体"/>
          <w:bCs/>
          <w:color w:val="auto"/>
          <w:sz w:val="28"/>
          <w:szCs w:val="28"/>
          <w:highlight w:val="none"/>
          <w:lang w:val="en-US" w:eastAsia="zh-CN"/>
        </w:rPr>
        <w:t>/</w:t>
      </w:r>
      <w:r>
        <w:rPr>
          <w:rFonts w:hint="eastAsia" w:ascii="宋体" w:hAnsi="宋体" w:cs="宋体"/>
          <w:bCs/>
          <w:color w:val="auto"/>
          <w:sz w:val="28"/>
          <w:szCs w:val="28"/>
          <w:highlight w:val="none"/>
          <w:lang w:eastAsia="zh-CN"/>
        </w:rPr>
        <w:t>履约时间：</w:t>
      </w:r>
      <w:r>
        <w:rPr>
          <w:rFonts w:hint="eastAsia" w:ascii="宋体" w:hAnsi="宋体" w:eastAsia="宋体" w:cs="宋体"/>
          <w:bCs/>
          <w:color w:val="auto"/>
          <w:sz w:val="28"/>
          <w:szCs w:val="28"/>
          <w:highlight w:val="none"/>
          <w:lang w:eastAsia="zh-CN"/>
        </w:rPr>
        <w:t>以各包采购需求中“服务期”为准</w:t>
      </w:r>
      <w:r>
        <w:rPr>
          <w:rFonts w:hint="eastAsia" w:ascii="宋体" w:hAnsi="宋体" w:cs="宋体"/>
          <w:bCs/>
          <w:color w:val="auto"/>
          <w:sz w:val="28"/>
          <w:szCs w:val="28"/>
          <w:highlight w:val="none"/>
          <w:lang w:eastAsia="zh-CN"/>
        </w:rPr>
        <w:t>。</w:t>
      </w:r>
    </w:p>
    <w:p>
      <w:pPr>
        <w:pStyle w:val="7"/>
        <w:spacing w:before="0" w:after="0" w:line="460" w:lineRule="atLeast"/>
        <w:ind w:firstLine="560" w:firstLineChars="200"/>
        <w:rPr>
          <w:rFonts w:ascii="宋体" w:hAnsi="宋体" w:cs="宋体"/>
          <w:bCs/>
          <w:color w:val="auto"/>
          <w:sz w:val="28"/>
          <w:szCs w:val="28"/>
          <w:highlight w:val="none"/>
          <w:lang w:eastAsia="zh-CN"/>
        </w:rPr>
      </w:pPr>
    </w:p>
    <w:p>
      <w:pPr>
        <w:pStyle w:val="7"/>
        <w:spacing w:before="0" w:after="0" w:line="460" w:lineRule="atLeast"/>
        <w:ind w:firstLine="560" w:firstLineChars="200"/>
        <w:rPr>
          <w:rFonts w:ascii="宋体" w:hAnsi="宋体" w:cs="宋体"/>
          <w:bCs/>
          <w:color w:val="auto"/>
          <w:sz w:val="28"/>
          <w:szCs w:val="28"/>
          <w:highlight w:val="none"/>
          <w:lang w:eastAsia="zh-CN"/>
        </w:rPr>
      </w:pPr>
      <w:r>
        <w:rPr>
          <w:rFonts w:hint="eastAsia" w:ascii="宋体" w:hAnsi="宋体" w:cs="宋体"/>
          <w:bCs/>
          <w:color w:val="auto"/>
          <w:sz w:val="28"/>
          <w:szCs w:val="28"/>
          <w:highlight w:val="none"/>
          <w:lang w:eastAsia="zh-CN"/>
        </w:rPr>
        <w:t>交付</w:t>
      </w:r>
      <w:r>
        <w:rPr>
          <w:rFonts w:hint="eastAsia" w:ascii="宋体" w:hAnsi="宋体" w:cs="宋体"/>
          <w:bCs/>
          <w:color w:val="auto"/>
          <w:sz w:val="28"/>
          <w:szCs w:val="28"/>
          <w:highlight w:val="none"/>
          <w:lang w:val="en-US" w:eastAsia="zh-CN"/>
        </w:rPr>
        <w:t>/</w:t>
      </w:r>
      <w:r>
        <w:rPr>
          <w:rFonts w:hint="eastAsia" w:ascii="宋体" w:hAnsi="宋体" w:cs="宋体"/>
          <w:bCs/>
          <w:color w:val="auto"/>
          <w:sz w:val="28"/>
          <w:szCs w:val="28"/>
          <w:highlight w:val="none"/>
          <w:lang w:eastAsia="zh-CN"/>
        </w:rPr>
        <w:t>履约地点：</w:t>
      </w:r>
    </w:p>
    <w:p>
      <w:pPr>
        <w:numPr>
          <w:ilvl w:val="0"/>
          <w:numId w:val="1"/>
        </w:numPr>
        <w:spacing w:before="100" w:beforeAutospacing="1" w:line="360" w:lineRule="auto"/>
        <w:ind w:firstLine="562" w:firstLineChars="200"/>
        <w:jc w:val="left"/>
        <w:outlineLvl w:val="0"/>
        <w:rPr>
          <w:rFonts w:hint="eastAsia" w:ascii="宋体" w:hAnsi="宋体" w:cs="宋体"/>
          <w:b/>
          <w:color w:val="auto"/>
          <w:sz w:val="28"/>
          <w:szCs w:val="28"/>
          <w:highlight w:val="none"/>
          <w:lang w:val="ru-RU"/>
        </w:rPr>
      </w:pPr>
      <w:r>
        <w:rPr>
          <w:rFonts w:hint="eastAsia" w:ascii="宋体" w:hAnsi="宋体" w:cs="宋体"/>
          <w:b/>
          <w:color w:val="auto"/>
          <w:sz w:val="28"/>
          <w:szCs w:val="28"/>
          <w:highlight w:val="none"/>
        </w:rPr>
        <w:t>考核要求</w:t>
      </w:r>
      <w:r>
        <w:rPr>
          <w:rFonts w:hint="eastAsia" w:ascii="宋体" w:hAnsi="宋体" w:cs="宋体"/>
          <w:b/>
          <w:color w:val="auto"/>
          <w:sz w:val="28"/>
          <w:szCs w:val="28"/>
          <w:highlight w:val="none"/>
          <w:lang w:val="ru-RU"/>
        </w:rPr>
        <w:t>：</w:t>
      </w:r>
    </w:p>
    <w:p>
      <w:pPr>
        <w:pStyle w:val="2"/>
        <w:numPr>
          <w:ilvl w:val="0"/>
          <w:numId w:val="0"/>
        </w:numPr>
        <w:rPr>
          <w:lang w:val="ru-RU"/>
        </w:rPr>
      </w:pPr>
    </w:p>
    <w:p>
      <w:pPr>
        <w:spacing w:before="100" w:beforeAutospacing="1" w:line="360" w:lineRule="auto"/>
        <w:ind w:firstLine="562" w:firstLineChars="200"/>
        <w:jc w:val="left"/>
        <w:outlineLvl w:val="0"/>
        <w:rPr>
          <w:color w:val="auto"/>
          <w:highlight w:val="none"/>
        </w:rPr>
      </w:pPr>
      <w:r>
        <w:rPr>
          <w:rFonts w:hint="eastAsia" w:ascii="宋体" w:hAnsi="宋体" w:cs="宋体"/>
          <w:b/>
          <w:color w:val="auto"/>
          <w:sz w:val="28"/>
          <w:szCs w:val="28"/>
          <w:highlight w:val="none"/>
        </w:rPr>
        <w:t>八、违约责任：</w:t>
      </w:r>
    </w:p>
    <w:p>
      <w:pPr>
        <w:tabs>
          <w:tab w:val="left" w:pos="1980"/>
        </w:tabs>
        <w:snapToGrid w:val="0"/>
        <w:spacing w:before="19" w:line="500" w:lineRule="exact"/>
        <w:ind w:firstLine="551" w:firstLineChars="196"/>
        <w:rPr>
          <w:rFonts w:hint="eastAsia" w:ascii="宋体" w:hAnsi="宋体" w:cs="宋体"/>
          <w:b/>
          <w:color w:val="auto"/>
          <w:sz w:val="28"/>
          <w:szCs w:val="28"/>
          <w:highlight w:val="none"/>
        </w:rPr>
      </w:pPr>
    </w:p>
    <w:p>
      <w:pPr>
        <w:tabs>
          <w:tab w:val="left" w:pos="1980"/>
        </w:tabs>
        <w:snapToGrid w:val="0"/>
        <w:spacing w:before="19" w:line="500" w:lineRule="exact"/>
        <w:ind w:firstLine="551" w:firstLineChars="196"/>
        <w:rPr>
          <w:rFonts w:ascii="宋体" w:hAnsi="宋体" w:cs="宋体"/>
          <w:b/>
          <w:color w:val="auto"/>
          <w:sz w:val="28"/>
          <w:szCs w:val="28"/>
          <w:highlight w:val="none"/>
        </w:rPr>
      </w:pPr>
      <w:r>
        <w:rPr>
          <w:rFonts w:hint="eastAsia" w:ascii="宋体" w:hAnsi="宋体" w:cs="宋体"/>
          <w:b/>
          <w:color w:val="auto"/>
          <w:sz w:val="28"/>
          <w:szCs w:val="28"/>
          <w:highlight w:val="none"/>
        </w:rPr>
        <w:t>九、合同纠纷处理</w:t>
      </w:r>
    </w:p>
    <w:p>
      <w:pPr>
        <w:tabs>
          <w:tab w:val="left" w:pos="1980"/>
        </w:tabs>
        <w:snapToGrid w:val="0"/>
        <w:spacing w:before="19" w:line="500" w:lineRule="exact"/>
        <w:ind w:firstLine="548" w:firstLineChars="196"/>
        <w:rPr>
          <w:rFonts w:ascii="宋体" w:hAnsi="宋体" w:cs="宋体"/>
          <w:color w:val="auto"/>
          <w:sz w:val="28"/>
          <w:szCs w:val="28"/>
          <w:highlight w:val="none"/>
        </w:rPr>
      </w:pPr>
      <w:r>
        <w:rPr>
          <w:rFonts w:hint="eastAsia" w:ascii="宋体" w:hAnsi="宋体" w:cs="宋体"/>
          <w:color w:val="auto"/>
          <w:sz w:val="28"/>
          <w:szCs w:val="28"/>
          <w:highlight w:val="none"/>
        </w:rPr>
        <w:t>本合同履行过程中发生的任何争议，甲乙双方当事人均可通过和解或者调解解决；不愿和解、调解或者和解、调解不成的，可以选择下列第</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种方式解决：</w:t>
      </w:r>
    </w:p>
    <w:p>
      <w:pPr>
        <w:numPr>
          <w:ilvl w:val="0"/>
          <w:numId w:val="2"/>
        </w:numPr>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将争议提交</w:t>
      </w:r>
      <w:r>
        <w:rPr>
          <w:rFonts w:hint="eastAsia" w:ascii="宋体" w:hAnsi="宋体" w:cs="宋体"/>
          <w:color w:val="auto"/>
          <w:sz w:val="28"/>
          <w:szCs w:val="28"/>
          <w:highlight w:val="none"/>
          <w:u w:val="single"/>
        </w:rPr>
        <w:t xml:space="preserve">              </w:t>
      </w:r>
      <w:r>
        <w:rPr>
          <w:rFonts w:hint="eastAsia" w:ascii="宋体" w:hAnsi="宋体" w:cs="宋体"/>
          <w:color w:val="auto"/>
          <w:sz w:val="28"/>
          <w:szCs w:val="28"/>
          <w:highlight w:val="none"/>
        </w:rPr>
        <w:t>仲裁委员会依申请仲裁时其现行有效的仲裁规则裁决；</w:t>
      </w:r>
    </w:p>
    <w:p>
      <w:pPr>
        <w:tabs>
          <w:tab w:val="left" w:pos="1980"/>
        </w:tabs>
        <w:snapToGrid w:val="0"/>
        <w:spacing w:before="19" w:line="500" w:lineRule="exact"/>
        <w:ind w:firstLine="548" w:firstLineChars="196"/>
        <w:rPr>
          <w:rFonts w:ascii="宋体" w:hAnsi="宋体" w:cs="宋体"/>
          <w:color w:val="auto"/>
          <w:sz w:val="28"/>
          <w:szCs w:val="28"/>
          <w:highlight w:val="none"/>
          <w:shd w:val="clear" w:color="auto" w:fill="FFFFFF"/>
        </w:rPr>
      </w:pPr>
      <w:r>
        <w:rPr>
          <w:rFonts w:hint="eastAsia" w:ascii="宋体" w:hAnsi="宋体" w:cs="宋体"/>
          <w:color w:val="auto"/>
          <w:sz w:val="28"/>
          <w:szCs w:val="28"/>
          <w:highlight w:val="none"/>
        </w:rPr>
        <w:t>（2） 向</w:t>
      </w:r>
      <w:r>
        <w:rPr>
          <w:rFonts w:hint="eastAsia" w:ascii="宋体" w:hAnsi="宋体" w:cs="宋体"/>
          <w:color w:val="auto"/>
          <w:sz w:val="28"/>
          <w:szCs w:val="28"/>
          <w:highlight w:val="none"/>
          <w:u w:val="single"/>
        </w:rPr>
        <w:t xml:space="preserve">   （被告住所地、合同履行地、合同签订地、原告住所地、标的物所在地等与争议有实际联系的地点中选出的人民法院名称）    </w:t>
      </w:r>
      <w:r>
        <w:rPr>
          <w:rFonts w:hint="eastAsia" w:ascii="宋体" w:hAnsi="宋体" w:cs="宋体"/>
          <w:color w:val="auto"/>
          <w:sz w:val="28"/>
          <w:szCs w:val="28"/>
          <w:highlight w:val="none"/>
        </w:rPr>
        <w:t>人民法院起诉</w:t>
      </w:r>
      <w:r>
        <w:rPr>
          <w:rFonts w:hint="eastAsia" w:ascii="宋体" w:hAnsi="宋体" w:cs="宋体"/>
          <w:color w:val="auto"/>
          <w:sz w:val="28"/>
          <w:szCs w:val="28"/>
          <w:highlight w:val="none"/>
          <w:shd w:val="clear" w:color="auto" w:fill="FFFFFF"/>
        </w:rPr>
        <w:t>。</w:t>
      </w:r>
    </w:p>
    <w:p>
      <w:pPr>
        <w:spacing w:before="120" w:beforeLines="50" w:line="360" w:lineRule="auto"/>
        <w:ind w:firstLine="562" w:firstLineChars="200"/>
        <w:jc w:val="left"/>
        <w:outlineLvl w:val="0"/>
        <w:rPr>
          <w:rFonts w:ascii="宋体" w:hAnsi="宋体" w:cs="宋体"/>
          <w:b/>
          <w:color w:val="auto"/>
          <w:sz w:val="28"/>
          <w:szCs w:val="28"/>
          <w:highlight w:val="none"/>
        </w:rPr>
      </w:pPr>
      <w:r>
        <w:rPr>
          <w:rFonts w:hint="eastAsia" w:ascii="宋体" w:hAnsi="宋体" w:cs="宋体"/>
          <w:b/>
          <w:color w:val="auto"/>
          <w:sz w:val="28"/>
          <w:szCs w:val="28"/>
          <w:highlight w:val="none"/>
        </w:rPr>
        <w:t>十、政府采购合同生效</w:t>
      </w:r>
    </w:p>
    <w:p>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本政府采购合同经甲乙双方授权代表签字盖章后生效。</w:t>
      </w:r>
    </w:p>
    <w:p>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本合同共三份：甲方一份、乙方一份。</w:t>
      </w:r>
    </w:p>
    <w:p>
      <w:pPr>
        <w:tabs>
          <w:tab w:val="left" w:pos="1980"/>
        </w:tabs>
        <w:snapToGrid w:val="0"/>
        <w:spacing w:before="19" w:line="500" w:lineRule="exact"/>
        <w:ind w:firstLine="551" w:firstLineChars="196"/>
        <w:rPr>
          <w:rFonts w:ascii="宋体" w:hAnsi="宋体" w:cs="宋体"/>
          <w:b/>
          <w:color w:val="auto"/>
          <w:sz w:val="28"/>
          <w:szCs w:val="28"/>
          <w:highlight w:val="none"/>
        </w:rPr>
      </w:pPr>
      <w:r>
        <w:rPr>
          <w:rFonts w:hint="eastAsia" w:ascii="宋体" w:hAnsi="宋体" w:cs="宋体"/>
          <w:b/>
          <w:color w:val="auto"/>
          <w:sz w:val="28"/>
          <w:szCs w:val="28"/>
          <w:highlight w:val="none"/>
        </w:rPr>
        <w:t>十一、其他</w:t>
      </w:r>
    </w:p>
    <w:p>
      <w:pPr>
        <w:spacing w:before="120" w:beforeLines="50" w:line="360" w:lineRule="auto"/>
        <w:ind w:firstLine="560" w:firstLineChars="200"/>
        <w:jc w:val="left"/>
        <w:outlineLvl w:val="0"/>
        <w:rPr>
          <w:rFonts w:hint="eastAsia" w:ascii="宋体" w:hAnsi="宋体" w:cs="宋体"/>
          <w:color w:val="auto"/>
          <w:sz w:val="28"/>
          <w:szCs w:val="28"/>
          <w:highlight w:val="none"/>
        </w:rPr>
      </w:pPr>
      <w:r>
        <w:rPr>
          <w:rFonts w:hint="eastAsia" w:ascii="宋体" w:hAnsi="宋体" w:cs="宋体"/>
          <w:color w:val="auto"/>
          <w:sz w:val="28"/>
          <w:szCs w:val="28"/>
          <w:highlight w:val="none"/>
        </w:rPr>
        <w:t>（</w:t>
      </w:r>
      <w:r>
        <w:rPr>
          <w:rFonts w:hint="eastAsia" w:ascii="宋体" w:hAnsi="宋体" w:cs="宋体"/>
          <w:color w:val="auto"/>
          <w:sz w:val="28"/>
          <w:szCs w:val="28"/>
          <w:highlight w:val="none"/>
          <w:lang w:val="en-US" w:eastAsia="zh-CN"/>
        </w:rPr>
        <w:t>1</w:t>
      </w:r>
      <w:r>
        <w:rPr>
          <w:rFonts w:hint="eastAsia" w:ascii="宋体" w:hAnsi="宋体" w:cs="宋体"/>
          <w:color w:val="auto"/>
          <w:sz w:val="28"/>
          <w:szCs w:val="28"/>
          <w:highlight w:val="none"/>
        </w:rPr>
        <w:t>）合同期内，如果一方因各种原因要解除合同，须提前三个月通知另一方，并按合同规定承担相应责任。</w:t>
      </w:r>
    </w:p>
    <w:p>
      <w:pPr>
        <w:spacing w:before="120" w:beforeLines="50" w:line="360" w:lineRule="auto"/>
        <w:ind w:firstLine="560" w:firstLineChars="200"/>
        <w:jc w:val="left"/>
        <w:outlineLvl w:val="0"/>
        <w:rPr>
          <w:rFonts w:ascii="宋体" w:hAnsi="宋体" w:cs="宋体"/>
          <w:color w:val="auto"/>
          <w:sz w:val="28"/>
          <w:szCs w:val="28"/>
          <w:highlight w:val="none"/>
        </w:rPr>
      </w:pPr>
      <w:r>
        <w:rPr>
          <w:rFonts w:hint="eastAsia" w:ascii="宋体" w:hAnsi="宋体" w:cs="宋体"/>
          <w:color w:val="auto"/>
          <w:sz w:val="28"/>
          <w:szCs w:val="28"/>
          <w:highlight w:val="none"/>
        </w:rPr>
        <w:t>（</w:t>
      </w:r>
      <w:r>
        <w:rPr>
          <w:rFonts w:hint="eastAsia" w:ascii="宋体" w:hAnsi="宋体" w:cs="宋体"/>
          <w:color w:val="auto"/>
          <w:sz w:val="28"/>
          <w:szCs w:val="28"/>
          <w:highlight w:val="none"/>
          <w:lang w:val="en-US" w:eastAsia="zh-CN"/>
        </w:rPr>
        <w:t>2</w:t>
      </w:r>
      <w:r>
        <w:rPr>
          <w:rFonts w:hint="eastAsia" w:ascii="宋体" w:hAnsi="宋体" w:cs="宋体"/>
          <w:color w:val="auto"/>
          <w:sz w:val="28"/>
          <w:szCs w:val="28"/>
          <w:highlight w:val="none"/>
        </w:rPr>
        <w:t>）本合同未尽事宜，双方可以增加条款或补充协议的形式加以补充，但增加或补充协议的条款不得对招标文件和投标文件约定的内容作实质性修改。补充协议与本合同具有相同的法律效力。</w:t>
      </w:r>
    </w:p>
    <w:p>
      <w:pPr>
        <w:autoSpaceDE w:val="0"/>
        <w:autoSpaceDN w:val="0"/>
        <w:adjustRightInd w:val="0"/>
        <w:spacing w:line="360" w:lineRule="auto"/>
        <w:ind w:firstLine="140" w:firstLineChars="50"/>
        <w:jc w:val="left"/>
        <w:rPr>
          <w:rFonts w:ascii="宋体" w:hAnsi="宋体" w:cs="宋体"/>
          <w:color w:val="auto"/>
          <w:sz w:val="28"/>
          <w:szCs w:val="28"/>
          <w:highlight w:val="none"/>
        </w:rPr>
      </w:pPr>
    </w:p>
    <w:p>
      <w:pPr>
        <w:autoSpaceDE w:val="0"/>
        <w:autoSpaceDN w:val="0"/>
        <w:adjustRightInd w:val="0"/>
        <w:spacing w:line="360" w:lineRule="auto"/>
        <w:ind w:firstLine="560" w:firstLineChars="200"/>
        <w:jc w:val="left"/>
        <w:rPr>
          <w:rFonts w:ascii="宋体" w:hAnsi="宋体" w:cs="宋体"/>
          <w:color w:val="auto"/>
          <w:sz w:val="28"/>
          <w:szCs w:val="28"/>
          <w:highlight w:val="none"/>
        </w:rPr>
      </w:pPr>
      <w:r>
        <w:rPr>
          <w:rFonts w:hint="eastAsia" w:ascii="宋体" w:hAnsi="宋体" w:cs="宋体"/>
          <w:color w:val="auto"/>
          <w:sz w:val="28"/>
          <w:szCs w:val="28"/>
          <w:highlight w:val="none"/>
        </w:rPr>
        <w:t>附件：</w:t>
      </w:r>
      <w:r>
        <w:rPr>
          <w:rFonts w:hint="eastAsia" w:hAnsi="宋体" w:cs="宋体"/>
          <w:color w:val="auto"/>
          <w:sz w:val="28"/>
          <w:szCs w:val="28"/>
          <w:highlight w:val="none"/>
        </w:rPr>
        <w:t>中标通知书。</w:t>
      </w:r>
    </w:p>
    <w:p>
      <w:pPr>
        <w:spacing w:line="360" w:lineRule="auto"/>
        <w:ind w:firstLine="560" w:firstLineChars="200"/>
        <w:rPr>
          <w:rFonts w:ascii="宋体" w:hAnsi="宋体" w:cs="宋体"/>
          <w:color w:val="auto"/>
          <w:sz w:val="28"/>
          <w:szCs w:val="28"/>
          <w:highlight w:val="none"/>
        </w:rPr>
      </w:pPr>
    </w:p>
    <w:p>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 xml:space="preserve">甲方（公章）:                        乙方(公章):  </w:t>
      </w:r>
    </w:p>
    <w:p>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办公地址：                           办公地址：</w:t>
      </w:r>
    </w:p>
    <w:p>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法定代表人                           法定代表人</w:t>
      </w:r>
    </w:p>
    <w:p>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或授权代表(签字):                    或授权代表(签字):</w:t>
      </w:r>
    </w:p>
    <w:p>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联系人：                             联系人：</w:t>
      </w:r>
    </w:p>
    <w:p>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电话：                               电话：</w:t>
      </w:r>
    </w:p>
    <w:p>
      <w:pPr>
        <w:snapToGrid w:val="0"/>
        <w:ind w:firstLine="518" w:firstLineChars="185"/>
        <w:rPr>
          <w:rFonts w:ascii="宋体" w:hAnsi="宋体" w:cs="宋体"/>
          <w:color w:val="auto"/>
          <w:sz w:val="28"/>
          <w:szCs w:val="28"/>
          <w:highlight w:val="none"/>
          <w:lang w:val="zh-CN"/>
        </w:rPr>
      </w:pPr>
      <w:r>
        <w:rPr>
          <w:rFonts w:hint="eastAsia" w:ascii="宋体" w:hAnsi="宋体" w:cs="宋体"/>
          <w:color w:val="auto"/>
          <w:sz w:val="28"/>
          <w:szCs w:val="28"/>
          <w:highlight w:val="none"/>
          <w:lang w:val="zh-CN"/>
        </w:rPr>
        <w:t>传真:                                传真:</w:t>
      </w:r>
    </w:p>
    <w:p>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lang w:val="zh-CN"/>
        </w:rPr>
        <w:t>电子邮箱：                           电子邮箱：</w:t>
      </w:r>
    </w:p>
    <w:p>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 xml:space="preserve">开户银行：                           开户银行： </w:t>
      </w:r>
    </w:p>
    <w:p>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 xml:space="preserve">开户名称：                           开户名称： </w:t>
      </w:r>
    </w:p>
    <w:p>
      <w:pPr>
        <w:snapToGrid w:val="0"/>
        <w:ind w:firstLine="518" w:firstLineChars="185"/>
        <w:rPr>
          <w:rFonts w:ascii="宋体" w:hAnsi="宋体" w:cs="宋体"/>
          <w:color w:val="auto"/>
          <w:sz w:val="28"/>
          <w:szCs w:val="28"/>
          <w:highlight w:val="none"/>
        </w:rPr>
      </w:pPr>
      <w:r>
        <w:rPr>
          <w:rFonts w:hint="eastAsia" w:ascii="宋体" w:hAnsi="宋体" w:cs="宋体"/>
          <w:color w:val="auto"/>
          <w:sz w:val="28"/>
          <w:szCs w:val="28"/>
          <w:highlight w:val="none"/>
        </w:rPr>
        <w:t>开户账号：</w:t>
      </w:r>
      <w:r>
        <w:rPr>
          <w:rFonts w:hint="eastAsia" w:ascii="宋体" w:hAnsi="宋体" w:cs="宋体"/>
          <w:color w:val="auto"/>
          <w:sz w:val="28"/>
          <w:szCs w:val="28"/>
          <w:highlight w:val="none"/>
          <w:lang w:val="zh-CN"/>
        </w:rPr>
        <w:t xml:space="preserve">                           </w:t>
      </w:r>
      <w:r>
        <w:rPr>
          <w:rFonts w:hint="eastAsia" w:ascii="宋体" w:hAnsi="宋体" w:cs="宋体"/>
          <w:color w:val="auto"/>
          <w:sz w:val="28"/>
          <w:szCs w:val="28"/>
          <w:highlight w:val="none"/>
        </w:rPr>
        <w:t>开户账号：</w:t>
      </w:r>
    </w:p>
    <w:p>
      <w:pPr>
        <w:snapToGrid w:val="0"/>
        <w:spacing w:before="19"/>
        <w:ind w:firstLine="1120" w:firstLineChars="400"/>
        <w:rPr>
          <w:rFonts w:ascii="宋体" w:hAnsi="宋体" w:cs="宋体"/>
          <w:color w:val="auto"/>
          <w:sz w:val="28"/>
          <w:szCs w:val="28"/>
          <w:highlight w:val="none"/>
        </w:rPr>
      </w:pPr>
    </w:p>
    <w:p>
      <w:pPr>
        <w:snapToGrid w:val="0"/>
        <w:spacing w:before="19"/>
        <w:ind w:firstLine="1120" w:firstLineChars="400"/>
        <w:rPr>
          <w:rFonts w:ascii="宋体" w:hAnsi="宋体" w:cs="宋体"/>
          <w:color w:val="auto"/>
          <w:sz w:val="28"/>
          <w:szCs w:val="28"/>
          <w:highlight w:val="none"/>
        </w:rPr>
      </w:pPr>
      <w:r>
        <w:rPr>
          <w:rFonts w:hint="eastAsia" w:ascii="宋体" w:hAnsi="宋体" w:cs="宋体"/>
          <w:color w:val="auto"/>
          <w:sz w:val="28"/>
          <w:szCs w:val="28"/>
          <w:highlight w:val="none"/>
        </w:rPr>
        <w:t xml:space="preserve">  </w:t>
      </w:r>
    </w:p>
    <w:p>
      <w:pPr>
        <w:spacing w:line="360" w:lineRule="auto"/>
        <w:ind w:firstLine="6720" w:firstLineChars="2400"/>
        <w:rPr>
          <w:rFonts w:ascii="宋体" w:hAnsi="宋体" w:cs="宋体"/>
          <w:color w:val="auto"/>
          <w:sz w:val="28"/>
          <w:szCs w:val="28"/>
          <w:highlight w:val="none"/>
        </w:rPr>
      </w:pPr>
    </w:p>
    <w:p>
      <w:pPr>
        <w:spacing w:line="360" w:lineRule="auto"/>
        <w:rPr>
          <w:rFonts w:ascii="宋体" w:hAnsi="宋体" w:cs="宋体"/>
          <w:color w:val="auto"/>
          <w:sz w:val="28"/>
          <w:szCs w:val="28"/>
          <w:highlight w:val="none"/>
        </w:rPr>
        <w:sectPr>
          <w:pgSz w:w="11907" w:h="16840"/>
          <w:pgMar w:top="1440" w:right="1077" w:bottom="1440" w:left="1247" w:header="936" w:footer="992" w:gutter="0"/>
          <w:cols w:space="720" w:num="1"/>
          <w:titlePg/>
          <w:docGrid w:linePitch="312" w:charSpace="0"/>
        </w:sectPr>
      </w:pPr>
    </w:p>
    <w:p>
      <w:pPr>
        <w:pStyle w:val="3"/>
        <w:adjustRightInd w:val="0"/>
        <w:snapToGrid w:val="0"/>
        <w:spacing w:line="360" w:lineRule="auto"/>
        <w:jc w:val="center"/>
        <w:rPr>
          <w:rFonts w:hint="default" w:cs="宋体"/>
          <w:color w:val="auto"/>
          <w:sz w:val="32"/>
          <w:szCs w:val="32"/>
          <w:highlight w:val="none"/>
        </w:rPr>
      </w:pPr>
      <w:r>
        <w:rPr>
          <w:rFonts w:cs="宋体"/>
          <w:color w:val="auto"/>
          <w:sz w:val="32"/>
          <w:szCs w:val="32"/>
          <w:highlight w:val="none"/>
        </w:rPr>
        <w:t>合同通用条款</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1．定义</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本合同下列术语应解释为：</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（l）“合同”系指甲方和乙方（以下简称合同双方）签署的、合同格式中列明的合同双方所达成的协议，包括所有的附件、附录和构成合同的所有文件。</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（2）“合同价”系指根据合同规定，乙方在完全履行合同义务后甲方应付给乙方的价格。</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（3）“货物（含软件及相关服务）”系指乙方按合同要求，须向甲方提供的一切设备、机械、仪器、备件、工具、技术及手册等有关资料。“工程”系指按合同要求进行施工。</w:t>
      </w:r>
    </w:p>
    <w:p>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（4）“服务”系指根据合同规定乙方承担与供货有关的所有辅助服务，如运输、保险以及其它的服务，如安装、调试、提供技术援助、培训及其他类似的义务。</w:t>
      </w:r>
    </w:p>
    <w:p>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（5）“甲方”系指购买货物（含软件及相关服务）的单位。</w:t>
      </w:r>
    </w:p>
    <w:p>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（6）“乙方”系指根据合同规定提供货物（含软件及相关服务）和服务的制造商或代理商。</w:t>
      </w:r>
    </w:p>
    <w:p>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（7）“现场”系指将要进行货物（含软件及相关服务）安装和调试的地点。</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2．技术规范</w:t>
      </w:r>
    </w:p>
    <w:p>
      <w:pPr>
        <w:adjustRightInd w:val="0"/>
        <w:snapToGrid w:val="0"/>
        <w:spacing w:line="360" w:lineRule="auto"/>
        <w:ind w:firstLine="548" w:firstLineChars="196"/>
        <w:rPr>
          <w:rFonts w:ascii="宋体" w:hAnsi="宋体" w:cs="宋体"/>
          <w:b/>
          <w:color w:val="auto"/>
          <w:sz w:val="28"/>
          <w:szCs w:val="28"/>
          <w:highlight w:val="none"/>
        </w:rPr>
      </w:pPr>
      <w:r>
        <w:rPr>
          <w:rFonts w:hint="eastAsia" w:ascii="宋体" w:hAnsi="宋体" w:cs="宋体"/>
          <w:color w:val="auto"/>
          <w:sz w:val="28"/>
          <w:szCs w:val="28"/>
          <w:highlight w:val="none"/>
        </w:rPr>
        <w:t>提交货物（含软件及相关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3．专利权</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4．包装要求</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4.2 每件包装箱内应附一份详细装箱单和质量合格证。</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5．装运标志</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5.1 乙方应在每一包装箱邻接的四侧用不褪色的油漆以醒目的中文字样做出下列标记：</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（l）收货人</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（2）合同号</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（3）装运标志</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（4）收货人代号</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（5）目的地</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（6）货物（含软件及相关服务）名称、品目号和箱号</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（7）毛重／净重</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（8）尺寸（长X宽X高，以厘米计）</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5.3因缺少装运标志或者装运标志不明确导致货物在运输、装卸过程中产生的损失，乙方应承担相应的过错责任。</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6．交货方式</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 交货方式一般为下列其中一种，具体在合同专用条款中规定。</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6.1.1 现场交货：乙方负责办理运输和保险，将货物（含软件及相关服务）运抵现场。有关运输和保险的一切费用由乙方承担。所有货物（含软件及相关服务）运抵现扬的日期为交货日期。</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6.1.2 工厂交货：由乙方负责办理运输和保险事宜。运输费和保险费由甲方承担。运输部门出具收据的日期为交货日期。</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6.1.3 甲方自提货物（含软件及相关服务）：由甲方在合同规定地点自行办理提货。提单日期为交货日期。</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6.3 在现场交货和工厂交货条件下，乙方装运的货物（含软件及相关服务）不应超过合同规定的数量或重量。否则，乙方应对超运部分的数量或重量而引起的一切后果负责。</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7．装运通知</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8．保险</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9．付款方式</w:t>
      </w:r>
    </w:p>
    <w:p>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付款方式见合同专用条款。</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10．技术资料</w:t>
      </w:r>
    </w:p>
    <w:p>
      <w:pPr>
        <w:adjustRightInd w:val="0"/>
        <w:snapToGrid w:val="0"/>
        <w:spacing w:line="360" w:lineRule="auto"/>
        <w:rPr>
          <w:rFonts w:ascii="宋体" w:hAnsi="宋体" w:cs="宋体"/>
          <w:color w:val="auto"/>
          <w:sz w:val="28"/>
          <w:szCs w:val="28"/>
          <w:highlight w:val="none"/>
        </w:rPr>
      </w:pPr>
      <w:r>
        <w:rPr>
          <w:rFonts w:hint="eastAsia" w:ascii="宋体" w:hAnsi="宋体" w:cs="宋体"/>
          <w:color w:val="auto"/>
          <w:sz w:val="28"/>
          <w:szCs w:val="28"/>
          <w:highlight w:val="none"/>
        </w:rPr>
        <w:t xml:space="preserve">   合同项下技术资料（除合同专用条款规定外）将以下列方式交付：</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10.1 合同生效后 60天之内，乙方应将每台设备和仪器的中文技术资料一套，如目录索引、图纸、操作手册、使用指南、维修指南和服务手册等交给甲方。</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10.2 另外一套完整的上述资料应包装好随每批货物（含软件及相关服务）一起发运。</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10.3 如果甲方确认乙方提供的技术资料不完整或在运输过程中丢失，乙方将在收到甲方通知后3天内将这些资料免费交给甲方。</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11．质量保证</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11.3 乙方在收到通知后三十天内应免费维修或更换有缺陷的货物（含软件及相关服务）或部件，并无偿为甲方提供替代产品。</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11.4 如果乙方在收到通知后三十天内没有弥补缺陷，甲方可采取必要的补救措施，但风险和费用将由乙方承担。</w:t>
      </w:r>
    </w:p>
    <w:p>
      <w:pPr>
        <w:adjustRightInd w:val="0"/>
        <w:snapToGrid w:val="0"/>
        <w:spacing w:line="360" w:lineRule="auto"/>
        <w:ind w:firstLine="560" w:firstLineChars="200"/>
        <w:rPr>
          <w:rFonts w:ascii="宋体" w:hAnsi="宋体" w:cs="宋体"/>
          <w:color w:val="auto"/>
          <w:sz w:val="28"/>
          <w:szCs w:val="28"/>
          <w:highlight w:val="none"/>
          <w:u w:val="single"/>
        </w:rPr>
      </w:pPr>
      <w:r>
        <w:rPr>
          <w:rFonts w:hint="eastAsia" w:ascii="宋体" w:hAnsi="宋体" w:cs="宋体"/>
          <w:color w:val="auto"/>
          <w:sz w:val="28"/>
          <w:szCs w:val="28"/>
          <w:highlight w:val="none"/>
        </w:rPr>
        <w:t>11.5 除合同专用条款规定外，合同项下货物（含软件及相关服务）的质量保证期为自货物（含软件及相关服务）通过最终验收起12个月。</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12.检验及安装</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12.3 如果货物（含软件及相关服务）的质量和规格与合同不符，或在第11条规定的质量保证期内证实货物（含软件及相关服务）是有缺陷的，包括潜在的缺陷或使用不符合要求的材料，甲方将有权向乙方提出索赔。</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12.4 甲方有权提出在货物（含软件及相关服务）制造过程中派人到制造厂进行监造，乙方有义务为甲方监造人员提乙方便。</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12.5 制造厂对所供货物（含软件及相关服务）进行机械运转试验和性能试验时，必须提前通知甲方。</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12.6 货物（含软件及相关服务）的安装按采购文件的要求进行。</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13．索赔</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13.1 除责任应由保险公司或运输部门承担的之外，甲方有权根据甲方按检验标准自己检验的结果或当地商检部门出具的商检证书向乙方提出索赔。</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13.2 在第 11条和第 12条规定的检验期和质量保证期内，如果乙方对甲方提出的索赔和差异负有责任，乙方应按照甲方同意的下列一种或多种方式解决索赔事宜：</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（2）根据货物（含软件及相关服务）的低劣程度、损坏程度以及甲方遭受损失的数额，经买卖双方商定降低货物（含软件及相关服务）的价格。</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14．拖延交货</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14.l 乙方应按照合同专用条款中规定的交货期交货和提供服务。</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14.2 如果乙方毫无理由地拖延交货达1个月以上的，将受到以下制裁：没收履约保证金，加收违约损失赔偿和／或终止合同。</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14.3 在履行合同过程中，如果乙方遇到不能按时交货和提供服务的情况，应及时以书面形式将不能按时交货的理由、延误时间通知甲方。甲方在收到乙方通知后，应进行分析，可通过修改合同，酌情延长交货时间。</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15．违约赔偿</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16．不可抗力</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16.l 如果双方中任何一方由于战争、严重火灾、水灾、台风和地震以及其它经双方同意属于不可抗力的事故，致使合同履行受阻时，履行合同的期限应予以延长，延长的期限应相当于事故所影响的时间。</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17．税费</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17.l 中国政府根据现行税法对甲方征收的与本合同有关的一切税费均由甲方承担。</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17.2 中国政府根据现行税法对乙方征收的与本合同有关的一切税费均由乙方承担。</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17.3 在中国境外发生的与执行本合同有关的一切税费均由乙方承担。</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18．仲裁</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18.l 买卖双方应通过友好协商，解决在执行本合同中所发生的或与本合同有关的一切争端，如果协商仍得不到解决，任何一方均可按“中华人民共和国民法典”规定提交调解和仲裁。</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18.2 仲裁裁决应为终局裁决，对双方均具有约束力。</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18.3 仲裁费除仲裁机构另有裁决外应由败诉方负担。</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18.4 在仲裁期间，除正在进行仲裁的部分外，合同其它部分继续执行。</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19．违约终止合同</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（l）如果乙方未能在合同规定的期限或甲方同意延期的限期内提供全部或部分货物（含软件及相关服务）；</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（2）如果乙方未能履行合同规定的其它义务。</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20．破产终止合同</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如果乙方破产或无清偿能力，甲方可在任何时候以书面通知乙方终止合同，该终止合同以不损害或影响甲方已经采取或将采取补救措施的权利。</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21．转让与分包</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21.1 未经甲方事先书面同意，乙方不得部分转让或全部转让其应履行的合同义务。</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21.2 对投标中没有明确分包的合同，乙方应书面通知甲方本合同中将分包的全部分包合同，在原投标/响应文件中或后来发出的分包通知均不能解除乙方履行本合同的义务。</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22．适用法律</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本合同应按中华人民共和国的法律进行解释。</w:t>
      </w:r>
    </w:p>
    <w:p>
      <w:pPr>
        <w:pStyle w:val="2"/>
        <w:adjustRightInd w:val="0"/>
        <w:snapToGrid w:val="0"/>
        <w:spacing w:line="360" w:lineRule="auto"/>
        <w:rPr>
          <w:rFonts w:hint="default" w:cs="宋体"/>
          <w:color w:val="auto"/>
          <w:sz w:val="28"/>
          <w:szCs w:val="28"/>
          <w:highlight w:val="none"/>
        </w:rPr>
      </w:pPr>
      <w:r>
        <w:rPr>
          <w:rFonts w:cs="宋体"/>
          <w:color w:val="auto"/>
          <w:sz w:val="28"/>
          <w:szCs w:val="28"/>
          <w:highlight w:val="none"/>
        </w:rPr>
        <w:t>23．合同生效及其它</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23.1 合同在双方签字盖章后生效。</w:t>
      </w:r>
    </w:p>
    <w:p>
      <w:pPr>
        <w:adjustRightInd w:val="0"/>
        <w:snapToGrid w:val="0"/>
        <w:spacing w:line="360" w:lineRule="auto"/>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23.2 如需修改或补充合同内容，经协商，双方应签署书面修改或补充协议并经招标人鉴证，该协议将作为本合同的一个组成部分。</w:t>
      </w:r>
    </w:p>
    <w:p>
      <w:pPr>
        <w:adjustRightInd w:val="0"/>
        <w:snapToGrid w:val="0"/>
        <w:spacing w:line="360" w:lineRule="auto"/>
        <w:rPr>
          <w:rFonts w:ascii="宋体" w:hAnsi="宋体" w:cs="宋体"/>
          <w:dstrike/>
          <w:color w:val="auto"/>
          <w:sz w:val="28"/>
          <w:szCs w:val="28"/>
          <w:highlight w:val="none"/>
        </w:rPr>
      </w:pPr>
    </w:p>
    <w:p>
      <w:pPr>
        <w:adjustRightInd w:val="0"/>
        <w:snapToGrid w:val="0"/>
        <w:spacing w:line="360" w:lineRule="auto"/>
        <w:rPr>
          <w:rFonts w:ascii="宋体" w:hAnsi="宋体" w:cs="宋体"/>
          <w:b/>
          <w:color w:val="auto"/>
          <w:sz w:val="28"/>
          <w:szCs w:val="28"/>
          <w:highlight w:val="none"/>
        </w:rPr>
      </w:pPr>
      <w:r>
        <w:rPr>
          <w:rFonts w:hint="eastAsia" w:ascii="宋体" w:hAnsi="宋体" w:cs="宋体"/>
          <w:b/>
          <w:color w:val="auto"/>
          <w:sz w:val="28"/>
          <w:szCs w:val="28"/>
          <w:highlight w:val="none"/>
        </w:rPr>
        <w:t>备注：合同通用条款与合同专用条款不一致的，以合同专用条款为准。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8"/>
    <w:family w:val="modern"/>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文泉驿微米黑"/>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
    <w:altName w:val="文泉驿微米黑"/>
    <w:panose1 w:val="02010609060101010101"/>
    <w:charset w:val="86"/>
    <w:family w:val="modern"/>
    <w:pitch w:val="default"/>
    <w:sig w:usb0="00000000" w:usb1="00000000" w:usb2="00000016" w:usb3="00000000" w:csb0="00040001" w:csb1="00000000"/>
  </w:font>
  <w:font w:name="仿宋">
    <w:altName w:val="宋体"/>
    <w:panose1 w:val="02010609060101010101"/>
    <w:charset w:val="86"/>
    <w:family w:val="modern"/>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文泉驿微米黑">
    <w:panose1 w:val="020B0606030804020204"/>
    <w:charset w:val="86"/>
    <w:family w:val="auto"/>
    <w:pitch w:val="default"/>
    <w:sig w:usb0="E10002EF" w:usb1="6BDFFCFB" w:usb2="00800036" w:usb3="00000000" w:csb0="603E019F" w:csb1="DFD70000"/>
  </w:font>
  <w:font w:name="文泉驿正黑">
    <w:panose1 w:val="02000603000000000000"/>
    <w:charset w:val="86"/>
    <w:family w:val="auto"/>
    <w:pitch w:val="default"/>
    <w:sig w:usb0="900002BF" w:usb1="2BDF7DFB" w:usb2="00000036" w:usb3="00000000" w:csb0="603E000D" w:csb1="D2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abstractNum w:abstractNumId="1">
    <w:nsid w:val="FFDC119E"/>
    <w:multiLevelType w:val="singleLevel"/>
    <w:tmpl w:val="FFDC119E"/>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520D34"/>
    <w:rsid w:val="0A520D34"/>
    <w:rsid w:val="17AD9305"/>
    <w:rsid w:val="BBF8171A"/>
    <w:rsid w:val="BFFD5608"/>
    <w:rsid w:val="CBAF9EA2"/>
    <w:rsid w:val="EFBDB6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customStyle="1" w:styleId="7">
    <w:name w:val="Normal_140"/>
    <w:qFormat/>
    <w:uiPriority w:val="0"/>
    <w:pPr>
      <w:spacing w:before="120" w:after="240"/>
      <w:jc w:val="both"/>
    </w:pPr>
    <w:rPr>
      <w:rFonts w:ascii="Calibri" w:hAnsi="Calibri" w:eastAsia="Calibri" w:cs="Times New Roman"/>
      <w:sz w:val="22"/>
      <w:szCs w:val="22"/>
      <w:lang w:val="ru-RU"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6</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2025-06-21T09:23:00Z</dcterms:created>
  <dc:creator>AOC</dc:creator>
  <cp:lastModifiedBy>uos</cp:lastModifiedBy>
  <dcterms:modified xsi:type="dcterms:W3CDTF">2025-08-08T16:56:56Z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D3857FC313DF483C997E308FF7713A74_11</vt:lpwstr>
  </property>
</Properties>
</file>