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2025年取水监测计量体系建设项目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[ZZYD]20250700001[CS]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海南省水文水资源勘测局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海南中政源达项目管理有限公司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海南省水文水资源勘测局</w:t>
      </w:r>
      <w:r>
        <w:rPr>
          <w:rFonts w:ascii="仿宋_GB2312" w:hAnsi="仿宋_GB2312" w:cs="仿宋_GB2312" w:eastAsia="仿宋_GB2312"/>
        </w:rPr>
        <w:t xml:space="preserve"> 的委托， </w:t>
      </w:r>
      <w:r>
        <w:rPr>
          <w:rFonts w:ascii="仿宋_GB2312" w:hAnsi="仿宋_GB2312" w:cs="仿宋_GB2312" w:eastAsia="仿宋_GB2312"/>
        </w:rPr>
        <w:t>海南中政源达项目管理有限公司</w:t>
      </w:r>
      <w:r>
        <w:rPr>
          <w:rFonts w:ascii="仿宋_GB2312" w:hAnsi="仿宋_GB2312" w:cs="仿宋_GB2312" w:eastAsia="仿宋_GB2312"/>
        </w:rPr>
        <w:t xml:space="preserve"> 对 </w:t>
      </w:r>
      <w:r>
        <w:rPr>
          <w:rFonts w:ascii="仿宋_GB2312" w:hAnsi="仿宋_GB2312" w:cs="仿宋_GB2312" w:eastAsia="仿宋_GB2312"/>
        </w:rPr>
        <w:t>2025年取水监测计量体系建设项目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[ZZYD]20250700001[CS]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2025年取水监测计量体系建设项目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2,490,000.00元</w:t>
      </w:r>
      <w:r>
        <w:rPr>
          <w:rFonts w:ascii="仿宋_GB2312" w:hAnsi="仿宋_GB2312" w:cs="仿宋_GB2312" w:eastAsia="仿宋_GB2312"/>
        </w:rPr>
        <w:t>贰佰肆拾玖万元整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自合同签订生效之日起至2025年12月31日前完成交付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海南省水文水资源勘测局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0898-65319186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海南中政源达项目管理有限公司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海南省海口市美兰区蓝天街道国兴大道11号海阔天空国瑞城（S5地块）B座办公楼31层B3102房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0898-65723406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采购包1：2,490,000.00元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代理服务费收费标准：参考计价格[2002]1980号收费标准，优惠后以17300元记取最终代理服务费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联系电话：0898-65723406</w:t>
      </w:r>
    </w:p>
    <w:p>
      <w:pPr>
        <w:pStyle w:val="null3"/>
        <w:jc w:val="left"/>
      </w:pPr>
      <w:r>
        <w:rPr>
          <w:rFonts w:ascii="仿宋_GB2312" w:hAnsi="仿宋_GB2312" w:cs="仿宋_GB2312" w:eastAsia="仿宋_GB2312"/>
        </w:rPr>
        <w:t>地址：海口市美兰区国兴大道11号海阔天空国瑞城S5地块B座办公楼西塔31层3102房</w:t>
      </w:r>
    </w:p>
    <w:p>
      <w:pPr>
        <w:pStyle w:val="null3"/>
        <w:jc w:val="left"/>
      </w:pPr>
      <w:r>
        <w:rPr>
          <w:rFonts w:ascii="仿宋_GB2312" w:hAnsi="仿宋_GB2312" w:cs="仿宋_GB2312" w:eastAsia="仿宋_GB2312"/>
        </w:rPr>
        <w:t>邮编：571800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2025</w:t>
      </w:r>
      <w:r>
        <w:rPr>
          <w:rFonts w:ascii="仿宋_GB2312" w:hAnsi="仿宋_GB2312" w:cs="仿宋_GB2312" w:eastAsia="仿宋_GB2312"/>
          <w:sz w:val="24"/>
        </w:rPr>
        <w:t>年取水监测计量体系建设项目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、交付方式：所有数据传输至水文局国家水资源监控平台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、建设地点：用户指定地点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、交付期：</w:t>
      </w:r>
      <w:r>
        <w:rPr>
          <w:rFonts w:ascii="仿宋_GB2312" w:hAnsi="仿宋_GB2312" w:cs="仿宋_GB2312" w:eastAsia="仿宋_GB2312"/>
          <w:sz w:val="24"/>
        </w:rPr>
        <w:t>自合同签订生效之日起至2025年12月31日前完成交付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 xml:space="preserve">、项目预算：设备采购安装费用 </w:t>
      </w:r>
      <w:r>
        <w:rPr>
          <w:rFonts w:ascii="仿宋_GB2312" w:hAnsi="仿宋_GB2312" w:cs="仿宋_GB2312" w:eastAsia="仿宋_GB2312"/>
          <w:sz w:val="24"/>
        </w:rPr>
        <w:t xml:space="preserve">2322678.00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、质保期：</w:t>
      </w:r>
      <w:r>
        <w:rPr>
          <w:rFonts w:ascii="仿宋_GB2312" w:hAnsi="仿宋_GB2312" w:cs="仿宋_GB2312" w:eastAsia="仿宋_GB2312"/>
          <w:sz w:val="24"/>
        </w:rPr>
        <w:t>2</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、付款方式：</w:t>
      </w:r>
      <w:r>
        <w:rPr>
          <w:rFonts w:ascii="仿宋_GB2312" w:hAnsi="仿宋_GB2312" w:cs="仿宋_GB2312" w:eastAsia="仿宋_GB2312"/>
          <w:sz w:val="24"/>
        </w:rPr>
        <w:t>签订合同后预付合同总价款</w:t>
      </w:r>
      <w:r>
        <w:rPr>
          <w:rFonts w:ascii="仿宋_GB2312" w:hAnsi="仿宋_GB2312" w:cs="仿宋_GB2312" w:eastAsia="仿宋_GB2312"/>
          <w:sz w:val="24"/>
        </w:rPr>
        <w:t xml:space="preserve">30% </w:t>
      </w:r>
      <w:r>
        <w:rPr>
          <w:rFonts w:ascii="仿宋_GB2312" w:hAnsi="仿宋_GB2312" w:cs="仿宋_GB2312" w:eastAsia="仿宋_GB2312"/>
          <w:sz w:val="24"/>
        </w:rPr>
        <w:t xml:space="preserve">；完成到货验收支付合同总价款 </w:t>
      </w:r>
      <w:r>
        <w:rPr>
          <w:rFonts w:ascii="仿宋_GB2312" w:hAnsi="仿宋_GB2312" w:cs="仿宋_GB2312" w:eastAsia="仿宋_GB2312"/>
          <w:sz w:val="24"/>
        </w:rPr>
        <w:t>40%</w:t>
      </w:r>
      <w:r>
        <w:rPr>
          <w:rFonts w:ascii="仿宋_GB2312" w:hAnsi="仿宋_GB2312" w:cs="仿宋_GB2312" w:eastAsia="仿宋_GB2312"/>
          <w:sz w:val="24"/>
        </w:rPr>
        <w:t>；安装调试并通过验收，且乙方提供合同总价款</w:t>
      </w:r>
      <w:r>
        <w:rPr>
          <w:rFonts w:ascii="仿宋_GB2312" w:hAnsi="仿宋_GB2312" w:cs="仿宋_GB2312" w:eastAsia="仿宋_GB2312"/>
          <w:sz w:val="24"/>
        </w:rPr>
        <w:t>5%</w:t>
      </w:r>
      <w:r>
        <w:rPr>
          <w:rFonts w:ascii="仿宋_GB2312" w:hAnsi="仿宋_GB2312" w:cs="仿宋_GB2312" w:eastAsia="仿宋_GB2312"/>
          <w:sz w:val="24"/>
        </w:rPr>
        <w:t xml:space="preserve">的履约保函作为质量保证金后，支付合同总价款 </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待质保期到期后退回保函。（具体细节以合同约定为准）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验收要求按国家、行业、采购文件要求成交人的响应文件内容进行验收。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2,490,000.00</w:t>
      </w:r>
    </w:p>
    <w:p>
      <w:pPr>
        <w:pStyle w:val="null3"/>
        <w:jc w:val="left"/>
      </w:pPr>
      <w:r>
        <w:rPr>
          <w:rFonts w:ascii="仿宋_GB2312" w:hAnsi="仿宋_GB2312" w:cs="仿宋_GB2312" w:eastAsia="仿宋_GB2312"/>
        </w:rPr>
        <w:t>采购包最高限价（元）: 2,322,678.00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A02100899-其他计量仪器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1,908,678.00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A02100899-其他计量仪器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虚拟化服务器</w:t>
            </w:r>
          </w:p>
          <w:p>
            <w:pPr>
              <w:pStyle w:val="null3"/>
              <w:jc w:val="left"/>
            </w:pPr>
            <w:r>
              <w:rPr>
                <w:rFonts w:ascii="仿宋_GB2312" w:hAnsi="仿宋_GB2312" w:cs="仿宋_GB2312" w:eastAsia="仿宋_GB2312"/>
              </w:rPr>
              <w:t>1、配置≥2个处理器，每处理器 ≥ 32核，主频≥2.0GHz；</w:t>
            </w:r>
            <w:r>
              <w:br/>
            </w:r>
            <w:r>
              <w:rPr>
                <w:rFonts w:ascii="仿宋_GB2312" w:hAnsi="仿宋_GB2312" w:cs="仿宋_GB2312" w:eastAsia="仿宋_GB2312"/>
              </w:rPr>
              <w:t xml:space="preserve"> 2、提供≥32个DDR4内存插槽，配置≥512GB内存，内存类型:DDR4 3200MHz；</w:t>
            </w:r>
            <w:r>
              <w:br/>
            </w:r>
            <w:r>
              <w:rPr>
                <w:rFonts w:ascii="仿宋_GB2312" w:hAnsi="仿宋_GB2312" w:cs="仿宋_GB2312" w:eastAsia="仿宋_GB2312"/>
              </w:rPr>
              <w:t xml:space="preserve"> 3、支持≥10个x8插槽，≥1个x16插槽，≥1个OCP扩展（不占用PCle插槽）；</w:t>
            </w:r>
            <w:r>
              <w:br/>
            </w:r>
            <w:r>
              <w:rPr>
                <w:rFonts w:ascii="仿宋_GB2312" w:hAnsi="仿宋_GB2312" w:cs="仿宋_GB2312" w:eastAsia="仿宋_GB2312"/>
              </w:rPr>
              <w:t xml:space="preserve"> 4、支持≥4个双宽GPU或≥8个单宽GPU/显卡；</w:t>
            </w:r>
            <w:r>
              <w:br/>
            </w:r>
            <w:r>
              <w:rPr>
                <w:rFonts w:ascii="仿宋_GB2312" w:hAnsi="仿宋_GB2312" w:cs="仿宋_GB2312" w:eastAsia="仿宋_GB2312"/>
              </w:rPr>
              <w:t xml:space="preserve"> 5、配置≥3块1.2TB 热插拔SAS硬盘；配置≥4块16TB SATA硬盘；</w:t>
            </w:r>
            <w:r>
              <w:br/>
            </w:r>
            <w:r>
              <w:rPr>
                <w:rFonts w:ascii="仿宋_GB2312" w:hAnsi="仿宋_GB2312" w:cs="仿宋_GB2312" w:eastAsia="仿宋_GB2312"/>
              </w:rPr>
              <w:t xml:space="preserve"> 6、配置RAID卡，支持RAID0,1,5,6,10,50,60；</w:t>
            </w:r>
            <w:r>
              <w:br/>
            </w:r>
            <w:r>
              <w:rPr>
                <w:rFonts w:ascii="仿宋_GB2312" w:hAnsi="仿宋_GB2312" w:cs="仿宋_GB2312" w:eastAsia="仿宋_GB2312"/>
              </w:rPr>
              <w:t xml:space="preserve"> 7、标准配置最大支持11个标准PCIe插槽；配置含一个千兆管理口；</w:t>
            </w:r>
            <w:r>
              <w:br/>
            </w:r>
            <w:r>
              <w:rPr>
                <w:rFonts w:ascii="仿宋_GB2312" w:hAnsi="仿宋_GB2312" w:cs="仿宋_GB2312" w:eastAsia="仿宋_GB2312"/>
              </w:rPr>
              <w:t xml:space="preserve"> 8、配置≥2个4口千兆接口以太网卡；配置≥2个10Gbps光纤以太网口；</w:t>
            </w:r>
            <w:r>
              <w:br/>
            </w:r>
            <w:r>
              <w:rPr>
                <w:rFonts w:ascii="仿宋_GB2312" w:hAnsi="仿宋_GB2312" w:cs="仿宋_GB2312" w:eastAsia="仿宋_GB2312"/>
              </w:rPr>
              <w:t xml:space="preserve"> 9、配置N+1个电源模块（风扇）；</w:t>
            </w:r>
            <w:r>
              <w:br/>
            </w:r>
            <w:r>
              <w:rPr>
                <w:rFonts w:ascii="仿宋_GB2312" w:hAnsi="仿宋_GB2312" w:cs="仿宋_GB2312" w:eastAsia="仿宋_GB2312"/>
              </w:rPr>
              <w:t xml:space="preserve"> 10、非OEM贴牌，适用于通用机房环境，支持标准机柜；</w:t>
            </w:r>
            <w:r>
              <w:br/>
            </w:r>
            <w:r>
              <w:rPr>
                <w:rFonts w:ascii="仿宋_GB2312" w:hAnsi="仿宋_GB2312" w:cs="仿宋_GB2312" w:eastAsia="仿宋_GB2312"/>
              </w:rPr>
              <w:t xml:space="preserve"> 11、3年原厂安装调试售后服务；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数据库服务器</w:t>
            </w:r>
          </w:p>
          <w:p>
            <w:pPr>
              <w:pStyle w:val="null3"/>
              <w:jc w:val="left"/>
            </w:pPr>
            <w:r>
              <w:rPr>
                <w:rFonts w:ascii="仿宋_GB2312" w:hAnsi="仿宋_GB2312" w:cs="仿宋_GB2312" w:eastAsia="仿宋_GB2312"/>
              </w:rPr>
              <w:t>1、配置≥2个处理器，每处理器 ≥ 28核，主频≥2.0GHz；</w:t>
            </w:r>
            <w:r>
              <w:br/>
            </w:r>
            <w:r>
              <w:rPr>
                <w:rFonts w:ascii="仿宋_GB2312" w:hAnsi="仿宋_GB2312" w:cs="仿宋_GB2312" w:eastAsia="仿宋_GB2312"/>
              </w:rPr>
              <w:t xml:space="preserve"> 2、提供≥32个DDR4内存插槽，配置≥256GB内存，内存类型:DDR4 3200MHz；</w:t>
            </w:r>
            <w:r>
              <w:br/>
            </w:r>
            <w:r>
              <w:rPr>
                <w:rFonts w:ascii="仿宋_GB2312" w:hAnsi="仿宋_GB2312" w:cs="仿宋_GB2312" w:eastAsia="仿宋_GB2312"/>
              </w:rPr>
              <w:t xml:space="preserve"> 3、支持≥10个x8插槽，≥1个x16插槽，≥1个OCP扩展（不占用PCle插槽）；</w:t>
            </w:r>
            <w:r>
              <w:br/>
            </w:r>
            <w:r>
              <w:rPr>
                <w:rFonts w:ascii="仿宋_GB2312" w:hAnsi="仿宋_GB2312" w:cs="仿宋_GB2312" w:eastAsia="仿宋_GB2312"/>
              </w:rPr>
              <w:t xml:space="preserve"> 4、支持≥4个双宽GPU或≥8个单宽GPU/显卡；</w:t>
            </w:r>
            <w:r>
              <w:br/>
            </w:r>
            <w:r>
              <w:rPr>
                <w:rFonts w:ascii="仿宋_GB2312" w:hAnsi="仿宋_GB2312" w:cs="仿宋_GB2312" w:eastAsia="仿宋_GB2312"/>
              </w:rPr>
              <w:t xml:space="preserve"> 5、配置≥2块1.92T 热插拔SSD硬盘；配置≥3块16T SATA硬盘;</w:t>
            </w:r>
            <w:r>
              <w:br/>
            </w:r>
            <w:r>
              <w:rPr>
                <w:rFonts w:ascii="仿宋_GB2312" w:hAnsi="仿宋_GB2312" w:cs="仿宋_GB2312" w:eastAsia="仿宋_GB2312"/>
              </w:rPr>
              <w:t xml:space="preserve"> 6、配置RAID卡，支持RAID0,1,5,6,10,50,60；</w:t>
            </w:r>
            <w:r>
              <w:br/>
            </w:r>
            <w:r>
              <w:rPr>
                <w:rFonts w:ascii="仿宋_GB2312" w:hAnsi="仿宋_GB2312" w:cs="仿宋_GB2312" w:eastAsia="仿宋_GB2312"/>
              </w:rPr>
              <w:t xml:space="preserve"> 7、标准配置最大支持11个标准PCIe插槽；配置含一个千兆管理口；</w:t>
            </w:r>
            <w:r>
              <w:br/>
            </w:r>
            <w:r>
              <w:rPr>
                <w:rFonts w:ascii="仿宋_GB2312" w:hAnsi="仿宋_GB2312" w:cs="仿宋_GB2312" w:eastAsia="仿宋_GB2312"/>
              </w:rPr>
              <w:t xml:space="preserve"> 8、配置≥2个4口千兆接口以太网卡；配置≥2个10Gbps光纤以太网口；</w:t>
            </w:r>
            <w:r>
              <w:br/>
            </w:r>
            <w:r>
              <w:rPr>
                <w:rFonts w:ascii="仿宋_GB2312" w:hAnsi="仿宋_GB2312" w:cs="仿宋_GB2312" w:eastAsia="仿宋_GB2312"/>
              </w:rPr>
              <w:t xml:space="preserve"> 9、非OEM贴牌，适用于通用机房环境，支持标准机柜；</w:t>
            </w:r>
            <w:r>
              <w:br/>
            </w:r>
            <w:r>
              <w:rPr>
                <w:rFonts w:ascii="仿宋_GB2312" w:hAnsi="仿宋_GB2312" w:cs="仿宋_GB2312" w:eastAsia="仿宋_GB2312"/>
              </w:rPr>
              <w:t xml:space="preserve"> 10、配置1+1冗余电源模块（风扇）；</w:t>
            </w:r>
            <w:r>
              <w:br/>
            </w:r>
            <w:r>
              <w:rPr>
                <w:rFonts w:ascii="仿宋_GB2312" w:hAnsi="仿宋_GB2312" w:cs="仿宋_GB2312" w:eastAsia="仿宋_GB2312"/>
              </w:rPr>
              <w:t xml:space="preserve"> 11、3年原厂安装调试售后服务；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服务器接入交换机</w:t>
            </w:r>
          </w:p>
          <w:p>
            <w:pPr>
              <w:pStyle w:val="null3"/>
              <w:jc w:val="left"/>
            </w:pPr>
            <w:r>
              <w:rPr>
                <w:rFonts w:ascii="仿宋_GB2312" w:hAnsi="仿宋_GB2312" w:cs="仿宋_GB2312" w:eastAsia="仿宋_GB2312"/>
              </w:rPr>
              <w:t>交换机提供 ≥48个10Gbps SFP+接口，包括≥10个10Gbps模块，≥6个100GE QSFP28接口，或≥6个40GE QSFP+接口，配置堆叠线缆，冗余电源，3年原厂售后服务；</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管理交换机</w:t>
            </w:r>
          </w:p>
          <w:p>
            <w:pPr>
              <w:pStyle w:val="null3"/>
              <w:jc w:val="left"/>
            </w:pPr>
            <w:r>
              <w:rPr>
                <w:rFonts w:ascii="仿宋_GB2312" w:hAnsi="仿宋_GB2312" w:cs="仿宋_GB2312" w:eastAsia="仿宋_GB2312"/>
              </w:rPr>
              <w:t>≥48口10/100/1000M自适应电口，≥4个1G/10G SFP+光口，包含≥4个万兆多模模块，3年原厂售后服务；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数据备份系统</w:t>
            </w:r>
          </w:p>
          <w:p>
            <w:pPr>
              <w:pStyle w:val="null3"/>
              <w:jc w:val="left"/>
            </w:pPr>
            <w:r>
              <w:rPr>
                <w:rFonts w:ascii="仿宋_GB2312" w:hAnsi="仿宋_GB2312" w:cs="仿宋_GB2312" w:eastAsia="仿宋_GB2312"/>
              </w:rPr>
              <w:t>CPU≥4Core 3.1GHz；内存≥1*16GB DDR4，剩余可用内存插槽≥3个，≥2*240GB SSD 系统盘（RAID1）；板载≥2口千兆，≥3*8TB SATA热插拔硬盘；</w:t>
            </w:r>
            <w:r>
              <w:br/>
            </w:r>
            <w:r>
              <w:rPr>
                <w:rFonts w:ascii="仿宋_GB2312" w:hAnsi="仿宋_GB2312" w:cs="仿宋_GB2312" w:eastAsia="仿宋_GB2312"/>
              </w:rPr>
              <w:t xml:space="preserve"> 提供原厂硬件三年维保，提供现场安装、调试服务，提供本地化服务</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辅材</w:t>
            </w:r>
          </w:p>
          <w:p>
            <w:pPr>
              <w:pStyle w:val="null3"/>
              <w:jc w:val="left"/>
            </w:pPr>
            <w:r>
              <w:rPr>
                <w:rFonts w:ascii="仿宋_GB2312" w:hAnsi="仿宋_GB2312" w:cs="仿宋_GB2312" w:eastAsia="仿宋_GB2312"/>
              </w:rPr>
              <w:t>包含PVC管等</w:t>
            </w:r>
            <w:r>
              <w:br/>
            </w:r>
            <w:r>
              <w:rPr>
                <w:rFonts w:ascii="仿宋_GB2312" w:hAnsi="仿宋_GB2312" w:cs="仿宋_GB2312" w:eastAsia="仿宋_GB2312"/>
              </w:rPr>
              <w:t xml:space="preserve"> 5米LC-LC多模光纤跳线，10对；</w:t>
            </w:r>
            <w:r>
              <w:br/>
            </w:r>
            <w:r>
              <w:rPr>
                <w:rFonts w:ascii="仿宋_GB2312" w:hAnsi="仿宋_GB2312" w:cs="仿宋_GB2312" w:eastAsia="仿宋_GB2312"/>
              </w:rPr>
              <w:t xml:space="preserve"> 10米LC-LC多模光纤跳线，10对；</w:t>
            </w:r>
            <w:r>
              <w:br/>
            </w:r>
            <w:r>
              <w:rPr>
                <w:rFonts w:ascii="仿宋_GB2312" w:hAnsi="仿宋_GB2312" w:cs="仿宋_GB2312" w:eastAsia="仿宋_GB2312"/>
              </w:rPr>
              <w:t xml:space="preserve"> 5米工程级6类双绞线，10条；</w:t>
            </w:r>
            <w:r>
              <w:br/>
            </w:r>
            <w:r>
              <w:rPr>
                <w:rFonts w:ascii="仿宋_GB2312" w:hAnsi="仿宋_GB2312" w:cs="仿宋_GB2312" w:eastAsia="仿宋_GB2312"/>
              </w:rPr>
              <w:t xml:space="preserve"> 10米工程级6类双绞线，10条；</w:t>
            </w:r>
            <w:r>
              <w:br/>
            </w:r>
            <w:r>
              <w:rPr>
                <w:rFonts w:ascii="仿宋_GB2312" w:hAnsi="仿宋_GB2312" w:cs="仿宋_GB2312" w:eastAsia="仿宋_GB2312"/>
              </w:rPr>
              <w:t xml:space="preserve"> 工程级六类双绞线，1箱，RJ45水晶头，1盒；含线路梳理及标签规格服务*1;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日志审计</w:t>
            </w:r>
          </w:p>
          <w:p>
            <w:pPr>
              <w:pStyle w:val="null3"/>
              <w:jc w:val="left"/>
            </w:pPr>
            <w:r>
              <w:rPr>
                <w:rFonts w:ascii="仿宋_GB2312" w:hAnsi="仿宋_GB2312" w:cs="仿宋_GB2312" w:eastAsia="仿宋_GB2312"/>
              </w:rPr>
              <w:t>1、业务接口：千兆电口≥6个，扩展槽≥1个，USB接口≥2个、Console口≥1个，硬盘≥4T；</w:t>
            </w:r>
            <w:r>
              <w:br/>
            </w:r>
            <w:r>
              <w:rPr>
                <w:rFonts w:ascii="仿宋_GB2312" w:hAnsi="仿宋_GB2312" w:cs="仿宋_GB2312" w:eastAsia="仿宋_GB2312"/>
              </w:rPr>
              <w:t xml:space="preserve"> 2、审计授权≥60；</w:t>
            </w:r>
            <w:r>
              <w:br/>
            </w:r>
            <w:r>
              <w:rPr>
                <w:rFonts w:ascii="仿宋_GB2312" w:hAnsi="仿宋_GB2312" w:cs="仿宋_GB2312" w:eastAsia="仿宋_GB2312"/>
              </w:rPr>
              <w:t xml:space="preserve"> 3、日志处理能力≥2000条/秒、日志存储能力≥1.7亿条/天。</w:t>
            </w:r>
            <w:r>
              <w:br/>
            </w:r>
            <w:r>
              <w:rPr>
                <w:rFonts w:ascii="仿宋_GB2312" w:hAnsi="仿宋_GB2312" w:cs="仿宋_GB2312" w:eastAsia="仿宋_GB2312"/>
              </w:rPr>
              <w:t xml:space="preserve"> 4、支持国内外主流厂商安全设备、网络设备的日志采集；支持 主流数据库；支持主流操作系统；支持主流应用系统；</w:t>
            </w:r>
            <w:r>
              <w:br/>
            </w:r>
            <w:r>
              <w:rPr>
                <w:rFonts w:ascii="仿宋_GB2312" w:hAnsi="仿宋_GB2312" w:cs="仿宋_GB2312" w:eastAsia="仿宋_GB2312"/>
              </w:rPr>
              <w:t xml:space="preserve"> 5、支持根据设备类型，按日期展示日志的接入情况，包含不同级别日志数量统计；</w:t>
            </w:r>
            <w:r>
              <w:br/>
            </w:r>
            <w:r>
              <w:rPr>
                <w:rFonts w:ascii="仿宋_GB2312" w:hAnsi="仿宋_GB2312" w:cs="仿宋_GB2312" w:eastAsia="仿宋_GB2312"/>
              </w:rPr>
              <w:t xml:space="preserve"> 6、支持简单易用的日志查询普通模式，根据系统预置的查询条件，根据用户需求查询对应的日志，并且支持查询条件的保存，供后续快捷使用；</w:t>
            </w:r>
            <w:r>
              <w:br/>
            </w:r>
            <w:r>
              <w:rPr>
                <w:rFonts w:ascii="仿宋_GB2312" w:hAnsi="仿宋_GB2312" w:cs="仿宋_GB2312" w:eastAsia="仿宋_GB2312"/>
              </w:rPr>
              <w:t xml:space="preserve"> 7、提供三年硬件质保服务。</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运维审计系统</w:t>
            </w:r>
          </w:p>
          <w:p>
            <w:pPr>
              <w:pStyle w:val="null3"/>
              <w:jc w:val="left"/>
            </w:pPr>
            <w:r>
              <w:rPr>
                <w:rFonts w:ascii="仿宋_GB2312" w:hAnsi="仿宋_GB2312" w:cs="仿宋_GB2312" w:eastAsia="仿宋_GB2312"/>
              </w:rPr>
              <w:t>1、业务接口：千兆电口≥6个，扩展槽≥1个，硬盘≥4T，高度≤1U，USB接口≥2个，Console口≥1个；</w:t>
            </w:r>
            <w:r>
              <w:br/>
            </w:r>
            <w:r>
              <w:rPr>
                <w:rFonts w:ascii="仿宋_GB2312" w:hAnsi="仿宋_GB2312" w:cs="仿宋_GB2312" w:eastAsia="仿宋_GB2312"/>
              </w:rPr>
              <w:t xml:space="preserve"> 2、管理点数≥60，最大字符连接≥100个，最大图型连接≥50个；</w:t>
            </w:r>
            <w:r>
              <w:br/>
            </w:r>
            <w:r>
              <w:rPr>
                <w:rFonts w:ascii="仿宋_GB2312" w:hAnsi="仿宋_GB2312" w:cs="仿宋_GB2312" w:eastAsia="仿宋_GB2312"/>
              </w:rPr>
              <w:t xml:space="preserve"> 3、支持通过协议前置机进行协议扩展，可支持扩展 KVM、Vmware、数据库、http/https、CS 应用等。</w:t>
            </w:r>
            <w:r>
              <w:br/>
            </w:r>
            <w:r>
              <w:rPr>
                <w:rFonts w:ascii="仿宋_GB2312" w:hAnsi="仿宋_GB2312" w:cs="仿宋_GB2312" w:eastAsia="仿宋_GB2312"/>
              </w:rPr>
              <w:t xml:space="preserve"> 4、支持通过动作流配置提供广泛的应用接入支持，无论被接入的资源如何设计登录动作，通过动作流配置即可实现单点登陆和审计接入；</w:t>
            </w:r>
            <w:r>
              <w:br/>
            </w:r>
            <w:r>
              <w:rPr>
                <w:rFonts w:ascii="仿宋_GB2312" w:hAnsi="仿宋_GB2312" w:cs="仿宋_GB2312" w:eastAsia="仿宋_GB2312"/>
              </w:rPr>
              <w:t xml:space="preserve"> 5、支持静态口令、动态口令、USB-KEY、数字证书、动态令牌、生物特征等多种认证及组合认证方式，认证传输过程加密；</w:t>
            </w:r>
            <w:r>
              <w:br/>
            </w:r>
            <w:r>
              <w:rPr>
                <w:rFonts w:ascii="仿宋_GB2312" w:hAnsi="仿宋_GB2312" w:cs="仿宋_GB2312" w:eastAsia="仿宋_GB2312"/>
              </w:rPr>
              <w:t xml:space="preserve"> 6、支持批量导入、导出用户信息；支持用户手动添加、删除、编辑、设定角色、单独指定登陆认证方式、设定用户有效期；</w:t>
            </w:r>
            <w:r>
              <w:br/>
            </w:r>
            <w:r>
              <w:rPr>
                <w:rFonts w:ascii="仿宋_GB2312" w:hAnsi="仿宋_GB2312" w:cs="仿宋_GB2312" w:eastAsia="仿宋_GB2312"/>
              </w:rPr>
              <w:t xml:space="preserve"> 7、提供三年硬件质保服务。</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漏洞扫描</w:t>
            </w:r>
          </w:p>
          <w:p>
            <w:pPr>
              <w:pStyle w:val="null3"/>
              <w:jc w:val="left"/>
            </w:pPr>
            <w:r>
              <w:rPr>
                <w:rFonts w:ascii="仿宋_GB2312" w:hAnsi="仿宋_GB2312" w:cs="仿宋_GB2312" w:eastAsia="仿宋_GB2312"/>
              </w:rPr>
              <w:t>1、业务接口：千兆电口≥6个，USB接口≥2个，扩展槽≥2个，双交流电源；</w:t>
            </w:r>
            <w:r>
              <w:br/>
            </w:r>
            <w:r>
              <w:rPr>
                <w:rFonts w:ascii="仿宋_GB2312" w:hAnsi="仿宋_GB2312" w:cs="仿宋_GB2312" w:eastAsia="仿宋_GB2312"/>
              </w:rPr>
              <w:t xml:space="preserve"> 2、支持快速摸排资产、精准定位风险隐患，及时响应通报并推动整改，帮助用户进行资产梳理，评估风险影响，形成安全管理闭环；</w:t>
            </w:r>
            <w:r>
              <w:br/>
            </w:r>
            <w:r>
              <w:rPr>
                <w:rFonts w:ascii="仿宋_GB2312" w:hAnsi="仿宋_GB2312" w:cs="仿宋_GB2312" w:eastAsia="仿宋_GB2312"/>
              </w:rPr>
              <w:t xml:space="preserve"> 3、采取旁路部署模式，支持分级部署与集中管理，IP可达即可进行检测，无需改变网络架构，基于WEB进行管理；</w:t>
            </w:r>
            <w:r>
              <w:br/>
            </w:r>
            <w:r>
              <w:rPr>
                <w:rFonts w:ascii="仿宋_GB2312" w:hAnsi="仿宋_GB2312" w:cs="仿宋_GB2312" w:eastAsia="仿宋_GB2312"/>
              </w:rPr>
              <w:t xml:space="preserve"> 4、支持资产盘点，可下发资产盘点任务导出专用资产盘点报告，支持自定义资产指纹；</w:t>
            </w:r>
            <w:r>
              <w:br/>
            </w:r>
            <w:r>
              <w:rPr>
                <w:rFonts w:ascii="仿宋_GB2312" w:hAnsi="仿宋_GB2312" w:cs="仿宋_GB2312" w:eastAsia="仿宋_GB2312"/>
              </w:rPr>
              <w:t xml:space="preserve"> 5、支持漏洞检测及弱口令的识别能力，支持高危漏洞的专项检测，支持对高危漏洞的自动化验证，可生成专业安全检测报告；</w:t>
            </w:r>
            <w:r>
              <w:br/>
            </w:r>
            <w:r>
              <w:rPr>
                <w:rFonts w:ascii="仿宋_GB2312" w:hAnsi="仿宋_GB2312" w:cs="仿宋_GB2312" w:eastAsia="仿宋_GB2312"/>
              </w:rPr>
              <w:t xml:space="preserve"> 6、平台具备安全可视化监测大屏，7×24h监控资产状态及安全风险态势，支持专家模式与普通模式切换；</w:t>
            </w:r>
            <w:r>
              <w:br/>
            </w:r>
            <w:r>
              <w:rPr>
                <w:rFonts w:ascii="仿宋_GB2312" w:hAnsi="仿宋_GB2312" w:cs="仿宋_GB2312" w:eastAsia="仿宋_GB2312"/>
              </w:rPr>
              <w:t xml:space="preserve"> 9、IP地址扫描数量授权无限制，含web漏洞扫描授权，提供三年漏洞库升级和硬件质保服务。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虚拟化软件</w:t>
            </w:r>
          </w:p>
          <w:p>
            <w:pPr>
              <w:pStyle w:val="null3"/>
              <w:jc w:val="left"/>
            </w:pPr>
            <w:r>
              <w:rPr>
                <w:rFonts w:ascii="仿宋_GB2312" w:hAnsi="仿宋_GB2312" w:cs="仿宋_GB2312" w:eastAsia="仿宋_GB2312"/>
              </w:rPr>
              <w:t>1、虚拟化软件授权许可</w:t>
            </w:r>
          </w:p>
          <w:p>
            <w:pPr>
              <w:pStyle w:val="null3"/>
              <w:jc w:val="left"/>
            </w:pPr>
            <w:r>
              <w:rPr>
                <w:rFonts w:ascii="仿宋_GB2312" w:hAnsi="仿宋_GB2312" w:cs="仿宋_GB2312" w:eastAsia="仿宋_GB2312"/>
              </w:rPr>
              <w:t>2、管理节点</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灾备管理软件</w:t>
            </w:r>
          </w:p>
          <w:p>
            <w:pPr>
              <w:pStyle w:val="null3"/>
              <w:jc w:val="left"/>
            </w:pPr>
            <w:r>
              <w:rPr>
                <w:rFonts w:ascii="仿宋_GB2312" w:hAnsi="仿宋_GB2312" w:cs="仿宋_GB2312" w:eastAsia="仿宋_GB2312"/>
              </w:rPr>
              <w:t>1.配置基础备份组件，不限制客户端数量的定时备份模块，并且可选择包含≥5个持续数据保护功能模块；备份软件支持主流数据库的备份和恢复。</w:t>
            </w:r>
            <w:r>
              <w:br/>
            </w:r>
            <w:r>
              <w:rPr>
                <w:rFonts w:ascii="仿宋_GB2312" w:hAnsi="仿宋_GB2312" w:cs="仿宋_GB2312" w:eastAsia="仿宋_GB2312"/>
              </w:rPr>
              <w:t xml:space="preserve"> 2.配置统一管理图形化界面。可满足用户的业务备份需求，包括文件备份、在线应用备份、VMware虚拟机备份、主流操作系统保护，配置无限量的客户端。</w:t>
            </w:r>
            <w:r>
              <w:br/>
            </w:r>
            <w:r>
              <w:rPr>
                <w:rFonts w:ascii="仿宋_GB2312" w:hAnsi="仿宋_GB2312" w:cs="仿宋_GB2312" w:eastAsia="仿宋_GB2312"/>
              </w:rPr>
              <w:t xml:space="preserve"> 3.支持数据定时备份、实时备份、物理机整机备份、虚机备份、业务接管功能，并且所有功能在统一界面管理</w:t>
            </w:r>
            <w:r>
              <w:br/>
            </w:r>
            <w:r>
              <w:rPr>
                <w:rFonts w:ascii="仿宋_GB2312" w:hAnsi="仿宋_GB2312" w:cs="仿宋_GB2312" w:eastAsia="仿宋_GB2312"/>
              </w:rPr>
              <w:t xml:space="preserve"> 4.支持备份集复制，可自动或手动将源备份集通过复制或归档技术复制到不同类型的目标存储单元（组）。</w:t>
            </w:r>
            <w:r>
              <w:br/>
            </w:r>
            <w:r>
              <w:rPr>
                <w:rFonts w:ascii="仿宋_GB2312" w:hAnsi="仿宋_GB2312" w:cs="仿宋_GB2312" w:eastAsia="仿宋_GB2312"/>
              </w:rPr>
              <w:t xml:space="preserve"> 6. 支持配置存储单元，可指定不同存储介质类型的磁盘池（如本地磁盘、ZFS存储、NAS存储、对象存储、重删存储）和磁带库设备，以及指定备份服务器访问地址。</w:t>
            </w:r>
            <w:r>
              <w:br/>
            </w:r>
            <w:r>
              <w:rPr>
                <w:rFonts w:ascii="仿宋_GB2312" w:hAnsi="仿宋_GB2312" w:cs="仿宋_GB2312" w:eastAsia="仿宋_GB2312"/>
              </w:rPr>
              <w:t xml:space="preserve"> 7.支持对整盘数据、整个文件夹数据、单个文件数据进行任意历史点数据快速恢复。</w:t>
            </w:r>
            <w:r>
              <w:br/>
            </w:r>
            <w:r>
              <w:rPr>
                <w:rFonts w:ascii="仿宋_GB2312" w:hAnsi="仿宋_GB2312" w:cs="仿宋_GB2312" w:eastAsia="仿宋_GB2312"/>
              </w:rPr>
              <w:t xml:space="preserve"> 8.可通过WEB方式便捷管理，所有软件功能均为模块化功能，可在控制台进行统一管理。；</w:t>
            </w:r>
            <w:r>
              <w:br/>
            </w:r>
            <w:r>
              <w:rPr>
                <w:rFonts w:ascii="仿宋_GB2312" w:hAnsi="仿宋_GB2312" w:cs="仿宋_GB2312" w:eastAsia="仿宋_GB2312"/>
              </w:rPr>
              <w:t xml:space="preserve"> 9.支持加密算法对备份数据进行传输加密，确保备份数据无泄密风险。</w:t>
            </w:r>
            <w:r>
              <w:br/>
            </w:r>
            <w:r>
              <w:rPr>
                <w:rFonts w:ascii="仿宋_GB2312" w:hAnsi="仿宋_GB2312" w:cs="仿宋_GB2312" w:eastAsia="仿宋_GB2312"/>
              </w:rPr>
              <w:t xml:space="preserve"> 10.支持数据一致性验证功能：验证生产数据和灾备数据是否一致，能够做到数据比对、或自定义校验计划任务。</w:t>
            </w:r>
            <w:r>
              <w:br/>
            </w:r>
            <w:r>
              <w:rPr>
                <w:rFonts w:ascii="仿宋_GB2312" w:hAnsi="仿宋_GB2312" w:cs="仿宋_GB2312" w:eastAsia="仿宋_GB2312"/>
              </w:rPr>
              <w:t xml:space="preserve"> 11.提供原厂硬件三年，软件三年维保，首次原厂用户现场安装费用、调试和培训服务，提供本地化服务，系统发生问题或故障时，7×24小时即时响应，至多4小时内到达现场。提供培训和本地化服务，系统发生问题或故障时，7×24小时即时响应，至多2小时内到达现场，至多12小时内解决故障问题。每年定期组织系统风险评估，并根据风险评估结果提出解决方案，对系统进行相应的调整。</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终端检测与响应管理平台（软件）</w:t>
            </w:r>
          </w:p>
          <w:p>
            <w:pPr>
              <w:pStyle w:val="null3"/>
              <w:jc w:val="left"/>
            </w:pPr>
            <w:r>
              <w:rPr>
                <w:rFonts w:ascii="仿宋_GB2312" w:hAnsi="仿宋_GB2312" w:cs="仿宋_GB2312" w:eastAsia="仿宋_GB2312"/>
              </w:rPr>
              <w:t>1、支持物理环境和虚拟环境部署；</w:t>
            </w:r>
            <w:r>
              <w:br/>
            </w:r>
            <w:r>
              <w:rPr>
                <w:rFonts w:ascii="仿宋_GB2312" w:hAnsi="仿宋_GB2312" w:cs="仿宋_GB2312" w:eastAsia="仿宋_GB2312"/>
              </w:rPr>
              <w:t xml:space="preserve"> 2、采用B/S架构的管理控制中心，具备终端安全可视、终端统一管理、统一威胁处置、统一漏洞修复、统一桌面管控、统一信息采集等功能；</w:t>
            </w:r>
            <w:r>
              <w:br/>
            </w:r>
            <w:r>
              <w:rPr>
                <w:rFonts w:ascii="仿宋_GB2312" w:hAnsi="仿宋_GB2312" w:cs="仿宋_GB2312" w:eastAsia="仿宋_GB2312"/>
              </w:rPr>
              <w:t xml:space="preserve"> 3、对终端的防护能力的统一管理，包括多引擎杀毒能力、主动防御能力、勒毒病毒诱捕、挖矿木马防御、内存防御能力等；</w:t>
            </w:r>
            <w:r>
              <w:br/>
            </w:r>
            <w:r>
              <w:rPr>
                <w:rFonts w:ascii="仿宋_GB2312" w:hAnsi="仿宋_GB2312" w:cs="仿宋_GB2312" w:eastAsia="仿宋_GB2312"/>
              </w:rPr>
              <w:t xml:space="preserve"> 4、对终端进行统一桌面管控、统一信息采集：包括终端运维能力、终端持续检测能力、终端异常监控能力、终端环境评分能力、终端入侵防御能力等。</w:t>
            </w:r>
            <w:r>
              <w:br/>
            </w:r>
            <w:r>
              <w:rPr>
                <w:rFonts w:ascii="仿宋_GB2312" w:hAnsi="仿宋_GB2312" w:cs="仿宋_GB2312" w:eastAsia="仿宋_GB2312"/>
              </w:rPr>
              <w:t xml:space="preserve"> 5、集中统一管理能力：支持对Windows、Linux、国产操作系统、国产CPU等异构客户端的集中统一管理。</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终端检测与响应客户端授权</w:t>
            </w:r>
          </w:p>
          <w:p>
            <w:pPr>
              <w:pStyle w:val="null3"/>
              <w:jc w:val="left"/>
            </w:pPr>
            <w:r>
              <w:rPr>
                <w:rFonts w:ascii="仿宋_GB2312" w:hAnsi="仿宋_GB2312" w:cs="仿宋_GB2312" w:eastAsia="仿宋_GB2312"/>
              </w:rPr>
              <w:t>杀毒、EDR、桌管三合一Linux Server版授权（三年授权)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数据采集中间件扩容</w:t>
            </w:r>
          </w:p>
          <w:p>
            <w:pPr>
              <w:pStyle w:val="null3"/>
              <w:jc w:val="left"/>
            </w:pPr>
            <w:r>
              <w:rPr>
                <w:rFonts w:ascii="仿宋_GB2312" w:hAnsi="仿宋_GB2312" w:cs="仿宋_GB2312" w:eastAsia="仿宋_GB2312"/>
              </w:rPr>
              <w:t>水资源监控管理信息平台数据采集中间件授权2800个</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系统集成实施费</w:t>
            </w:r>
          </w:p>
          <w:p>
            <w:pPr>
              <w:pStyle w:val="null3"/>
              <w:jc w:val="left"/>
            </w:pPr>
            <w:r>
              <w:rPr>
                <w:rFonts w:ascii="仿宋_GB2312" w:hAnsi="仿宋_GB2312" w:cs="仿宋_GB2312" w:eastAsia="仿宋_GB2312"/>
              </w:rPr>
              <w:t>基础环境集成实施费按不高于3%计取；硬件集成实施费按不高于5%计取；软件集成实施费按不高于8%计取。（含率定费）</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数据迁移</w:t>
            </w:r>
          </w:p>
          <w:p>
            <w:pPr>
              <w:pStyle w:val="null3"/>
              <w:jc w:val="left"/>
            </w:pPr>
            <w:r>
              <w:rPr>
                <w:rFonts w:ascii="仿宋_GB2312" w:hAnsi="仿宋_GB2312" w:cs="仿宋_GB2312" w:eastAsia="仿宋_GB2312"/>
              </w:rPr>
              <w:t>1、结合数据保护需求完成现有业务系统关键业务数据、操作系统、虚拟机的数据备份保护，优化备份策略，辅助用户制定副本数据保留策略，完成数据的恢复验证任务；在新增业务系统时，主动完成新虚拟机、新业务数据的备份保护；完成对用户侧维护人员在数据保护系统日常维护方面的技术培训；</w:t>
            </w:r>
            <w:r>
              <w:br/>
            </w:r>
            <w:r>
              <w:rPr>
                <w:rFonts w:ascii="仿宋_GB2312" w:hAnsi="仿宋_GB2312" w:cs="仿宋_GB2312" w:eastAsia="仿宋_GB2312"/>
              </w:rPr>
              <w:t xml:space="preserve"> 2、完成现有业务系统和数据的迁移，新业务类虚拟机的创建，操作系统的安装与调试，应用软件、数据库软件的安装与调试。</w:t>
            </w:r>
            <w:r>
              <w:br/>
            </w:r>
            <w:r>
              <w:rPr>
                <w:rFonts w:ascii="仿宋_GB2312" w:hAnsi="仿宋_GB2312" w:cs="仿宋_GB2312" w:eastAsia="仿宋_GB2312"/>
              </w:rPr>
              <w:t xml:space="preserve"> 3、提供数据迁移软件。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网站安全监测</w:t>
            </w:r>
          </w:p>
          <w:p>
            <w:pPr>
              <w:pStyle w:val="null3"/>
              <w:jc w:val="left"/>
            </w:pPr>
            <w:r>
              <w:rPr>
                <w:rFonts w:ascii="仿宋_GB2312" w:hAnsi="仿宋_GB2312" w:cs="仿宋_GB2312" w:eastAsia="仿宋_GB2312"/>
              </w:rPr>
              <w:t>对互联网网站提供7*24小时可用性监测，提供包含SQL 注入、跨站脚本攻击（XSS）、跨站请求伪造（CSRF）、文件上传等常见web漏洞监测、ssl协议安全漏洞监测，提供暗链、挂马、挖矿、坏链、外链等业务安全事件监测，提供资产目标关联域名及端口服务上下线变动监测，按周/月人工输出监测结果分析报告，针对重要事件提供威胁告警邮件、短信、电话、微信通知服务，针对存在的问题提供整改加固指导。</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渗透测试服务</w:t>
            </w:r>
          </w:p>
          <w:p>
            <w:pPr>
              <w:pStyle w:val="null3"/>
              <w:jc w:val="left"/>
            </w:pPr>
            <w:r>
              <w:rPr>
                <w:rFonts w:ascii="仿宋_GB2312" w:hAnsi="仿宋_GB2312" w:cs="仿宋_GB2312" w:eastAsia="仿宋_GB2312"/>
              </w:rPr>
              <w:t>在用户的授权和监督下，模拟黑客对业务系统进行非破坏性的安全测试，查找存在的漏洞并进行利用，完成后给出详细的漏洞修复建议。在漏洞修复完成后进行复测，确保漏洞修复的有效性。</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重大活动安全保障服务</w:t>
            </w:r>
          </w:p>
          <w:p>
            <w:pPr>
              <w:pStyle w:val="null3"/>
              <w:jc w:val="left"/>
            </w:pPr>
            <w:r>
              <w:rPr>
                <w:rFonts w:ascii="仿宋_GB2312" w:hAnsi="仿宋_GB2312" w:cs="仿宋_GB2312" w:eastAsia="仿宋_GB2312"/>
              </w:rPr>
              <w:t>在重大活动保障期间，为用户提供全程保障服务，包括互联网暴露面梳理服务，确保用户业务系统的安全稳定运行；</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率定费</w:t>
            </w:r>
          </w:p>
          <w:p>
            <w:pPr>
              <w:pStyle w:val="null3"/>
              <w:jc w:val="left"/>
            </w:pPr>
            <w:r>
              <w:rPr>
                <w:rFonts w:ascii="仿宋_GB2312" w:hAnsi="仿宋_GB2312" w:cs="仿宋_GB2312" w:eastAsia="仿宋_GB2312"/>
              </w:rPr>
              <w:t>对计量设备进行校准（参考《海南省2024-2025年度取水口监测计量体系建设项目实施方案》计列）</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标的名称：A02100899-其他计量仪器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遥测终端RTU</w:t>
            </w:r>
          </w:p>
          <w:p>
            <w:pPr>
              <w:pStyle w:val="null3"/>
              <w:jc w:val="left"/>
            </w:pPr>
            <w:r>
              <w:rPr>
                <w:rFonts w:ascii="仿宋_GB2312" w:hAnsi="仿宋_GB2312" w:cs="仿宋_GB2312" w:eastAsia="仿宋_GB2312"/>
              </w:rPr>
              <w:t>1、外接传感器：</w:t>
            </w:r>
            <w:r>
              <w:br/>
            </w:r>
            <w:r>
              <w:rPr>
                <w:rFonts w:ascii="仿宋_GB2312" w:hAnsi="仿宋_GB2312" w:cs="仿宋_GB2312" w:eastAsia="仿宋_GB2312"/>
              </w:rPr>
              <w:t xml:space="preserve"> 具有增量口、并行口、串行口、频率口、模拟量口等各种接口。</w:t>
            </w:r>
            <w:r>
              <w:br/>
            </w:r>
            <w:r>
              <w:rPr>
                <w:rFonts w:ascii="仿宋_GB2312" w:hAnsi="仿宋_GB2312" w:cs="仿宋_GB2312" w:eastAsia="仿宋_GB2312"/>
              </w:rPr>
              <w:t xml:space="preserve"> 4～20mA模拟量输入、0～5V模拟量输入、低电平触发开关量输入：</w:t>
            </w:r>
            <w:r>
              <w:br/>
            </w:r>
            <w:r>
              <w:rPr>
                <w:rFonts w:ascii="仿宋_GB2312" w:hAnsi="仿宋_GB2312" w:cs="仿宋_GB2312" w:eastAsia="仿宋_GB2312"/>
              </w:rPr>
              <w:t xml:space="preserve"> RS485、RS232、2.4G无线输入、SDI-12等接口；可接多种水位计（浮子式、激光、超声波、压力式、气泡式等）；可外接增量式（翻斗式）雨量传感器。</w:t>
            </w:r>
            <w:r>
              <w:br/>
            </w:r>
            <w:r>
              <w:rPr>
                <w:rFonts w:ascii="仿宋_GB2312" w:hAnsi="仿宋_GB2312" w:cs="仿宋_GB2312" w:eastAsia="仿宋_GB2312"/>
              </w:rPr>
              <w:t xml:space="preserve"> 2、输出接口：</w:t>
            </w:r>
            <w:r>
              <w:br/>
            </w:r>
            <w:r>
              <w:rPr>
                <w:rFonts w:ascii="仿宋_GB2312" w:hAnsi="仿宋_GB2312" w:cs="仿宋_GB2312" w:eastAsia="仿宋_GB2312"/>
              </w:rPr>
              <w:t xml:space="preserve"> 内置输出电压接口：可为传感器提供电源；</w:t>
            </w:r>
            <w:r>
              <w:br/>
            </w:r>
            <w:r>
              <w:rPr>
                <w:rFonts w:ascii="仿宋_GB2312" w:hAnsi="仿宋_GB2312" w:cs="仿宋_GB2312" w:eastAsia="仿宋_GB2312"/>
              </w:rPr>
              <w:t xml:space="preserve"> 两路12V电源输出：两路24V 电源输出。</w:t>
            </w:r>
            <w:r>
              <w:br/>
            </w:r>
            <w:r>
              <w:rPr>
                <w:rFonts w:ascii="仿宋_GB2312" w:hAnsi="仿宋_GB2312" w:cs="仿宋_GB2312" w:eastAsia="仿宋_GB2312"/>
              </w:rPr>
              <w:t xml:space="preserve"> 3、通讯方式</w:t>
            </w:r>
            <w:r>
              <w:br/>
            </w:r>
            <w:r>
              <w:rPr>
                <w:rFonts w:ascii="仿宋_GB2312" w:hAnsi="仿宋_GB2312" w:cs="仿宋_GB2312" w:eastAsia="仿宋_GB2312"/>
              </w:rPr>
              <w:t xml:space="preserve"> ①具有可靠的一站多发功能。遥测站可同时向多个中心站发送数据，每个中心可拥有二种通信信道且互为备份。支持4G全网通，RTU可接受中心的远程管理，包括远程诊断、设置、维护、校时、提取固态数据等。</w:t>
            </w:r>
            <w:r>
              <w:br/>
            </w:r>
            <w:r>
              <w:rPr>
                <w:rFonts w:ascii="仿宋_GB2312" w:hAnsi="仿宋_GB2312" w:cs="仿宋_GB2312" w:eastAsia="仿宋_GB2312"/>
              </w:rPr>
              <w:t xml:space="preserve"> ②内置4G全网通通信模块，并具有至少1路RS-232或RS-485接口，可用于扩展北斗卫星、VHF等通信方式。</w:t>
            </w:r>
            <w:r>
              <w:br/>
            </w:r>
            <w:r>
              <w:rPr>
                <w:rFonts w:ascii="仿宋_GB2312" w:hAnsi="仿宋_GB2312" w:cs="仿宋_GB2312" w:eastAsia="仿宋_GB2312"/>
              </w:rPr>
              <w:t xml:space="preserve"> ③具有兼容性，可实现功能增加或功能变换，便于系统扩展和升级（可兼容GPRS/GSM，卫星、超短波、PSTN、光纤等各种通信方式）。</w:t>
            </w:r>
            <w:r>
              <w:br/>
            </w:r>
            <w:r>
              <w:rPr>
                <w:rFonts w:ascii="仿宋_GB2312" w:hAnsi="仿宋_GB2312" w:cs="仿宋_GB2312" w:eastAsia="仿宋_GB2312"/>
              </w:rPr>
              <w:t xml:space="preserve"> 4、数据通讯接口：具有同时连接翻斗式雨量传感器、水位传感器、高清数字摄像机、同时支持两种通信信道的通信以及与计算机连接的接口，支持SDI-12、RS485、RS232 C等接口协议。</w:t>
            </w:r>
            <w:r>
              <w:br/>
            </w:r>
            <w:r>
              <w:rPr>
                <w:rFonts w:ascii="仿宋_GB2312" w:hAnsi="仿宋_GB2312" w:cs="仿宋_GB2312" w:eastAsia="仿宋_GB2312"/>
              </w:rPr>
              <w:t xml:space="preserve"> 5、报讯方式及功能</w:t>
            </w:r>
            <w:r>
              <w:br/>
            </w:r>
            <w:r>
              <w:rPr>
                <w:rFonts w:ascii="仿宋_GB2312" w:hAnsi="仿宋_GB2312" w:cs="仿宋_GB2312" w:eastAsia="仿宋_GB2312"/>
              </w:rPr>
              <w:t xml:space="preserve"> ①具有自报、应答、自报加应答三种工作模式，三种通信方式可混合组网；自动补发数据功能（主备信道通信均失败时，存储数据等待下次发送），可按《水文数据通信规约》（SL651-2014）输入并发送人工置数。</w:t>
            </w:r>
            <w:r>
              <w:br/>
            </w:r>
            <w:r>
              <w:rPr>
                <w:rFonts w:ascii="仿宋_GB2312" w:hAnsi="仿宋_GB2312" w:cs="仿宋_GB2312" w:eastAsia="仿宋_GB2312"/>
              </w:rPr>
              <w:t xml:space="preserve"> ②配有具有键盘液晶人机界面（非外置），可以本地显示测站状态、电压、日期/时间及水雨数据等，可发送人工观测数据，并可对配置进行修改（包括站址、水位基值、雨量初值、发送前导时间、数据传输体制、数据报送频次等）。</w:t>
            </w:r>
            <w:r>
              <w:br/>
            </w:r>
            <w:r>
              <w:rPr>
                <w:rFonts w:ascii="仿宋_GB2312" w:hAnsi="仿宋_GB2312" w:cs="仿宋_GB2312" w:eastAsia="仿宋_GB2312"/>
              </w:rPr>
              <w:t xml:space="preserve"> ③RTU的所有参数可以通过人工置数器进行本地设置，也可以通过4G/GPRS信道进行远程设置。</w:t>
            </w:r>
            <w:r>
              <w:br/>
            </w:r>
            <w:r>
              <w:rPr>
                <w:rFonts w:ascii="仿宋_GB2312" w:hAnsi="仿宋_GB2312" w:cs="仿宋_GB2312" w:eastAsia="仿宋_GB2312"/>
              </w:rPr>
              <w:t xml:space="preserve"> ④支持休眠唤醒、定时自动唤醒和远程设定保持唤醒等工作模式。⑤RTU具有可靠的电源监控机制，存储的固态数据和工作参数均具有上电、掉电保护功能，可确保其不受浪涌及低压影响。</w:t>
            </w:r>
            <w:r>
              <w:br/>
            </w:r>
            <w:r>
              <w:rPr>
                <w:rFonts w:ascii="仿宋_GB2312" w:hAnsi="仿宋_GB2312" w:cs="仿宋_GB2312" w:eastAsia="仿宋_GB2312"/>
              </w:rPr>
              <w:t xml:space="preserve"> ⑥具有友好、直观的人机交互方式，具有声、光及文字指示。</w:t>
            </w:r>
            <w:r>
              <w:br/>
            </w:r>
            <w:r>
              <w:rPr>
                <w:rFonts w:ascii="仿宋_GB2312" w:hAnsi="仿宋_GB2312" w:cs="仿宋_GB2312" w:eastAsia="仿宋_GB2312"/>
              </w:rPr>
              <w:t xml:space="preserve"> ⑦具有大容量FLASH存储，不小于128M存储，可以存储5年以上流量数据。</w:t>
            </w:r>
            <w:r>
              <w:br/>
            </w:r>
            <w:r>
              <w:rPr>
                <w:rFonts w:ascii="仿宋_GB2312" w:hAnsi="仿宋_GB2312" w:cs="仿宋_GB2312" w:eastAsia="仿宋_GB2312"/>
              </w:rPr>
              <w:t xml:space="preserve"> ⑧测站数据可用便携机本地读取，也可通过4G/GPRS信道远程提取，可本地或远程清除，应能与前期建设的国家水资源监控能力建设项目在测报系统技术规约和协议方面兼容。</w:t>
            </w:r>
            <w:r>
              <w:br/>
            </w:r>
            <w:r>
              <w:rPr>
                <w:rFonts w:ascii="仿宋_GB2312" w:hAnsi="仿宋_GB2312" w:cs="仿宋_GB2312" w:eastAsia="仿宋_GB2312"/>
              </w:rPr>
              <w:t xml:space="preserve"> 6、集成内置充电控制器，具有太阳能充放电管理功能，支持电压、电流、充电功率、温度等多种工况参数采集上报，动态功耗控制。</w:t>
            </w:r>
            <w:r>
              <w:br/>
            </w:r>
            <w:r>
              <w:rPr>
                <w:rFonts w:ascii="仿宋_GB2312" w:hAnsi="仿宋_GB2312" w:cs="仿宋_GB2312" w:eastAsia="仿宋_GB2312"/>
              </w:rPr>
              <w:t xml:space="preserve"> 7、包含通信模块：工作频率：支持双频 GPRS/GSM，符合 ETSIGSMPhase2+标准；协议：支持 TCP/IP，标准的 AT 命令集；发射频率：2W（900MHz）/1W（1800MHz） ；电源： +5V～+35V； 频率误差： ≤0.1ppm；数据接口：RS232/RS485；工作温度：-25℃-+60℃。可内嵌入RTU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流量计</w:t>
            </w:r>
          </w:p>
          <w:p>
            <w:pPr>
              <w:pStyle w:val="null3"/>
              <w:jc w:val="left"/>
            </w:pPr>
            <w:r>
              <w:rPr>
                <w:rFonts w:ascii="仿宋_GB2312" w:hAnsi="仿宋_GB2312" w:cs="仿宋_GB2312" w:eastAsia="仿宋_GB2312"/>
              </w:rPr>
              <w:t>插入式超声波管道流量计，能自动测量管道内一个或几个声束上的平均流速，并按已率定的计算公式计算出流量和累积水量；</w:t>
            </w:r>
            <w:r>
              <w:br/>
            </w:r>
            <w:r>
              <w:rPr>
                <w:rFonts w:ascii="仿宋_GB2312" w:hAnsi="仿宋_GB2312" w:cs="仿宋_GB2312" w:eastAsia="仿宋_GB2312"/>
              </w:rPr>
              <w:t xml:space="preserve"> 有抗电磁干扰的能力，能适应含沙量不小于10kg/m3的水流；</w:t>
            </w:r>
            <w:r>
              <w:br/>
            </w:r>
            <w:r>
              <w:rPr>
                <w:rFonts w:ascii="仿宋_GB2312" w:hAnsi="仿宋_GB2312" w:cs="仿宋_GB2312" w:eastAsia="仿宋_GB2312"/>
              </w:rPr>
              <w:t xml:space="preserve"> 精度等级：±0.5（千分之五）；</w:t>
            </w:r>
            <w:r>
              <w:br/>
            </w:r>
            <w:r>
              <w:rPr>
                <w:rFonts w:ascii="仿宋_GB2312" w:hAnsi="仿宋_GB2312" w:cs="仿宋_GB2312" w:eastAsia="仿宋_GB2312"/>
              </w:rPr>
              <w:t xml:space="preserve"> 重复性：准确度等级最大允许误差绝对值的1/5；</w:t>
            </w:r>
            <w:r>
              <w:br/>
            </w:r>
            <w:r>
              <w:rPr>
                <w:rFonts w:ascii="仿宋_GB2312" w:hAnsi="仿宋_GB2312" w:cs="仿宋_GB2312" w:eastAsia="仿宋_GB2312"/>
              </w:rPr>
              <w:t xml:space="preserve"> 非接触式测流量，时差式测量方式，低电压，多脉冲，测量周期500ms；</w:t>
            </w:r>
            <w:r>
              <w:br/>
            </w:r>
            <w:r>
              <w:rPr>
                <w:rFonts w:ascii="仿宋_GB2312" w:hAnsi="仿宋_GB2312" w:cs="仿宋_GB2312" w:eastAsia="仿宋_GB2312"/>
              </w:rPr>
              <w:t xml:space="preserve"> 可测流速范围：0～+10m/s（包括零流量）；</w:t>
            </w:r>
            <w:r>
              <w:br/>
            </w:r>
            <w:r>
              <w:rPr>
                <w:rFonts w:ascii="仿宋_GB2312" w:hAnsi="仿宋_GB2312" w:cs="仿宋_GB2312" w:eastAsia="仿宋_GB2312"/>
              </w:rPr>
              <w:t xml:space="preserve"> 电流输出：4-20mA；</w:t>
            </w:r>
            <w:r>
              <w:br/>
            </w:r>
            <w:r>
              <w:rPr>
                <w:rFonts w:ascii="仿宋_GB2312" w:hAnsi="仿宋_GB2312" w:cs="仿宋_GB2312" w:eastAsia="仿宋_GB2312"/>
              </w:rPr>
              <w:t xml:space="preserve"> 通讯接口：RS-485（隔离）；</w:t>
            </w:r>
            <w:r>
              <w:br/>
            </w:r>
            <w:r>
              <w:rPr>
                <w:rFonts w:ascii="仿宋_GB2312" w:hAnsi="仿宋_GB2312" w:cs="仿宋_GB2312" w:eastAsia="仿宋_GB2312"/>
              </w:rPr>
              <w:t xml:space="preserve"> 室外设备：环境温度为-35℃-80℃；水体不能冰冻；相对湿度为95%；</w:t>
            </w:r>
            <w:r>
              <w:br/>
            </w:r>
            <w:r>
              <w:rPr>
                <w:rFonts w:ascii="仿宋_GB2312" w:hAnsi="仿宋_GB2312" w:cs="仿宋_GB2312" w:eastAsia="仿宋_GB2312"/>
              </w:rPr>
              <w:t xml:space="preserve"> 室内设备：环境温度为-10℃-45℃；室内水质仪器的环境温度不低于0℃；相对湿度不大于95%；换能器具有耐压、密封性能和耐腐蚀性，平均无故障工作时间：MTBF＞30000H；抗干扰，稳定性好，防水防雷防电磁；</w:t>
            </w:r>
            <w:r>
              <w:br/>
            </w:r>
            <w:r>
              <w:rPr>
                <w:rFonts w:ascii="仿宋_GB2312" w:hAnsi="仿宋_GB2312" w:cs="仿宋_GB2312" w:eastAsia="仿宋_GB2312"/>
              </w:rPr>
              <w:t xml:space="preserve"> 数据显示：背光液晶显示；可同时显示瞬时流量及累计流量、流速、时间等数据；</w:t>
            </w:r>
            <w:r>
              <w:br/>
            </w:r>
            <w:r>
              <w:rPr>
                <w:rFonts w:ascii="仿宋_GB2312" w:hAnsi="仿宋_GB2312" w:cs="仿宋_GB2312" w:eastAsia="仿宋_GB2312"/>
              </w:rPr>
              <w:t xml:space="preserve"> 带可操作键盘，可置入参数；</w:t>
            </w:r>
            <w:r>
              <w:br/>
            </w:r>
            <w:r>
              <w:rPr>
                <w:rFonts w:ascii="仿宋_GB2312" w:hAnsi="仿宋_GB2312" w:cs="仿宋_GB2312" w:eastAsia="仿宋_GB2312"/>
              </w:rPr>
              <w:t xml:space="preserve"> 电流输出OCT输出继电器输出；</w:t>
            </w:r>
            <w:r>
              <w:br/>
            </w:r>
            <w:r>
              <w:rPr>
                <w:rFonts w:ascii="仿宋_GB2312" w:hAnsi="仿宋_GB2312" w:cs="仿宋_GB2312" w:eastAsia="仿宋_GB2312"/>
              </w:rPr>
              <w:t xml:space="preserve"> 数据存储：1个月故障自诊断；</w:t>
            </w:r>
            <w:r>
              <w:br/>
            </w:r>
            <w:r>
              <w:rPr>
                <w:rFonts w:ascii="仿宋_GB2312" w:hAnsi="仿宋_GB2312" w:cs="仿宋_GB2312" w:eastAsia="仿宋_GB2312"/>
              </w:rPr>
              <w:t xml:space="preserve"> 调零方式：零点设定，静态调零动态调零；</w:t>
            </w:r>
            <w:r>
              <w:br/>
            </w:r>
            <w:r>
              <w:rPr>
                <w:rFonts w:ascii="仿宋_GB2312" w:hAnsi="仿宋_GB2312" w:cs="仿宋_GB2312" w:eastAsia="仿宋_GB2312"/>
              </w:rPr>
              <w:t xml:space="preserve"> 供电220VAC或DC8—36V．</w:t>
            </w:r>
            <w:r>
              <w:br/>
            </w:r>
            <w:r>
              <w:rPr>
                <w:rFonts w:ascii="仿宋_GB2312" w:hAnsi="仿宋_GB2312" w:cs="仿宋_GB2312" w:eastAsia="仿宋_GB2312"/>
              </w:rPr>
              <w:t xml:space="preserve"> 功耗：≦10W；</w:t>
            </w:r>
            <w:r>
              <w:br/>
            </w:r>
            <w:r>
              <w:rPr>
                <w:rFonts w:ascii="仿宋_GB2312" w:hAnsi="仿宋_GB2312" w:cs="仿宋_GB2312" w:eastAsia="仿宋_GB2312"/>
              </w:rPr>
              <w:t xml:space="preserve"> 适用口径为DN65-DN6000。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太阳能板及支架</w:t>
            </w:r>
          </w:p>
          <w:p>
            <w:pPr>
              <w:pStyle w:val="null3"/>
              <w:jc w:val="left"/>
            </w:pPr>
            <w:r>
              <w:rPr>
                <w:rFonts w:ascii="仿宋_GB2312" w:hAnsi="仿宋_GB2312" w:cs="仿宋_GB2312" w:eastAsia="仿宋_GB2312"/>
              </w:rPr>
              <w:t>功率：60W 输出电压：12VDC 峰值电压：17.5V 峰值电流：2.5A 开路电压：21V 短路电流：3A 太阳能电池组件： 1块（含支架）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太阳能控制器</w:t>
            </w:r>
          </w:p>
          <w:p>
            <w:pPr>
              <w:pStyle w:val="null3"/>
              <w:jc w:val="left"/>
            </w:pPr>
            <w:r>
              <w:rPr>
                <w:rFonts w:ascii="仿宋_GB2312" w:hAnsi="仿宋_GB2312" w:cs="仿宋_GB2312" w:eastAsia="仿宋_GB2312"/>
              </w:rPr>
              <w:t>最大充电电流：6A 系统电压：12VDC 最大自损耗：4mA 最终充电电压：13.7V 过放保护值：11.1V(SOC=30%) 过放恢复值：12.6V(SOC=50%)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蓄电池</w:t>
            </w:r>
          </w:p>
          <w:p>
            <w:pPr>
              <w:pStyle w:val="null3"/>
              <w:jc w:val="left"/>
            </w:pPr>
            <w:r>
              <w:rPr>
                <w:rFonts w:ascii="仿宋_GB2312" w:hAnsi="仿宋_GB2312" w:cs="仿宋_GB2312" w:eastAsia="仿宋_GB2312"/>
              </w:rPr>
              <w:t>规格：65Ah 标称电压：12VDC 浮充定电压：13.6-13.8V 浮充最大电流：9.75A 工作及保存温度：-40℃～+60℃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设备箱</w:t>
            </w:r>
          </w:p>
          <w:p>
            <w:pPr>
              <w:pStyle w:val="null3"/>
              <w:jc w:val="left"/>
            </w:pPr>
            <w:r>
              <w:rPr>
                <w:rFonts w:ascii="仿宋_GB2312" w:hAnsi="仿宋_GB2312" w:cs="仿宋_GB2312" w:eastAsia="仿宋_GB2312"/>
              </w:rPr>
              <w:t>635mm×416mm×260mm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、交付方式：所有数据传输至水文局国家水资源监控平台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、建设地点：用户指定地点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、交付期：自</w:t>
            </w:r>
            <w:r>
              <w:rPr>
                <w:rFonts w:ascii="仿宋_GB2312" w:hAnsi="仿宋_GB2312" w:cs="仿宋_GB2312" w:eastAsia="仿宋_GB2312"/>
                <w:sz w:val="24"/>
              </w:rPr>
              <w:t>合同签订生效之日起至2025年12月31日前完成交付</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2</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、付款方式：</w:t>
            </w:r>
            <w:r>
              <w:rPr>
                <w:rFonts w:ascii="仿宋_GB2312" w:hAnsi="仿宋_GB2312" w:cs="仿宋_GB2312" w:eastAsia="仿宋_GB2312"/>
                <w:sz w:val="24"/>
              </w:rPr>
              <w:t>签订合同后预付合同总价款</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 xml:space="preserve">完成到货验收支付合同总价款 </w:t>
            </w:r>
            <w:r>
              <w:rPr>
                <w:rFonts w:ascii="仿宋_GB2312" w:hAnsi="仿宋_GB2312" w:cs="仿宋_GB2312" w:eastAsia="仿宋_GB2312"/>
                <w:sz w:val="24"/>
              </w:rPr>
              <w:t>40%</w:t>
            </w:r>
            <w:r>
              <w:rPr>
                <w:rFonts w:ascii="仿宋_GB2312" w:hAnsi="仿宋_GB2312" w:cs="仿宋_GB2312" w:eastAsia="仿宋_GB2312"/>
                <w:sz w:val="24"/>
              </w:rPr>
              <w:t>；安装调试并通过验收，且乙方提供合同总价款</w:t>
            </w:r>
            <w:r>
              <w:rPr>
                <w:rFonts w:ascii="仿宋_GB2312" w:hAnsi="仿宋_GB2312" w:cs="仿宋_GB2312" w:eastAsia="仿宋_GB2312"/>
                <w:sz w:val="24"/>
              </w:rPr>
              <w:t>5%</w:t>
            </w:r>
            <w:r>
              <w:rPr>
                <w:rFonts w:ascii="仿宋_GB2312" w:hAnsi="仿宋_GB2312" w:cs="仿宋_GB2312" w:eastAsia="仿宋_GB2312"/>
                <w:sz w:val="24"/>
              </w:rPr>
              <w:t xml:space="preserve">的履约保函作为质量保证金后，支付合同总价款 </w:t>
            </w:r>
            <w:r>
              <w:rPr>
                <w:rFonts w:ascii="仿宋_GB2312" w:hAnsi="仿宋_GB2312" w:cs="仿宋_GB2312" w:eastAsia="仿宋_GB2312"/>
                <w:sz w:val="24"/>
              </w:rPr>
              <w:t xml:space="preserve">30% </w:t>
            </w:r>
            <w:r>
              <w:rPr>
                <w:rFonts w:ascii="仿宋_GB2312" w:hAnsi="仿宋_GB2312" w:cs="仿宋_GB2312" w:eastAsia="仿宋_GB2312"/>
                <w:sz w:val="24"/>
              </w:rPr>
              <w:t>；</w:t>
            </w:r>
            <w:r>
              <w:rPr>
                <w:rFonts w:ascii="仿宋_GB2312" w:hAnsi="仿宋_GB2312" w:cs="仿宋_GB2312" w:eastAsia="仿宋_GB2312"/>
                <w:sz w:val="24"/>
              </w:rPr>
              <w:t>待质保期到期后退回保函。（具体细节以合同约定为准）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验收要求按国家、行业、采购文件要求成交人的响应文件内容进行验收。</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个取水监测点更新及授权扩容：更换取水检测点原有前端采集设备（管道型计量设施、流量计、</w:t>
            </w:r>
            <w:r>
              <w:rPr>
                <w:rFonts w:ascii="仿宋_GB2312" w:hAnsi="仿宋_GB2312" w:cs="仿宋_GB2312" w:eastAsia="仿宋_GB2312"/>
                <w:sz w:val="24"/>
              </w:rPr>
              <w:t>RTU</w:t>
            </w:r>
            <w:r>
              <w:rPr>
                <w:rFonts w:ascii="仿宋_GB2312" w:hAnsi="仿宋_GB2312" w:cs="仿宋_GB2312" w:eastAsia="仿宋_GB2312"/>
                <w:sz w:val="24"/>
              </w:rPr>
              <w:t>终端箱、太阳能板和太阳能蓄电池组等），扩容原有授权从</w:t>
            </w:r>
            <w:r>
              <w:rPr>
                <w:rFonts w:ascii="仿宋_GB2312" w:hAnsi="仿宋_GB2312" w:cs="仿宋_GB2312" w:eastAsia="仿宋_GB2312"/>
                <w:sz w:val="24"/>
              </w:rPr>
              <w:t>600</w:t>
            </w:r>
            <w:r>
              <w:rPr>
                <w:rFonts w:ascii="仿宋_GB2312" w:hAnsi="仿宋_GB2312" w:cs="仿宋_GB2312" w:eastAsia="仿宋_GB2312"/>
                <w:sz w:val="24"/>
              </w:rPr>
              <w:t>路提升至</w:t>
            </w:r>
            <w:r>
              <w:rPr>
                <w:rFonts w:ascii="仿宋_GB2312" w:hAnsi="仿宋_GB2312" w:cs="仿宋_GB2312" w:eastAsia="仿宋_GB2312"/>
                <w:sz w:val="24"/>
              </w:rPr>
              <w:t>4000</w:t>
            </w:r>
            <w:r>
              <w:rPr>
                <w:rFonts w:ascii="仿宋_GB2312" w:hAnsi="仿宋_GB2312" w:cs="仿宋_GB2312" w:eastAsia="仿宋_GB2312"/>
                <w:sz w:val="24"/>
              </w:rPr>
              <w:t>路。</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原有信息系统相关基础设施更新升级及系统迁移：新建</w:t>
            </w:r>
            <w:r>
              <w:rPr>
                <w:rFonts w:ascii="仿宋_GB2312" w:hAnsi="仿宋_GB2312" w:cs="仿宋_GB2312" w:eastAsia="仿宋_GB2312"/>
                <w:sz w:val="24"/>
              </w:rPr>
              <w:t>1</w:t>
            </w:r>
            <w:r>
              <w:rPr>
                <w:rFonts w:ascii="仿宋_GB2312" w:hAnsi="仿宋_GB2312" w:cs="仿宋_GB2312" w:eastAsia="仿宋_GB2312"/>
                <w:sz w:val="24"/>
              </w:rPr>
              <w:t>套虚拟化服务器资源池，替换原有服务器、存储等设备，将原有系统迁移至新建的虚拟化平台上。</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网络安全建设：通过购买日志审计、运维审计系统、漏洞扫描、终端检测与响应客户端，加强安全区域边界、安全计算环境和安全管理中心等方面建设。</w:t>
            </w:r>
          </w:p>
          <w:p>
            <w:pPr>
              <w:pStyle w:val="null3"/>
              <w:jc w:val="both"/>
            </w:pPr>
            <w:r>
              <w:rPr>
                <w:rFonts w:ascii="仿宋_GB2312" w:hAnsi="仿宋_GB2312" w:cs="仿宋_GB2312" w:eastAsia="仿宋_GB2312"/>
                <w:sz w:val="24"/>
              </w:rPr>
              <w:t xml:space="preserve">10 </w:t>
            </w:r>
            <w:r>
              <w:rPr>
                <w:rFonts w:ascii="仿宋_GB2312" w:hAnsi="仿宋_GB2312" w:cs="仿宋_GB2312" w:eastAsia="仿宋_GB2312"/>
                <w:sz w:val="24"/>
              </w:rPr>
              <w:t>、所有设备必须是厂商原装、全新的正品，符合国家及该产品的出厂标准并提供产品质量证明文件。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技术参数响应情况</w:t>
            </w:r>
          </w:p>
        </w:tc>
        <w:tc>
          <w:tcPr>
            <w:tcW w:type="dxa" w:w="2492"/>
          </w:tcPr>
          <w:p>
            <w:pPr>
              <w:pStyle w:val="null3"/>
              <w:jc w:val="left"/>
            </w:pPr>
            <w:r>
              <w:rPr>
                <w:rFonts w:ascii="仿宋_GB2312" w:hAnsi="仿宋_GB2312" w:cs="仿宋_GB2312" w:eastAsia="仿宋_GB2312"/>
              </w:rPr>
              <w:t>供应商对第三章采购需求的技术参数内容逐一响应，完全满足或优于采购需求的得20分；每有一项负偏离扣1分，负偏离≥20项，此项不得分；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根据供应商提供的技术方案完整、齐全，是否满足本次设备（材料）采购的性能要求进行综合评比： A.方案编制内容详细、考虑问题全面完整，实施流程规范程度高，切合项目实际情况，可行性高，得8分。B.方案编制内容、考虑问题，实施流程规范程度，项目实际情况，可行性较高，得6分 C.方案编制内容较为详细，实施流程规范程度一般、具备可行性，得4分。D.方案编制内容较差实施流程有欠缺、可行性不足，得2分E.不提供不得分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根据供应商提供的售后服务方案内容是否全面具体、流程合理、方式可行、响应及时、有针对性、保障措施完善，满足项目采购需求程度进行综合评比： A.方案编制内容详细、考虑问题全面完整，实施流程规范程度高，切合项目实际情况，可行性高，得7分。B.方案编制内容、考虑问题，实施流程规范程度，项目实际情况，可行性较高，得5分 C.方案编制内容较为详细，实施流程规范程度一般、具备可行性，得3分。D.方案编制内容较差实施流程有欠缺、可行性不足，得1分E.不提供不得分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根据质量保证方案实施的合理性及质量保证措施的可靠性进行综合评比： A.方案编制内容详细、考虑问题全面完整，实施流程规范程度高，切合项目实际情况，可行性高，得5.0分。B.方案编制内容、考虑问题，实施流程规范程度，项目实际情况，可行性较高，得3.5分 C.方案编制内容较为详细，实施流程规范程度一般、具备可行性，得2.0分。D.方案编制内容较差实施流程有欠缺、可行性不足，得0.5分E.不提供不得分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技术培训方案</w:t>
            </w:r>
          </w:p>
        </w:tc>
        <w:tc>
          <w:tcPr>
            <w:tcW w:type="dxa" w:w="2492"/>
          </w:tcPr>
          <w:p>
            <w:pPr>
              <w:pStyle w:val="null3"/>
              <w:jc w:val="left"/>
            </w:pPr>
            <w:r>
              <w:rPr>
                <w:rFonts w:ascii="仿宋_GB2312" w:hAnsi="仿宋_GB2312" w:cs="仿宋_GB2312" w:eastAsia="仿宋_GB2312"/>
              </w:rPr>
              <w:t>根据供应商提供的技术培训方案是否完善，培训重点、难点是否清晰，理论、实操方案是否科学、合理、完善，培训时间是否设置合理进行综合评比： A.方案编制内容详细、考虑问题全面完整，实施流程规范程度高，切合项目实际情况，可行性高，得5.0分。B.方案编制内容、考虑问题，实施流程规范程度，项目实际情况，可行性较高，得3.5分 C.方案编制内容较为详细，实施流程规范程度一般、具备可行性，得2.0分。D.方案编制内容较差实施流程有欠缺、可行性不足，得0.5分E.不提供不得分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2021年1月1日至今，供应商承接过类似业绩的，每个得2分，满分10分； 证明材料: 提供合同或中标通知书复印件加盖公章（以合同签订日期或中标通知书日期为准）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1、具备质量管理体系认证证书得2分 2、具备环境管理体系认证证书得2分 3、具备职业健康管理体系认证证书得2分 4、具备信息安全管理体系认证证书得2分 5、具备信息技术服务管理体系认证证书得2分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获奖证书</w:t>
            </w:r>
          </w:p>
        </w:tc>
        <w:tc>
          <w:tcPr>
            <w:tcW w:type="dxa" w:w="2492"/>
          </w:tcPr>
          <w:p>
            <w:pPr>
              <w:pStyle w:val="null3"/>
              <w:jc w:val="left"/>
            </w:pPr>
            <w:r>
              <w:rPr>
                <w:rFonts w:ascii="仿宋_GB2312" w:hAnsi="仿宋_GB2312" w:cs="仿宋_GB2312" w:eastAsia="仿宋_GB2312"/>
              </w:rPr>
              <w:t>具备水文、水资源调查评价单位水平评价证书得5分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[ZZYD]20250700001[CS]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2025年取水监测计量体系建设项目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2025年取水监测计量体系建设项目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1908678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A02100899-其他计量仪器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