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DF5A8">
      <w:pPr>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廉洁告知制</w:t>
      </w:r>
    </w:p>
    <w:p w14:paraId="4BA839B6">
      <w:pPr>
        <w:spacing w:line="360" w:lineRule="auto"/>
        <w:jc w:val="center"/>
        <w:rPr>
          <w:rFonts w:hint="eastAsia" w:ascii="宋体" w:hAnsi="宋体" w:eastAsia="宋体" w:cs="宋体"/>
          <w:b/>
          <w:bCs/>
          <w:sz w:val="32"/>
          <w:szCs w:val="32"/>
          <w:lang w:val="en-US" w:eastAsia="zh-CN"/>
        </w:rPr>
      </w:pPr>
    </w:p>
    <w:p w14:paraId="4352FCF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按第三</w:t>
      </w:r>
      <w:bookmarkStart w:id="0" w:name="_GoBack"/>
      <w:bookmarkEnd w:id="0"/>
      <w:r>
        <w:rPr>
          <w:rFonts w:hint="eastAsia" w:ascii="宋体" w:hAnsi="宋体" w:eastAsia="宋体" w:cs="宋体"/>
          <w:sz w:val="28"/>
          <w:szCs w:val="28"/>
          <w:lang w:val="en-US" w:eastAsia="zh-CN"/>
        </w:rPr>
        <w:t>章采购需求-商务要求-其他商务要求在开标截止时间前提供清廉项目法律责任告知书及其录音录像材料至海南省海口市美兰区滨江路88号枫丹白露B区9#302，具体内容详见</w:t>
      </w:r>
      <w:r>
        <w:rPr>
          <w:rFonts w:hint="eastAsia" w:ascii="宋体" w:hAnsi="宋体" w:eastAsia="宋体" w:cs="宋体"/>
          <w:sz w:val="28"/>
          <w:szCs w:val="28"/>
          <w:lang w:val="en-US" w:eastAsia="zh-CN"/>
        </w:rPr>
        <w:t>其他商务要求。如供应商不落实清廉告知制，或者存在告知书明确的违法行为的，由磋商小组依法否决其投标。</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377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2025-07-08T02:16:02Z</dcterms:created>
  <dc:creator>zkgsh</dc:creator>
  <cp:lastModifiedBy>HNMJ</cp:lastModifiedBy>
  <dcterms:modified xsi:type="dcterms:W3CDTF">2025-07-08T02:22:57Z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eyJoZGlkIjoiZDdlZmFkYzExOTRmZjhjNzMwNGQ4NGY0NTI1NGNhNzciLCJ1c2VySWQiOiIyNDY1MDE5ODUifQ==</vt:lpwstr>
  </property>
  <property fmtid="{D5CDD505-2E9C-101B-9397-08002B2CF9AE}" pid="4" name="ICV">
    <vt:lpwstr>7295CD12DAFE46E08182E558BB9AB3A2_12</vt:lpwstr>
  </property>
</Properties>
</file>