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编制海南环岛旅游公路系列专题规划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HNXZ-2025-018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海南省旅游和文化广电体育厅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海南信正招标代理有限公司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海南省旅游和文化广电体育厅</w:t>
      </w:r>
      <w:r>
        <w:rPr>
          <w:rFonts w:ascii="仿宋_GB2312" w:hAnsi="仿宋_GB2312" w:cs="仿宋_GB2312" w:eastAsia="仿宋_GB2312"/>
        </w:rPr>
        <w:t xml:space="preserve"> 委托， </w:t>
      </w:r>
      <w:r>
        <w:rPr>
          <w:rFonts w:ascii="仿宋_GB2312" w:hAnsi="仿宋_GB2312" w:cs="仿宋_GB2312" w:eastAsia="仿宋_GB2312"/>
        </w:rPr>
        <w:t>海南信正招标代理有限公司</w:t>
      </w:r>
      <w:r>
        <w:rPr>
          <w:rFonts w:ascii="仿宋_GB2312" w:hAnsi="仿宋_GB2312" w:cs="仿宋_GB2312" w:eastAsia="仿宋_GB2312"/>
        </w:rPr>
        <w:t xml:space="preserve"> 对 </w:t>
      </w:r>
      <w:r>
        <w:rPr>
          <w:rFonts w:ascii="仿宋_GB2312" w:hAnsi="仿宋_GB2312" w:cs="仿宋_GB2312" w:eastAsia="仿宋_GB2312"/>
        </w:rPr>
        <w:t>编制海南环岛旅游公路系列专题规划</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HNXZ-2025-018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编制海南环岛旅游公路系列专题规划</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4,077,200.00元</w:t>
      </w:r>
      <w:r>
        <w:rPr>
          <w:rFonts w:ascii="仿宋_GB2312" w:hAnsi="仿宋_GB2312" w:cs="仿宋_GB2312" w:eastAsia="仿宋_GB2312"/>
        </w:rPr>
        <w:t>肆佰零柒万柒仟贰佰元整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合同签订之日起9个月内（具体以合同签订为准）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合同签订之日起9个月内（具体以合同签订为准）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合同签订之日起9个月内（具体以合同签订为准）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合同签订之日起9个月内（具体以合同签订为准）</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合同签订之日起9个月内（具体以合同签订为准）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 ： 参加政府采购活动前三年内，无环保类行政处罚记录。（提供声明函，加盖单位公章）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 参加政府采购活动前三年内，无环保类行政处罚记录： 参加政府采购活动前三年内，无环保类行政处罚记录。（提供声明函，加盖单位公章）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 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 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招标文件的补遗、澄清及变更信息以上述网站公告与下载为准，招标文件与更正公告的内容相互矛盾时，以最后发出的更正公告内容为准。2、有关本项目招标文件的补遗、澄清及变更信息以上述网站公告与下载为准，采购代理机构不再另行通知，招标文件与更正公告的内容相互矛盾时，以最后发出的更正公告内容为准。3、供应商须在海南政府采购网中的海南省政府采购智慧云平台进行注册并完善信息，然后下载参与投标项目电子招标文件（数据包）及其他文件。4、电子标采用全程电子化操作，供应商使用交易系统遇到问题可致电技术支持。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海南省旅游和文化广电体育厅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海口市美兰区白龙南路43号旅游文化大厦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0898-65332579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海南信正招标代理有限公司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海南省海口市琼山区国兴街道办国兴大道22号富力首府南区盈泰财富广场3805室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0898-65363682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采购包1：938,000.00元</w:t>
            </w:r>
          </w:p>
          <w:p>
            <w:pPr>
              <w:pStyle w:val="null3"/>
              <w:jc w:val="left"/>
            </w:pPr>
            <w:r>
              <w:rPr>
                <w:rFonts w:ascii="仿宋_GB2312" w:hAnsi="仿宋_GB2312" w:cs="仿宋_GB2312" w:eastAsia="仿宋_GB2312"/>
              </w:rPr>
              <w:t>采购包2：938,000.00元</w:t>
            </w:r>
          </w:p>
          <w:p>
            <w:pPr>
              <w:pStyle w:val="null3"/>
              <w:jc w:val="left"/>
            </w:pPr>
            <w:r>
              <w:rPr>
                <w:rFonts w:ascii="仿宋_GB2312" w:hAnsi="仿宋_GB2312" w:cs="仿宋_GB2312" w:eastAsia="仿宋_GB2312"/>
              </w:rPr>
              <w:t>采购包3：1,069,000.00元</w:t>
            </w:r>
          </w:p>
          <w:p>
            <w:pPr>
              <w:pStyle w:val="null3"/>
              <w:jc w:val="left"/>
            </w:pPr>
            <w:r>
              <w:rPr>
                <w:rFonts w:ascii="仿宋_GB2312" w:hAnsi="仿宋_GB2312" w:cs="仿宋_GB2312" w:eastAsia="仿宋_GB2312"/>
              </w:rPr>
              <w:t>采购包4：566,100.00元</w:t>
            </w:r>
          </w:p>
          <w:p>
            <w:pPr>
              <w:pStyle w:val="null3"/>
              <w:jc w:val="left"/>
            </w:pPr>
            <w:r>
              <w:rPr>
                <w:rFonts w:ascii="仿宋_GB2312" w:hAnsi="仿宋_GB2312" w:cs="仿宋_GB2312" w:eastAsia="仿宋_GB2312"/>
              </w:rPr>
              <w:t>采购包5：566,100.00元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代理服务费收费标准：在领取中标通知书且乙方提供相关验收证明资料，经甲方验收合格后，甲方于15个工作日内一次性向乙方支付采购代理服务费，即￥39617.92元。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联系电话：0898-65363682</w:t>
      </w:r>
    </w:p>
    <w:p>
      <w:pPr>
        <w:pStyle w:val="null3"/>
        <w:jc w:val="left"/>
      </w:pPr>
      <w:r>
        <w:rPr>
          <w:rFonts w:ascii="仿宋_GB2312" w:hAnsi="仿宋_GB2312" w:cs="仿宋_GB2312" w:eastAsia="仿宋_GB2312"/>
        </w:rPr>
        <w:t>地址：海南省海口市琼山区国兴街道办国兴大道22号富力首府南区盈泰财富广场3805室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将环岛旅游公路特色旅游圈、文化旅游、观光体系、骑行旅游、乡村旅游、海洋旅游、研学旅游、智慧文旅、康养度假、美食旅游、体育旅游、婚庆旅游、整体营销、景观风貌14个海南环岛旅游公路系列专题规划，分为5个标包。</w:t>
      </w:r>
      <w:r>
        <w:br/>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938,000.00</w:t>
      </w:r>
    </w:p>
    <w:p>
      <w:pPr>
        <w:pStyle w:val="null3"/>
        <w:jc w:val="left"/>
      </w:pPr>
      <w:r>
        <w:rPr>
          <w:rFonts w:ascii="仿宋_GB2312" w:hAnsi="仿宋_GB2312" w:cs="仿宋_GB2312" w:eastAsia="仿宋_GB2312"/>
        </w:rPr>
        <w:t>采购包最高限价（元）: 938,000.00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A包：环岛旅游公路沿线文旅融合系列规划采购包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938,000.00</w:t>
      </w:r>
    </w:p>
    <w:p>
      <w:pPr>
        <w:pStyle w:val="null3"/>
        <w:jc w:val="left"/>
      </w:pPr>
      <w:r>
        <w:rPr>
          <w:rFonts w:ascii="仿宋_GB2312" w:hAnsi="仿宋_GB2312" w:cs="仿宋_GB2312" w:eastAsia="仿宋_GB2312"/>
        </w:rPr>
        <w:t>采购包最高限价（元）: 938,000.00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B包：环岛旅游公路沿线立体开发系列规划采购包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1,069,000.00</w:t>
      </w:r>
    </w:p>
    <w:p>
      <w:pPr>
        <w:pStyle w:val="null3"/>
        <w:jc w:val="left"/>
      </w:pPr>
      <w:r>
        <w:rPr>
          <w:rFonts w:ascii="仿宋_GB2312" w:hAnsi="仿宋_GB2312" w:cs="仿宋_GB2312" w:eastAsia="仿宋_GB2312"/>
        </w:rPr>
        <w:t>采购包最高限价（元）: 1,069,000.00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C包：环岛旅游公路沿线主题业态系列规划采购包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566,100.00</w:t>
      </w:r>
    </w:p>
    <w:p>
      <w:pPr>
        <w:pStyle w:val="null3"/>
        <w:jc w:val="left"/>
      </w:pPr>
      <w:r>
        <w:rPr>
          <w:rFonts w:ascii="仿宋_GB2312" w:hAnsi="仿宋_GB2312" w:cs="仿宋_GB2312" w:eastAsia="仿宋_GB2312"/>
        </w:rPr>
        <w:t>采购包最高限价（元）: 566,100.00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D包：环岛旅游公路沿线景观环境系列规划采购包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566,100.00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566,100.00</w:t>
      </w:r>
    </w:p>
    <w:p>
      <w:pPr>
        <w:pStyle w:val="null3"/>
        <w:jc w:val="left"/>
      </w:pPr>
      <w:r>
        <w:rPr>
          <w:rFonts w:ascii="仿宋_GB2312" w:hAnsi="仿宋_GB2312" w:cs="仿宋_GB2312" w:eastAsia="仿宋_GB2312"/>
        </w:rPr>
        <w:t>采购包最高限价（元）: 566,100.00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E包：环岛旅游公路沿线品牌运营系列规划采购包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566,100.00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A包：环岛旅游公路沿线文旅融合系列规划采购包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B包：环岛旅游公路沿线立体开发系列规划采购包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C包：环岛旅游公路沿线主题业态系列规划采购包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D包：环岛旅游公路沿线景观环境系列规划采购包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566,100.00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E包：环岛旅游公路沿线品牌运营系列规划采购包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566,100.00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标的名称：A包：环岛旅游公路沿线文旅融合系列规划采购包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以特色旅游圈构建整体空间发展布局骨架，挖掘活化在地文化资源和乡村资源，通过文化主题串联分散景点形成集群效应，以乡村旅游激活空心化村镇，推动农文旅产业融合发展。具体包含环岛旅游公路特色旅游圈、文化旅游、乡村旅游3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1.规划原则。本规划编制要求高标准、高起点、高水平，突出科学性、战略性、创新性和可操作性，要准确定位，体现特色。  </w:t>
            </w:r>
            <w:r>
              <w:br/>
            </w:r>
            <w:r>
              <w:rPr>
                <w:rFonts w:ascii="仿宋_GB2312" w:hAnsi="仿宋_GB2312" w:cs="仿宋_GB2312" w:eastAsia="仿宋_GB2312"/>
              </w:rPr>
              <w:t xml:space="preserve"> 2.科学性原则。现状和相关资料收集应详实充足，分析论证应科学严谨。</w:t>
            </w:r>
            <w:r>
              <w:br/>
            </w:r>
            <w:r>
              <w:rPr>
                <w:rFonts w:ascii="仿宋_GB2312" w:hAnsi="仿宋_GB2312" w:cs="仿宋_GB2312" w:eastAsia="仿宋_GB2312"/>
              </w:rPr>
              <w:t xml:space="preserve"> 3.战略性原则。着眼新时期、新形势的要求，统筹部署，打造海南环岛旅游公路规划发展。</w:t>
            </w:r>
            <w:r>
              <w:br/>
            </w:r>
            <w:r>
              <w:rPr>
                <w:rFonts w:ascii="仿宋_GB2312" w:hAnsi="仿宋_GB2312" w:cs="仿宋_GB2312" w:eastAsia="仿宋_GB2312"/>
              </w:rPr>
              <w:t xml:space="preserve"> 4.创新性原则。应突出新理念、应用新方法、体现新思路、富有新创意。</w:t>
            </w:r>
            <w:r>
              <w:br/>
            </w:r>
            <w:r>
              <w:rPr>
                <w:rFonts w:ascii="仿宋_GB2312" w:hAnsi="仿宋_GB2312" w:cs="仿宋_GB2312" w:eastAsia="仿宋_GB2312"/>
              </w:rPr>
              <w:t xml:space="preserve"> 5.可操作性原则。应注重产品、产业发展的实际需要，充分体现规划的实效性与可操作性。</w:t>
            </w:r>
            <w:r>
              <w:br/>
            </w:r>
            <w:r>
              <w:rPr>
                <w:rFonts w:ascii="仿宋_GB2312" w:hAnsi="仿宋_GB2312" w:cs="仿宋_GB2312" w:eastAsia="仿宋_GB2312"/>
              </w:rPr>
              <w:t xml:space="preserve"> 四、成果交付要求</w:t>
            </w:r>
            <w:r>
              <w:br/>
            </w:r>
            <w:r>
              <w:rPr>
                <w:rFonts w:ascii="仿宋_GB2312" w:hAnsi="仿宋_GB2312" w:cs="仿宋_GB2312" w:eastAsia="仿宋_GB2312"/>
              </w:rPr>
              <w:t xml:space="preserve"> 1.规划文本。规划文本应能简明表述规划思路和成果，条款形式。</w:t>
            </w:r>
            <w:r>
              <w:br/>
            </w:r>
            <w:r>
              <w:rPr>
                <w:rFonts w:ascii="仿宋_GB2312" w:hAnsi="仿宋_GB2312" w:cs="仿宋_GB2312" w:eastAsia="仿宋_GB2312"/>
              </w:rPr>
              <w:t xml:space="preserve"> 2.规划说明书。规划说明书能详细、清晰表达规划思路和规划成果，图文并茂。</w:t>
            </w:r>
            <w:r>
              <w:br/>
            </w:r>
            <w:r>
              <w:rPr>
                <w:rFonts w:ascii="仿宋_GB2312" w:hAnsi="仿宋_GB2312" w:cs="仿宋_GB2312" w:eastAsia="仿宋_GB2312"/>
              </w:rPr>
              <w:t xml:space="preserve"> 3.图件。反映规划意图的图纸。</w:t>
            </w:r>
            <w:r>
              <w:br/>
            </w:r>
            <w:r>
              <w:rPr>
                <w:rFonts w:ascii="仿宋_GB2312" w:hAnsi="仿宋_GB2312" w:cs="仿宋_GB2312" w:eastAsia="仿宋_GB2312"/>
              </w:rPr>
              <w:t xml:space="preserve"> 4.附件。基础资料汇编及专题研究成果</w:t>
            </w:r>
            <w:r>
              <w:br/>
            </w:r>
            <w:r>
              <w:rPr>
                <w:rFonts w:ascii="仿宋_GB2312" w:hAnsi="仿宋_GB2312" w:cs="仿宋_GB2312" w:eastAsia="仿宋_GB2312"/>
              </w:rPr>
              <w:t xml:space="preserve"> 五、其他总体要求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2.明确环岛旅游公路3个专题规划的指导思想、发展战略、总体布局、具体目标。</w:t>
            </w:r>
            <w:r>
              <w:br/>
            </w:r>
            <w:r>
              <w:rPr>
                <w:rFonts w:ascii="仿宋_GB2312" w:hAnsi="仿宋_GB2312" w:cs="仿宋_GB2312" w:eastAsia="仿宋_GB2312"/>
              </w:rPr>
              <w:t xml:space="preserve"> 3结合环岛旅游公路空间分布特征，提出3个专题旅游产品、游线、活动等，促进环岛旅游公路产品联动，统筹旅游产品布局。</w:t>
            </w:r>
            <w:r>
              <w:br/>
            </w:r>
            <w:r>
              <w:rPr>
                <w:rFonts w:ascii="仿宋_GB2312" w:hAnsi="仿宋_GB2312" w:cs="仿宋_GB2312" w:eastAsia="仿宋_GB2312"/>
              </w:rPr>
              <w:t xml:space="preserve"> 4.从旅游需求角度，统筹安排环岛旅游公路专题旅游产品服务设施布局，充分调动城镇、乡村、景区景点等空间资源，提升和完善旅游服务设施。</w:t>
            </w:r>
            <w:r>
              <w:br/>
            </w:r>
            <w:r>
              <w:rPr>
                <w:rFonts w:ascii="仿宋_GB2312" w:hAnsi="仿宋_GB2312" w:cs="仿宋_GB2312" w:eastAsia="仿宋_GB2312"/>
              </w:rPr>
              <w:t xml:space="preserve"> 5.根据核心旅游项目和重点旅游设施进行分类归纳，合理安排建设时序，形成环岛旅游公路3个专题旅游规划项目库。</w:t>
            </w:r>
            <w:r>
              <w:br/>
            </w:r>
            <w:r>
              <w:rPr>
                <w:rFonts w:ascii="仿宋_GB2312" w:hAnsi="仿宋_GB2312" w:cs="仿宋_GB2312" w:eastAsia="仿宋_GB2312"/>
              </w:rPr>
              <w:t xml:space="preserve"> 6.从政策、资金、人才、土地等方面探索提出3个专题旅游规划的具体保障措施。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标的名称：B包：环岛旅游公路沿线立体开发系列规划采购包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谋划陆海空三维联动开发拓展体验场景，标准化建设路道、水上、低空旅游配套服务设施和基础设施，开发见海、亲海、玩海等体育运动项目，策划多样化、个性化主题骑游线路，打造立体化旅游体验。具体包含海洋旅游、体育旅游、骑行旅游3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1.规划原则。本规划编制要求高标准、高起点、高水平，突出科学性、战略性、创新性和可操作性，要准确定位，体现特色。  </w:t>
            </w:r>
            <w:r>
              <w:br/>
            </w:r>
            <w:r>
              <w:rPr>
                <w:rFonts w:ascii="仿宋_GB2312" w:hAnsi="仿宋_GB2312" w:cs="仿宋_GB2312" w:eastAsia="仿宋_GB2312"/>
              </w:rPr>
              <w:t xml:space="preserve"> 2.科学性原则。现状和相关资料收集应详实充足，分析论证应科学严谨。</w:t>
            </w:r>
            <w:r>
              <w:br/>
            </w:r>
            <w:r>
              <w:rPr>
                <w:rFonts w:ascii="仿宋_GB2312" w:hAnsi="仿宋_GB2312" w:cs="仿宋_GB2312" w:eastAsia="仿宋_GB2312"/>
              </w:rPr>
              <w:t xml:space="preserve"> 3.战略性原则。着眼新时期、新形势的要求，统筹部署，打造海南环岛旅游公路规划发展。</w:t>
            </w:r>
            <w:r>
              <w:br/>
            </w:r>
            <w:r>
              <w:rPr>
                <w:rFonts w:ascii="仿宋_GB2312" w:hAnsi="仿宋_GB2312" w:cs="仿宋_GB2312" w:eastAsia="仿宋_GB2312"/>
              </w:rPr>
              <w:t xml:space="preserve"> 4.创新性原则。应突出新理念、应用新方法、体现新思路、富有新创意。</w:t>
            </w:r>
            <w:r>
              <w:br/>
            </w:r>
            <w:r>
              <w:rPr>
                <w:rFonts w:ascii="仿宋_GB2312" w:hAnsi="仿宋_GB2312" w:cs="仿宋_GB2312" w:eastAsia="仿宋_GB2312"/>
              </w:rPr>
              <w:t xml:space="preserve"> 5.可操作性原则。应注重产品、产业发展的实际需要，充分体现规划的实效性与可操作性。</w:t>
            </w:r>
            <w:r>
              <w:br/>
            </w:r>
            <w:r>
              <w:rPr>
                <w:rFonts w:ascii="仿宋_GB2312" w:hAnsi="仿宋_GB2312" w:cs="仿宋_GB2312" w:eastAsia="仿宋_GB2312"/>
              </w:rPr>
              <w:t xml:space="preserve"> 四、成果交付要求</w:t>
            </w:r>
            <w:r>
              <w:br/>
            </w:r>
            <w:r>
              <w:rPr>
                <w:rFonts w:ascii="仿宋_GB2312" w:hAnsi="仿宋_GB2312" w:cs="仿宋_GB2312" w:eastAsia="仿宋_GB2312"/>
              </w:rPr>
              <w:t xml:space="preserve"> 1.规划文本。规划文本应能简明表述规划思路和成果，条款形式。</w:t>
            </w:r>
            <w:r>
              <w:br/>
            </w:r>
            <w:r>
              <w:rPr>
                <w:rFonts w:ascii="仿宋_GB2312" w:hAnsi="仿宋_GB2312" w:cs="仿宋_GB2312" w:eastAsia="仿宋_GB2312"/>
              </w:rPr>
              <w:t xml:space="preserve"> 2.规划说明书。规划说明书能详细、清晰表达规划思路和规划成果，图文并茂。</w:t>
            </w:r>
            <w:r>
              <w:br/>
            </w:r>
            <w:r>
              <w:rPr>
                <w:rFonts w:ascii="仿宋_GB2312" w:hAnsi="仿宋_GB2312" w:cs="仿宋_GB2312" w:eastAsia="仿宋_GB2312"/>
              </w:rPr>
              <w:t xml:space="preserve"> 3.图件。反映规划意图的图纸。</w:t>
            </w:r>
            <w:r>
              <w:br/>
            </w:r>
            <w:r>
              <w:rPr>
                <w:rFonts w:ascii="仿宋_GB2312" w:hAnsi="仿宋_GB2312" w:cs="仿宋_GB2312" w:eastAsia="仿宋_GB2312"/>
              </w:rPr>
              <w:t xml:space="preserve"> 4.附件。基础资料汇编及专题研究成果</w:t>
            </w:r>
            <w:r>
              <w:br/>
            </w:r>
            <w:r>
              <w:rPr>
                <w:rFonts w:ascii="仿宋_GB2312" w:hAnsi="仿宋_GB2312" w:cs="仿宋_GB2312" w:eastAsia="仿宋_GB2312"/>
              </w:rPr>
              <w:t xml:space="preserve"> 五、其他总体要求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2.明确环岛旅游公路3个专题规划的指导思想、发展战略、总体布局、具体目标。</w:t>
            </w:r>
            <w:r>
              <w:br/>
            </w:r>
            <w:r>
              <w:rPr>
                <w:rFonts w:ascii="仿宋_GB2312" w:hAnsi="仿宋_GB2312" w:cs="仿宋_GB2312" w:eastAsia="仿宋_GB2312"/>
              </w:rPr>
              <w:t xml:space="preserve"> 3结合环岛旅游公路空间分布特征，提出3个专题旅游产品、游线、活动等，促进环岛旅游公路产品联动，统筹旅游产品布局。</w:t>
            </w:r>
            <w:r>
              <w:br/>
            </w:r>
            <w:r>
              <w:rPr>
                <w:rFonts w:ascii="仿宋_GB2312" w:hAnsi="仿宋_GB2312" w:cs="仿宋_GB2312" w:eastAsia="仿宋_GB2312"/>
              </w:rPr>
              <w:t xml:space="preserve"> 4.从旅游需求角度，统筹安排环岛旅游公路专题旅游产品服务设施布局，充分调动城镇、乡村、景区景点等空间资源，提升和完善旅游服务设施。</w:t>
            </w:r>
            <w:r>
              <w:br/>
            </w:r>
            <w:r>
              <w:rPr>
                <w:rFonts w:ascii="仿宋_GB2312" w:hAnsi="仿宋_GB2312" w:cs="仿宋_GB2312" w:eastAsia="仿宋_GB2312"/>
              </w:rPr>
              <w:t xml:space="preserve"> 5.根据核心旅游项目和重点旅游设施进行分类归纳，合理安排建设时序，形成环岛旅游公路3个专题旅游规划项目库。</w:t>
            </w:r>
            <w:r>
              <w:br/>
            </w:r>
            <w:r>
              <w:rPr>
                <w:rFonts w:ascii="仿宋_GB2312" w:hAnsi="仿宋_GB2312" w:cs="仿宋_GB2312" w:eastAsia="仿宋_GB2312"/>
              </w:rPr>
              <w:t xml:space="preserve"> 6.从政策、资金、人才、土地等方面探索提出3个专题旅游规划的具体保障措施。</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标的名称：C包：环岛旅游公路沿线主题业态系列规划采购包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瞄准学生、银发族、美食爱好者、婚庆消费四大垂直市场，结合热带海岛资源打造主题化、差异化深度体验产品，以长周期、高情感产品平衡旅游淡旺季，激活细分领域消费潜力。具体包含研学旅游、康养度假、美食旅游、婚庆旅游4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1.规划原则。本规划编制要求高标准、高起点、高水平，突出科学性、战略性、创新性和可操作性，要准确定位，体现特色。  </w:t>
            </w:r>
            <w:r>
              <w:br/>
            </w:r>
            <w:r>
              <w:rPr>
                <w:rFonts w:ascii="仿宋_GB2312" w:hAnsi="仿宋_GB2312" w:cs="仿宋_GB2312" w:eastAsia="仿宋_GB2312"/>
              </w:rPr>
              <w:t xml:space="preserve"> 2.科学性原则。现状和相关资料收集应详实充足，分析论证应科学严谨。</w:t>
            </w:r>
            <w:r>
              <w:br/>
            </w:r>
            <w:r>
              <w:rPr>
                <w:rFonts w:ascii="仿宋_GB2312" w:hAnsi="仿宋_GB2312" w:cs="仿宋_GB2312" w:eastAsia="仿宋_GB2312"/>
              </w:rPr>
              <w:t xml:space="preserve"> 3.战略性原则。着眼新时期、新形势的要求，统筹部署，打造海南环岛旅游公路规划发展。</w:t>
            </w:r>
            <w:r>
              <w:br/>
            </w:r>
            <w:r>
              <w:rPr>
                <w:rFonts w:ascii="仿宋_GB2312" w:hAnsi="仿宋_GB2312" w:cs="仿宋_GB2312" w:eastAsia="仿宋_GB2312"/>
              </w:rPr>
              <w:t xml:space="preserve"> 4.创新性原则。应突出新理念、应用新方法、体现新思路、富有新创意。</w:t>
            </w:r>
            <w:r>
              <w:br/>
            </w:r>
            <w:r>
              <w:rPr>
                <w:rFonts w:ascii="仿宋_GB2312" w:hAnsi="仿宋_GB2312" w:cs="仿宋_GB2312" w:eastAsia="仿宋_GB2312"/>
              </w:rPr>
              <w:t xml:space="preserve"> 5.可操作性原则。应注重产品、产业发展的实际需要，充分体现规划的实效性与可操作性。</w:t>
            </w:r>
            <w:r>
              <w:br/>
            </w:r>
            <w:r>
              <w:rPr>
                <w:rFonts w:ascii="仿宋_GB2312" w:hAnsi="仿宋_GB2312" w:cs="仿宋_GB2312" w:eastAsia="仿宋_GB2312"/>
              </w:rPr>
              <w:t xml:space="preserve"> 四、成果交付要求</w:t>
            </w:r>
            <w:r>
              <w:br/>
            </w:r>
            <w:r>
              <w:rPr>
                <w:rFonts w:ascii="仿宋_GB2312" w:hAnsi="仿宋_GB2312" w:cs="仿宋_GB2312" w:eastAsia="仿宋_GB2312"/>
              </w:rPr>
              <w:t xml:space="preserve"> 1.规划文本。规划文本应能简明表述规划思路和成果，条款形式。</w:t>
            </w:r>
            <w:r>
              <w:br/>
            </w:r>
            <w:r>
              <w:rPr>
                <w:rFonts w:ascii="仿宋_GB2312" w:hAnsi="仿宋_GB2312" w:cs="仿宋_GB2312" w:eastAsia="仿宋_GB2312"/>
              </w:rPr>
              <w:t xml:space="preserve"> 2.规划说明书。规划说明书能详细、清晰表达规划思路和规划成果，图文并茂。</w:t>
            </w:r>
            <w:r>
              <w:br/>
            </w:r>
            <w:r>
              <w:rPr>
                <w:rFonts w:ascii="仿宋_GB2312" w:hAnsi="仿宋_GB2312" w:cs="仿宋_GB2312" w:eastAsia="仿宋_GB2312"/>
              </w:rPr>
              <w:t xml:space="preserve"> 3.图件。反映规划意图的图纸。</w:t>
            </w:r>
            <w:r>
              <w:br/>
            </w:r>
            <w:r>
              <w:rPr>
                <w:rFonts w:ascii="仿宋_GB2312" w:hAnsi="仿宋_GB2312" w:cs="仿宋_GB2312" w:eastAsia="仿宋_GB2312"/>
              </w:rPr>
              <w:t xml:space="preserve"> 4.附件。基础资料汇编及专题研究成果</w:t>
            </w:r>
            <w:r>
              <w:br/>
            </w:r>
            <w:r>
              <w:rPr>
                <w:rFonts w:ascii="仿宋_GB2312" w:hAnsi="仿宋_GB2312" w:cs="仿宋_GB2312" w:eastAsia="仿宋_GB2312"/>
              </w:rPr>
              <w:t xml:space="preserve"> 五、其他总体要求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2.明确环岛旅游公路4个专题规划的指导思想、发展战略、总体布局、具体目标。</w:t>
            </w:r>
            <w:r>
              <w:br/>
            </w:r>
            <w:r>
              <w:rPr>
                <w:rFonts w:ascii="仿宋_GB2312" w:hAnsi="仿宋_GB2312" w:cs="仿宋_GB2312" w:eastAsia="仿宋_GB2312"/>
              </w:rPr>
              <w:t xml:space="preserve"> 3结合环岛旅游公路空间分布特征，提出4个专题旅游产品、游线、活动等，促进环岛旅游公路产品联动，统筹旅游产品布局。</w:t>
            </w:r>
            <w:r>
              <w:br/>
            </w:r>
            <w:r>
              <w:rPr>
                <w:rFonts w:ascii="仿宋_GB2312" w:hAnsi="仿宋_GB2312" w:cs="仿宋_GB2312" w:eastAsia="仿宋_GB2312"/>
              </w:rPr>
              <w:t xml:space="preserve"> 4.从旅游需求角度，统筹安排环岛旅游公路专题旅游产品服务设施布局，充分调动城镇、乡村、景区景点等空间资源，提升和完善旅游服务设施。</w:t>
            </w:r>
            <w:r>
              <w:br/>
            </w:r>
            <w:r>
              <w:rPr>
                <w:rFonts w:ascii="仿宋_GB2312" w:hAnsi="仿宋_GB2312" w:cs="仿宋_GB2312" w:eastAsia="仿宋_GB2312"/>
              </w:rPr>
              <w:t xml:space="preserve"> 5.根据核心旅游项目和重点旅游设施进行分类归纳，合理安排建设时序，形成环岛旅游公路4个专题旅游规划项目库。</w:t>
            </w:r>
            <w:r>
              <w:br/>
            </w:r>
            <w:r>
              <w:rPr>
                <w:rFonts w:ascii="仿宋_GB2312" w:hAnsi="仿宋_GB2312" w:cs="仿宋_GB2312" w:eastAsia="仿宋_GB2312"/>
              </w:rPr>
              <w:t xml:space="preserve"> 6.从政策、资金、人才、土地等方面探索提出4个专题旅游规划的具体保障措施。</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标的名称：D包：环岛旅游公路沿线景观环境系列规划采购包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聚焦优化环岛公路视觉标识与景观风貌，塑造“第一眼吸引力”强化品牌记忆，通过景观风貌控制改善沿线村镇环境，提升拍照传播率与游客舒适度，以标志性观光体系解决“美景不见景”痛点，激活潜在流量点。具体包含观光体系、景观风貌2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1.规划原则。本规划编制要求高标准、高起点、高水平，突出科学性、战略性、创新性和可操作性，要准确定位，体现特色。  </w:t>
            </w:r>
            <w:r>
              <w:br/>
            </w:r>
            <w:r>
              <w:rPr>
                <w:rFonts w:ascii="仿宋_GB2312" w:hAnsi="仿宋_GB2312" w:cs="仿宋_GB2312" w:eastAsia="仿宋_GB2312"/>
              </w:rPr>
              <w:t xml:space="preserve"> 2.科学性原则。现状和相关资料收集应详实充足，分析论证应科学严谨。</w:t>
            </w:r>
            <w:r>
              <w:br/>
            </w:r>
            <w:r>
              <w:rPr>
                <w:rFonts w:ascii="仿宋_GB2312" w:hAnsi="仿宋_GB2312" w:cs="仿宋_GB2312" w:eastAsia="仿宋_GB2312"/>
              </w:rPr>
              <w:t xml:space="preserve"> 3.战略性原则。着眼新时期、新形势的要求，统筹部署，打造海南环岛旅游公路规划发展。</w:t>
            </w:r>
            <w:r>
              <w:br/>
            </w:r>
            <w:r>
              <w:rPr>
                <w:rFonts w:ascii="仿宋_GB2312" w:hAnsi="仿宋_GB2312" w:cs="仿宋_GB2312" w:eastAsia="仿宋_GB2312"/>
              </w:rPr>
              <w:t xml:space="preserve"> 4.创新性原则。应突出新理念、应用新方法、体现新思路、富有新创意。</w:t>
            </w:r>
            <w:r>
              <w:br/>
            </w:r>
            <w:r>
              <w:rPr>
                <w:rFonts w:ascii="仿宋_GB2312" w:hAnsi="仿宋_GB2312" w:cs="仿宋_GB2312" w:eastAsia="仿宋_GB2312"/>
              </w:rPr>
              <w:t xml:space="preserve"> 5.可操作性原则。应注重产品、产业发展的实际需要，充分体现规划的实效性与可操作性。</w:t>
            </w:r>
            <w:r>
              <w:br/>
            </w:r>
            <w:r>
              <w:rPr>
                <w:rFonts w:ascii="仿宋_GB2312" w:hAnsi="仿宋_GB2312" w:cs="仿宋_GB2312" w:eastAsia="仿宋_GB2312"/>
              </w:rPr>
              <w:t xml:space="preserve"> 四、成果交付要求</w:t>
            </w:r>
            <w:r>
              <w:br/>
            </w:r>
            <w:r>
              <w:rPr>
                <w:rFonts w:ascii="仿宋_GB2312" w:hAnsi="仿宋_GB2312" w:cs="仿宋_GB2312" w:eastAsia="仿宋_GB2312"/>
              </w:rPr>
              <w:t xml:space="preserve"> 1.规划文本。规划文本应能简明表述规划思路和成果，条款形式。</w:t>
            </w:r>
            <w:r>
              <w:br/>
            </w:r>
            <w:r>
              <w:rPr>
                <w:rFonts w:ascii="仿宋_GB2312" w:hAnsi="仿宋_GB2312" w:cs="仿宋_GB2312" w:eastAsia="仿宋_GB2312"/>
              </w:rPr>
              <w:t xml:space="preserve"> 2.规划说明书。规划说明书能详细、清晰表达规划思路和规划成果，图文并茂。</w:t>
            </w:r>
            <w:r>
              <w:br/>
            </w:r>
            <w:r>
              <w:rPr>
                <w:rFonts w:ascii="仿宋_GB2312" w:hAnsi="仿宋_GB2312" w:cs="仿宋_GB2312" w:eastAsia="仿宋_GB2312"/>
              </w:rPr>
              <w:t xml:space="preserve"> 3.图件。反映规划意图的图纸。</w:t>
            </w:r>
            <w:r>
              <w:br/>
            </w:r>
            <w:r>
              <w:rPr>
                <w:rFonts w:ascii="仿宋_GB2312" w:hAnsi="仿宋_GB2312" w:cs="仿宋_GB2312" w:eastAsia="仿宋_GB2312"/>
              </w:rPr>
              <w:t xml:space="preserve"> 4.附件。基础资料汇编及专题研究成果</w:t>
            </w:r>
            <w:r>
              <w:br/>
            </w:r>
            <w:r>
              <w:rPr>
                <w:rFonts w:ascii="仿宋_GB2312" w:hAnsi="仿宋_GB2312" w:cs="仿宋_GB2312" w:eastAsia="仿宋_GB2312"/>
              </w:rPr>
              <w:t xml:space="preserve"> 五、其他总体要求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2.明确环岛旅游公路2个专题规划的指导思想、发展战略、总体布局、具体目标。</w:t>
            </w:r>
            <w:r>
              <w:br/>
            </w:r>
            <w:r>
              <w:rPr>
                <w:rFonts w:ascii="仿宋_GB2312" w:hAnsi="仿宋_GB2312" w:cs="仿宋_GB2312" w:eastAsia="仿宋_GB2312"/>
              </w:rPr>
              <w:t xml:space="preserve"> 3结合环岛旅游公路空间分布特征，提出2个专题旅游产品、游线、活动等，促进环岛旅游公路产品联动，统筹旅游产品布局。</w:t>
            </w:r>
            <w:r>
              <w:br/>
            </w:r>
            <w:r>
              <w:rPr>
                <w:rFonts w:ascii="仿宋_GB2312" w:hAnsi="仿宋_GB2312" w:cs="仿宋_GB2312" w:eastAsia="仿宋_GB2312"/>
              </w:rPr>
              <w:t xml:space="preserve"> 4.从旅游需求角度，统筹安排环岛旅游公路专题旅游产品服务设施布局，充分调动城镇、乡村、景区景点等空间资源，提升和完善旅游服务设施。</w:t>
            </w:r>
            <w:r>
              <w:br/>
            </w:r>
            <w:r>
              <w:rPr>
                <w:rFonts w:ascii="仿宋_GB2312" w:hAnsi="仿宋_GB2312" w:cs="仿宋_GB2312" w:eastAsia="仿宋_GB2312"/>
              </w:rPr>
              <w:t xml:space="preserve"> 5.根据核心旅游项目和重点旅游设施进行分类归纳，合理安排建设时序，形成环岛旅游公路2个专题旅游规划项目库。</w:t>
            </w:r>
            <w:r>
              <w:br/>
            </w:r>
            <w:r>
              <w:rPr>
                <w:rFonts w:ascii="仿宋_GB2312" w:hAnsi="仿宋_GB2312" w:cs="仿宋_GB2312" w:eastAsia="仿宋_GB2312"/>
              </w:rPr>
              <w:t xml:space="preserve"> 6.从政策、资金、人才、土地等方面探索提出2个专题旅游规划的具体保障措施。</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标的名称：E包：环岛旅游公路沿线品牌运营系列规划采购包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针对“重建设轻运营”痛点，搭建统一智慧文旅平台，以智慧化手段降本增效，实现客流精准引流与长效管理，通过全域营销整合分散资源，建立数据驱动决策机制，动态优化旅游产品与游客服务。具体包含智慧文旅、整体营销2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2.明确环岛旅游公路2个专题规划的指导思想、发展战略、总体布局、具体目标。</w:t>
            </w:r>
            <w:r>
              <w:br/>
            </w:r>
            <w:r>
              <w:rPr>
                <w:rFonts w:ascii="仿宋_GB2312" w:hAnsi="仿宋_GB2312" w:cs="仿宋_GB2312" w:eastAsia="仿宋_GB2312"/>
              </w:rPr>
              <w:t xml:space="preserve"> 3.从旅游需求角度，充分调动城镇、乡村、景区景点等空间资源，统筹安排环岛旅游公路专题旅游产品打造、包装与提升，强化科技赋能，大力提升旅游服务设施的科技水平和便利度。</w:t>
            </w:r>
            <w:r>
              <w:br/>
            </w:r>
            <w:r>
              <w:rPr>
                <w:rFonts w:ascii="仿宋_GB2312" w:hAnsi="仿宋_GB2312" w:cs="仿宋_GB2312" w:eastAsia="仿宋_GB2312"/>
              </w:rPr>
              <w:t xml:space="preserve"> 4.根据核心旅游项目和重点旅游设施，系统谋划专题旅游项目，合理安排建设时序，形成环岛旅游公路2个专题旅游规划项目库。</w:t>
            </w:r>
            <w:r>
              <w:br/>
            </w:r>
            <w:r>
              <w:rPr>
                <w:rFonts w:ascii="仿宋_GB2312" w:hAnsi="仿宋_GB2312" w:cs="仿宋_GB2312" w:eastAsia="仿宋_GB2312"/>
              </w:rPr>
              <w:t xml:space="preserve"> 5.从政策、资金、人才等方面探索提出2个专题旅游规划的具体保障措施。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 xml:space="preserve"> 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参加政府采购活动前三年内，无环保类行政处罚记录</w:t>
            </w:r>
          </w:p>
        </w:tc>
        <w:tc>
          <w:tcPr>
            <w:tcW w:type="dxa" w:w="3322"/>
          </w:tcPr>
          <w:p>
            <w:pPr>
              <w:pStyle w:val="null3"/>
              <w:jc w:val="left"/>
            </w:pPr>
            <w:r>
              <w:rPr>
                <w:rFonts w:ascii="仿宋_GB2312" w:hAnsi="仿宋_GB2312" w:cs="仿宋_GB2312" w:eastAsia="仿宋_GB2312"/>
              </w:rPr>
              <w:t xml:space="preserve"> 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拟派的项目组其他技术人员应配有旅游、文化、农业、海洋、经济、城乡规划专业，具相关专业高级（含以上）职称的，每个1分； 具有相关专业中级职称的，每个0.5分。此项满分6分。（同一个人多专业或同类专业多人不重复计分 ）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拟派的项目组其他技术人员应配有旅游、文化、体育、海洋、经济、城乡规划专业，具相关专业高级（含以上）职称的，每个1分； 具有相关专业中级职称的，每个0.5分。此项满分6分。（同类专业的多人也只能计1分）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拟派的项目组其他技术人员应配有旅游、文化、体育、生态、经济、城乡规划专业，具相关专业高级（含以上）职称的，每个1分； 具有相关专业中级职称的，每个0.5分。此项满分6分。（同一个人多专业或同类专业多人不重复计分 ）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拟派的项目组其他技术人员应配有旅游、文化、体育、风景园林、经济、城乡规划专业，具相关专业高级（含以上）职称的，每个1分； 具有相关专业中级职称的，每个0.5分。此项满分6分。（同一个人多专业或同类专业多人不重复计分 ）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拟派的项目组其他技术人员应配有旅游、文化、体育、信息、经济、城乡规划专业，具相关专业高级（含以上）职称的，每个1分； 具有相关专业中级职称的，每个0.5分。此项满分6分。（同一个人多专业或同类专业多人不重复计分 ）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详见附件：采购合同-编制海南环岛旅游公路系列专题规划.docx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A包：环岛旅游公路沿线文旅融合系列规划采购包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A包：环岛旅游公路沿线文旅融合系列规划采购包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938000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B包：环岛旅游公路沿线立体开发系列规划采购包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B包：环岛旅游公路沿线立体开发系列规划采购包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938000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C包：环岛旅游公路沿线主题业态系列规划采购包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C包：环岛旅游公路沿线主题业态系列规划采购包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1069000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D包：环岛旅游公路沿线景观环境系列规划采购包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D包：环岛旅游公路沿线景观环境系列规划采购包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566100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E包：环岛旅游公路沿线品牌运营系列规划采购包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E包：环岛旅游公路沿线品牌运营系列规划采购包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566100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