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2025年度公务用车采购（一般公共预算资金）(二次)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HNGP2025-045R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海南省机关事务管理局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海南省机关事务管理局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2025年度公务用车采购（一般公共预算资金）(二次)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HNGP2025-045R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2025年度公务用车采购（一般公共预算资金）(二次)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1,650,000.00元</w:t>
      </w:r>
      <w:r>
        <w:rPr>
          <w:rFonts w:ascii="仿宋_GB2312" w:hAnsi="仿宋_GB2312" w:cs="仿宋_GB2312" w:eastAsia="仿宋_GB2312"/>
        </w:rPr>
        <w:t>壹佰陆拾伍万元整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 第三章 采购需求</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 第三章 采购需求</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详见 第三章 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所投车辆必须是国家工业和信息化部的“汽车产品公告目录”的车型，所投标产品须具有国家工信部许可的专用车公告。：所投车辆必须是国家工业和信息化部的“汽车产品公告目录”的车型，所投标产品须具有国家工信部许可的专用车公告。投标时提供工业和信息化部装备工业发展中心道路机动车辆生产企业及产品信息查询系统截图。网址：https://app.miit-eidc.org.cn/miitxxgk/gonggao/xxgk/index，加盖公章。若车辆公告名称与本项目内车辆名称存在差异，但实际车辆功能确实能满足采购项目内车辆要求的，须标注说明，如：本项目内的“小型警力运输车”在国家工信部许可的专用特种车辆公告目录内实际与“运兵车”一致，“现场事故勘查车”在国家工信部许可的专用特种车辆公告目录内实际与“勘察车”一致。</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海南省机关事务管理局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海府路49号第一办公楼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0898-65338209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海口市美兰区大英山西二路政务二期大楼208房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0898-66529848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采购包1：500,000.00元</w:t>
            </w:r>
          </w:p>
          <w:p>
            <w:pPr>
              <w:pStyle w:val="null3"/>
              <w:jc w:val="left"/>
            </w:pPr>
            <w:r>
              <w:rPr>
                <w:rFonts w:ascii="仿宋_GB2312" w:hAnsi="仿宋_GB2312" w:cs="仿宋_GB2312" w:eastAsia="仿宋_GB2312"/>
              </w:rPr>
              <w:t>采购包2：250,000.00元</w:t>
            </w:r>
          </w:p>
          <w:p>
            <w:pPr>
              <w:pStyle w:val="null3"/>
              <w:jc w:val="left"/>
            </w:pPr>
            <w:r>
              <w:rPr>
                <w:rFonts w:ascii="仿宋_GB2312" w:hAnsi="仿宋_GB2312" w:cs="仿宋_GB2312" w:eastAsia="仿宋_GB2312"/>
              </w:rPr>
              <w:t>采购包3：900,000.00元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非专门面向中小企业，原因是专门面向中小企业采购无法确保充分供应、充分竞争，或者存在可能影响政府采购目标实现的情形，因此不专门面向中小企业。同时，本项目对小微型企业的投标报价给予一定比例的扣除（包括成员全部为小微企业的联合体。具体比例详见“评标办法”），用扣除后的价格参加评审。3.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4.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联系人：海南省机关事务管理局</w:t>
      </w:r>
    </w:p>
    <w:p>
      <w:pPr>
        <w:pStyle w:val="null3"/>
        <w:jc w:val="left"/>
      </w:pPr>
      <w:r>
        <w:rPr>
          <w:rFonts w:ascii="仿宋_GB2312" w:hAnsi="仿宋_GB2312" w:cs="仿宋_GB2312" w:eastAsia="仿宋_GB2312"/>
        </w:rPr>
        <w:t>联系电话：0898-65338209</w:t>
      </w:r>
    </w:p>
    <w:p>
      <w:pPr>
        <w:pStyle w:val="null3"/>
        <w:jc w:val="left"/>
      </w:pPr>
      <w:r>
        <w:rPr>
          <w:rFonts w:ascii="仿宋_GB2312" w:hAnsi="仿宋_GB2312" w:cs="仿宋_GB2312" w:eastAsia="仿宋_GB2312"/>
        </w:rPr>
        <w:t>地址：海府路49号第一办公楼</w:t>
      </w:r>
    </w:p>
    <w:p>
      <w:pPr>
        <w:pStyle w:val="null3"/>
        <w:jc w:val="left"/>
      </w:pPr>
      <w:r>
        <w:rPr>
          <w:rFonts w:ascii="仿宋_GB2312" w:hAnsi="仿宋_GB2312" w:cs="仿宋_GB2312" w:eastAsia="仿宋_GB2312"/>
        </w:rPr>
        <w:t>邮编：570204</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地址：海口市美兰区大英山西二路政务二期大楼208房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本项目属于工业。</w:t>
      </w:r>
    </w:p>
    <w:p>
      <w:pPr>
        <w:pStyle w:val="null3"/>
        <w:jc w:val="both"/>
      </w:pPr>
      <w:r>
        <w:rPr>
          <w:rFonts w:ascii="仿宋_GB2312" w:hAnsi="仿宋_GB2312" w:cs="仿宋_GB2312" w:eastAsia="仿宋_GB2312"/>
          <w:sz w:val="24"/>
          <w:b/>
          <w:color w:val="FF0000"/>
        </w:rPr>
        <w:t>包号、车型、数量及单价最高限价：</w:t>
      </w:r>
    </w:p>
    <w:tbl>
      <w:tblPr>
        <w:tblW w:w="0" w:type="auto"/>
        <w:tblBorders>
          <w:top w:val="none" w:color="000000" w:sz="4"/>
          <w:left w:val="none" w:color="000000" w:sz="4"/>
          <w:bottom w:val="none" w:color="000000" w:sz="4"/>
          <w:right w:val="none" w:color="000000" w:sz="4"/>
          <w:insideH w:val="none"/>
          <w:insideV w:val="none"/>
        </w:tblBorders>
      </w:tblPr>
      <w:tblGrid>
        <w:gridCol w:w="980"/>
        <w:gridCol w:w="814"/>
        <w:gridCol w:w="3015"/>
        <w:gridCol w:w="904"/>
        <w:gridCol w:w="904"/>
        <w:gridCol w:w="1688"/>
      </w:tblGrid>
      <w:tr>
        <w:tc>
          <w:tcPr>
            <w:tcW w:type="dxa" w:w="9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left"/>
            </w:pPr>
            <w:r>
              <w:rPr>
                <w:rFonts w:ascii="仿宋_GB2312" w:hAnsi="仿宋_GB2312" w:cs="仿宋_GB2312" w:eastAsia="仿宋_GB2312"/>
                <w:sz w:val="24"/>
                <w:b/>
                <w:color w:val="FF0000"/>
              </w:rPr>
              <w:t>类型</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包号</w:t>
            </w:r>
          </w:p>
        </w:tc>
        <w:tc>
          <w:tcPr>
            <w:tcW w:type="dxa" w:w="30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车型</w:t>
            </w:r>
          </w:p>
        </w:tc>
        <w:tc>
          <w:tcPr>
            <w:tcW w:type="dxa" w:w="9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单位</w:t>
            </w:r>
          </w:p>
        </w:tc>
        <w:tc>
          <w:tcPr>
            <w:tcW w:type="dxa" w:w="9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数量</w:t>
            </w:r>
          </w:p>
        </w:tc>
        <w:tc>
          <w:tcPr>
            <w:tcW w:type="dxa" w:w="1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单价最高限价（不含税）</w:t>
            </w:r>
          </w:p>
        </w:tc>
      </w:tr>
      <w:tr>
        <w:tc>
          <w:tcPr>
            <w:tcW w:type="dxa" w:w="98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FF0000"/>
              </w:rPr>
              <w:t>新能源汽车</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1</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纯电动商务车</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25万/辆</w:t>
            </w:r>
          </w:p>
        </w:tc>
      </w:tr>
      <w:tr>
        <w:tc>
          <w:tcPr>
            <w:tcW w:type="dxa" w:w="980"/>
            <w:vMerge/>
            <w:tcBorders>
              <w:top w:val="none" w:color="000000" w:sz="4"/>
              <w:left w:val="single" w:color="000000" w:sz="4"/>
              <w:bottom w:val="none" w:color="000000" w:sz="4"/>
              <w:right w:val="single" w:color="000000" w:sz="4"/>
            </w:tcBorders>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2</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纯电动客车</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1</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25万/辆</w:t>
            </w:r>
          </w:p>
        </w:tc>
      </w:tr>
      <w:tr>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FF0000"/>
              </w:rPr>
              <w:t>燃油型特种专业技术用车</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3</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现场事故勘查车</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45万/辆</w:t>
            </w:r>
          </w:p>
        </w:tc>
      </w:tr>
    </w:tbl>
    <w:p>
      <w:pPr>
        <w:pStyle w:val="null3"/>
        <w:jc w:val="left"/>
      </w:pPr>
      <w:r>
        <w:rPr>
          <w:rFonts w:ascii="仿宋_GB2312" w:hAnsi="仿宋_GB2312" w:cs="仿宋_GB2312" w:eastAsia="仿宋_GB2312"/>
          <w:sz w:val="24"/>
          <w:b/>
          <w:color w:val="FF0000"/>
        </w:rPr>
        <w:t>注：</w:t>
      </w:r>
    </w:p>
    <w:p>
      <w:pPr>
        <w:pStyle w:val="null3"/>
        <w:jc w:val="left"/>
        <w:outlineLvl w:val="1"/>
      </w:pPr>
      <w:r>
        <w:rPr>
          <w:rFonts w:ascii="仿宋_GB2312" w:hAnsi="仿宋_GB2312" w:cs="仿宋_GB2312" w:eastAsia="仿宋_GB2312"/>
          <w:sz w:val="24"/>
          <w:b/>
        </w:rPr>
        <w:t>1.分包报价、分包评审；投标人可对个别包或全部包进行投标。</w:t>
      </w:r>
    </w:p>
    <w:p>
      <w:pPr>
        <w:pStyle w:val="null3"/>
        <w:jc w:val="left"/>
        <w:outlineLvl w:val="1"/>
      </w:pPr>
      <w:r>
        <w:rPr>
          <w:rFonts w:ascii="仿宋_GB2312" w:hAnsi="仿宋_GB2312" w:cs="仿宋_GB2312" w:eastAsia="仿宋_GB2312"/>
          <w:sz w:val="24"/>
          <w:b/>
        </w:rPr>
        <w:t>★2.</w:t>
      </w:r>
      <w:r>
        <w:rPr>
          <w:rFonts w:ascii="仿宋_GB2312" w:hAnsi="仿宋_GB2312" w:cs="仿宋_GB2312" w:eastAsia="仿宋_GB2312"/>
          <w:sz w:val="24"/>
          <w:b/>
        </w:rPr>
        <w:t>投标人所报产品单价不得超过上表中</w:t>
      </w:r>
      <w:r>
        <w:rPr>
          <w:rFonts w:ascii="仿宋_GB2312" w:hAnsi="仿宋_GB2312" w:cs="仿宋_GB2312" w:eastAsia="仿宋_GB2312"/>
          <w:sz w:val="24"/>
          <w:b/>
        </w:rPr>
        <w:t>“</w:t>
      </w:r>
      <w:r>
        <w:rPr>
          <w:rFonts w:ascii="仿宋_GB2312" w:hAnsi="仿宋_GB2312" w:cs="仿宋_GB2312" w:eastAsia="仿宋_GB2312"/>
          <w:sz w:val="24"/>
          <w:b/>
        </w:rPr>
        <w:t>单价最高限价（不含税）</w:t>
      </w:r>
      <w:r>
        <w:rPr>
          <w:rFonts w:ascii="仿宋_GB2312" w:hAnsi="仿宋_GB2312" w:cs="仿宋_GB2312" w:eastAsia="仿宋_GB2312"/>
          <w:sz w:val="24"/>
          <w:b/>
        </w:rPr>
        <w:t>”</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A02030503-小型客车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250,000.00</w:t>
      </w:r>
    </w:p>
    <w:p>
      <w:pPr>
        <w:pStyle w:val="null3"/>
        <w:jc w:val="left"/>
      </w:pPr>
      <w:r>
        <w:rPr>
          <w:rFonts w:ascii="仿宋_GB2312" w:hAnsi="仿宋_GB2312" w:cs="仿宋_GB2312" w:eastAsia="仿宋_GB2312"/>
        </w:rPr>
        <w:t>采购包最高限价（元）: 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A02030599-其他乘用车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A02030503-小型客车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A02030503-小型客车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采购预算不含车辆购置税；报价不得超出各包采购预算，且所报各产品单价不得超过采购需求中各车辆的“单价最高限价（不含税）”</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A02030599-其他乘用车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采购预算不含车辆购置税；报价不得超出各包采购预算，且所报各产品单价不得超过采购需求中各车辆的“单价最高限价（不含税）”</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A02030503-小型客车</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采购预算不含车辆购置税；报价不得超出各包采购预算，且所报各产品单价不得超过采购需求中各车辆的“单价最高限价（不含税）”</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标的名称：A02030503-小型客车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纯电动商务车</w:t>
            </w:r>
          </w:p>
          <w:p>
            <w:pPr>
              <w:pStyle w:val="null3"/>
              <w:ind w:firstLine="480"/>
              <w:jc w:val="left"/>
            </w:pPr>
            <w:r>
              <w:rPr>
                <w:rFonts w:ascii="仿宋_GB2312" w:hAnsi="仿宋_GB2312" w:cs="仿宋_GB2312" w:eastAsia="仿宋_GB2312"/>
                <w:sz w:val="24"/>
              </w:rPr>
              <w:t>★1.车身长度≥</w:t>
            </w:r>
            <w:r>
              <w:rPr>
                <w:rFonts w:ascii="仿宋_GB2312" w:hAnsi="仿宋_GB2312" w:cs="仿宋_GB2312" w:eastAsia="仿宋_GB2312"/>
                <w:sz w:val="24"/>
              </w:rPr>
              <w:t>49</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★2.车身宽度≥1800mm</w:t>
            </w:r>
          </w:p>
          <w:p>
            <w:pPr>
              <w:pStyle w:val="null3"/>
              <w:ind w:firstLine="480"/>
              <w:jc w:val="left"/>
            </w:pPr>
            <w:r>
              <w:rPr>
                <w:rFonts w:ascii="仿宋_GB2312" w:hAnsi="仿宋_GB2312" w:cs="仿宋_GB2312" w:eastAsia="仿宋_GB2312"/>
                <w:sz w:val="24"/>
              </w:rPr>
              <w:t>★3.车身高度≥1700mm</w:t>
            </w:r>
          </w:p>
          <w:p>
            <w:pPr>
              <w:pStyle w:val="null3"/>
              <w:ind w:firstLine="480"/>
              <w:jc w:val="left"/>
            </w:pPr>
            <w:r>
              <w:rPr>
                <w:rFonts w:ascii="仿宋_GB2312" w:hAnsi="仿宋_GB2312" w:cs="仿宋_GB2312" w:eastAsia="仿宋_GB2312"/>
                <w:sz w:val="24"/>
              </w:rPr>
              <w:t>★4.轴距≥</w:t>
            </w:r>
            <w:r>
              <w:rPr>
                <w:rFonts w:ascii="仿宋_GB2312" w:hAnsi="仿宋_GB2312" w:cs="仿宋_GB2312" w:eastAsia="仿宋_GB2312"/>
                <w:sz w:val="24"/>
              </w:rPr>
              <w:t>29</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★5.CLTC工况续航里程≥450km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0N.m</w:t>
            </w:r>
          </w:p>
          <w:p>
            <w:pPr>
              <w:pStyle w:val="null3"/>
              <w:ind w:firstLine="72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7个</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标的名称：A02030599-其他乘用车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纯电动</w:t>
            </w:r>
            <w:r>
              <w:rPr>
                <w:rFonts w:ascii="仿宋_GB2312" w:hAnsi="仿宋_GB2312" w:cs="仿宋_GB2312" w:eastAsia="仿宋_GB2312"/>
                <w:sz w:val="24"/>
              </w:rPr>
              <w:t>客车</w:t>
            </w:r>
          </w:p>
          <w:p>
            <w:pPr>
              <w:pStyle w:val="null3"/>
              <w:ind w:firstLine="480"/>
              <w:jc w:val="left"/>
            </w:pPr>
            <w:r>
              <w:rPr>
                <w:rFonts w:ascii="仿宋_GB2312" w:hAnsi="仿宋_GB2312" w:cs="仿宋_GB2312" w:eastAsia="仿宋_GB2312"/>
                <w:sz w:val="24"/>
              </w:rPr>
              <w:t>★1.车身长度≥5</w:t>
            </w:r>
            <w:r>
              <w:rPr>
                <w:rFonts w:ascii="仿宋_GB2312" w:hAnsi="仿宋_GB2312" w:cs="仿宋_GB2312" w:eastAsia="仿宋_GB2312"/>
                <w:sz w:val="24"/>
              </w:rPr>
              <w:t>2</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★2.车身宽度≥1</w:t>
            </w:r>
            <w:r>
              <w:rPr>
                <w:rFonts w:ascii="仿宋_GB2312" w:hAnsi="仿宋_GB2312" w:cs="仿宋_GB2312" w:eastAsia="仿宋_GB2312"/>
                <w:sz w:val="24"/>
              </w:rPr>
              <w:t>85</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★3.车身高度≥1</w:t>
            </w:r>
            <w:r>
              <w:rPr>
                <w:rFonts w:ascii="仿宋_GB2312" w:hAnsi="仿宋_GB2312" w:cs="仿宋_GB2312" w:eastAsia="仿宋_GB2312"/>
                <w:sz w:val="24"/>
              </w:rPr>
              <w:t>9</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★4.轴距≥3</w:t>
            </w:r>
            <w:r>
              <w:rPr>
                <w:rFonts w:ascii="仿宋_GB2312" w:hAnsi="仿宋_GB2312" w:cs="仿宋_GB2312" w:eastAsia="仿宋_GB2312"/>
                <w:sz w:val="24"/>
              </w:rPr>
              <w:t>3</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★5.CLTC工况续航里程≥4</w:t>
            </w:r>
            <w:r>
              <w:rPr>
                <w:rFonts w:ascii="仿宋_GB2312" w:hAnsi="仿宋_GB2312" w:cs="仿宋_GB2312" w:eastAsia="仿宋_GB2312"/>
                <w:sz w:val="24"/>
              </w:rPr>
              <w:t>0</w:t>
            </w:r>
            <w:r>
              <w:rPr>
                <w:rFonts w:ascii="仿宋_GB2312" w:hAnsi="仿宋_GB2312" w:cs="仿宋_GB2312" w:eastAsia="仿宋_GB2312"/>
                <w:sz w:val="24"/>
              </w:rPr>
              <w:t>0km</w:t>
            </w:r>
          </w:p>
          <w:p>
            <w:pPr>
              <w:pStyle w:val="null3"/>
              <w:ind w:firstLine="720"/>
              <w:jc w:val="left"/>
            </w:pPr>
            <w:r>
              <w:rPr>
                <w:rFonts w:ascii="仿宋_GB2312" w:hAnsi="仿宋_GB2312" w:cs="仿宋_GB2312" w:eastAsia="仿宋_GB2312"/>
                <w:sz w:val="24"/>
              </w:rPr>
              <w:t>6.电动机</w:t>
            </w:r>
            <w:r>
              <w:rPr>
                <w:rFonts w:ascii="仿宋_GB2312" w:hAnsi="仿宋_GB2312" w:cs="仿宋_GB2312" w:eastAsia="仿宋_GB2312"/>
                <w:sz w:val="24"/>
              </w:rPr>
              <w:t>总</w:t>
            </w:r>
            <w:r>
              <w:rPr>
                <w:rFonts w:ascii="仿宋_GB2312" w:hAnsi="仿宋_GB2312" w:cs="仿宋_GB2312" w:eastAsia="仿宋_GB2312"/>
                <w:sz w:val="24"/>
              </w:rPr>
              <w:t>扭矩</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0N.m</w:t>
            </w:r>
          </w:p>
          <w:p>
            <w:pPr>
              <w:pStyle w:val="null3"/>
              <w:ind w:firstLine="72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座位数</w:t>
            </w:r>
            <w:r>
              <w:rPr>
                <w:rFonts w:ascii="仿宋_GB2312" w:hAnsi="仿宋_GB2312" w:cs="仿宋_GB2312" w:eastAsia="仿宋_GB2312"/>
                <w:sz w:val="24"/>
              </w:rPr>
              <w:t>≥</w:t>
            </w:r>
            <w:r>
              <w:rPr>
                <w:rFonts w:ascii="仿宋_GB2312" w:hAnsi="仿宋_GB2312" w:cs="仿宋_GB2312" w:eastAsia="仿宋_GB2312"/>
                <w:sz w:val="24"/>
              </w:rPr>
              <w:t>9个</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标的名称：A02030503-小型客车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现场事故勘查车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.车</w:t>
            </w:r>
            <w:r>
              <w:rPr>
                <w:rFonts w:ascii="仿宋_GB2312" w:hAnsi="仿宋_GB2312" w:cs="仿宋_GB2312" w:eastAsia="仿宋_GB2312"/>
                <w:sz w:val="24"/>
              </w:rPr>
              <w:t>辆外形尺寸长度</w:t>
            </w:r>
            <w:r>
              <w:rPr>
                <w:rFonts w:ascii="仿宋_GB2312" w:hAnsi="仿宋_GB2312" w:cs="仿宋_GB2312" w:eastAsia="仿宋_GB2312"/>
                <w:sz w:val="24"/>
              </w:rPr>
              <w:t>≥</w:t>
            </w:r>
            <w:r>
              <w:rPr>
                <w:rFonts w:ascii="仿宋_GB2312" w:hAnsi="仿宋_GB2312" w:cs="仿宋_GB2312" w:eastAsia="仿宋_GB2312"/>
                <w:sz w:val="24"/>
              </w:rPr>
              <w:t>48</w:t>
            </w:r>
            <w:r>
              <w:rPr>
                <w:rFonts w:ascii="仿宋_GB2312" w:hAnsi="仿宋_GB2312" w:cs="仿宋_GB2312" w:eastAsia="仿宋_GB2312"/>
                <w:sz w:val="24"/>
              </w:rPr>
              <w:t>00mm，宽度≥1</w:t>
            </w:r>
            <w:r>
              <w:rPr>
                <w:rFonts w:ascii="仿宋_GB2312" w:hAnsi="仿宋_GB2312" w:cs="仿宋_GB2312" w:eastAsia="仿宋_GB2312"/>
                <w:sz w:val="24"/>
              </w:rPr>
              <w:t>8</w:t>
            </w:r>
            <w:r>
              <w:rPr>
                <w:rFonts w:ascii="仿宋_GB2312" w:hAnsi="仿宋_GB2312" w:cs="仿宋_GB2312" w:eastAsia="仿宋_GB2312"/>
                <w:sz w:val="24"/>
              </w:rPr>
              <w:t>00mm,高度≥</w:t>
            </w:r>
            <w:r>
              <w:rPr>
                <w:rFonts w:ascii="仿宋_GB2312" w:hAnsi="仿宋_GB2312" w:cs="仿宋_GB2312" w:eastAsia="仿宋_GB2312"/>
                <w:sz w:val="24"/>
              </w:rPr>
              <w:t>180</w:t>
            </w:r>
            <w:r>
              <w:rPr>
                <w:rFonts w:ascii="仿宋_GB2312" w:hAnsi="仿宋_GB2312" w:cs="仿宋_GB2312" w:eastAsia="仿宋_GB2312"/>
                <w:sz w:val="24"/>
              </w:rPr>
              <w:t>0mm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.轴距≥</w:t>
            </w:r>
            <w:r>
              <w:rPr>
                <w:rFonts w:ascii="仿宋_GB2312" w:hAnsi="仿宋_GB2312" w:cs="仿宋_GB2312" w:eastAsia="仿宋_GB2312"/>
                <w:sz w:val="24"/>
              </w:rPr>
              <w:t>28</w:t>
            </w:r>
            <w:r>
              <w:rPr>
                <w:rFonts w:ascii="仿宋_GB2312" w:hAnsi="仿宋_GB2312" w:cs="仿宋_GB2312" w:eastAsia="仿宋_GB2312"/>
                <w:sz w:val="24"/>
              </w:rPr>
              <w:t>00mm</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排放标准：国</w:t>
            </w:r>
            <w:r>
              <w:rPr>
                <w:rFonts w:ascii="仿宋_GB2312" w:hAnsi="仿宋_GB2312" w:cs="仿宋_GB2312" w:eastAsia="仿宋_GB2312"/>
                <w:sz w:val="24"/>
              </w:rPr>
              <w:t>ⅥB</w:t>
            </w:r>
          </w:p>
          <w:p>
            <w:pPr>
              <w:pStyle w:val="null3"/>
              <w:ind w:firstLine="72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详细技术参数</w:t>
            </w:r>
          </w:p>
          <w:tbl>
            <w:tblPr>
              <w:tblInd w:type="dxa" w:w="120"/>
              <w:tblBorders>
                <w:top w:val="none" w:color="000000" w:sz="4"/>
                <w:left w:val="none" w:color="000000" w:sz="4"/>
                <w:bottom w:val="none" w:color="000000" w:sz="4"/>
                <w:right w:val="none" w:color="000000" w:sz="4"/>
                <w:insideH w:val="none"/>
                <w:insideV w:val="none"/>
              </w:tblBorders>
            </w:tblPr>
            <w:tblGrid>
              <w:gridCol w:w="224"/>
              <w:gridCol w:w="499"/>
              <w:gridCol w:w="623"/>
              <w:gridCol w:w="201"/>
              <w:gridCol w:w="994"/>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1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变速箱类型：</w:t>
                  </w:r>
                  <w:r>
                    <w:rPr>
                      <w:rFonts w:ascii="仿宋_GB2312" w:hAnsi="仿宋_GB2312" w:cs="仿宋_GB2312" w:eastAsia="仿宋_GB2312"/>
                      <w:sz w:val="24"/>
                    </w:rPr>
                    <w:t>自动</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24"/>
                    </w:rPr>
                    <w:t>燃油类型：汽油</w:t>
                  </w:r>
                  <w:r>
                    <w:rPr>
                      <w:rFonts w:ascii="仿宋_GB2312" w:hAnsi="仿宋_GB2312" w:cs="仿宋_GB2312" w:eastAsia="仿宋_GB2312"/>
                      <w:sz w:val="24"/>
                    </w:rPr>
                    <w:t>；</w:t>
                  </w:r>
                  <w:r>
                    <w:rPr>
                      <w:rFonts w:ascii="仿宋_GB2312" w:hAnsi="仿宋_GB2312" w:cs="仿宋_GB2312" w:eastAsia="仿宋_GB2312"/>
                      <w:sz w:val="24"/>
                    </w:rPr>
                    <w:t>排量（</w:t>
                  </w:r>
                  <w:r>
                    <w:rPr>
                      <w:rFonts w:ascii="仿宋_GB2312" w:hAnsi="仿宋_GB2312" w:cs="仿宋_GB2312" w:eastAsia="仿宋_GB2312"/>
                      <w:sz w:val="24"/>
                    </w:rPr>
                    <w:t>ML）：</w:t>
                  </w:r>
                  <w:r>
                    <w:rPr>
                      <w:rFonts w:ascii="仿宋_GB2312" w:hAnsi="仿宋_GB2312" w:cs="仿宋_GB2312" w:eastAsia="仿宋_GB2312"/>
                      <w:sz w:val="24"/>
                    </w:rPr>
                    <w:t>≥190</w:t>
                  </w:r>
                  <w:r>
                    <w:rPr>
                      <w:rFonts w:ascii="仿宋_GB2312" w:hAnsi="仿宋_GB2312" w:cs="仿宋_GB2312" w:eastAsia="仿宋_GB2312"/>
                      <w:sz w:val="24"/>
                    </w:rPr>
                    <w:t>0ml</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1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left"/>
                  </w:pPr>
                  <w:r>
                    <w:rPr>
                      <w:rFonts w:ascii="仿宋_GB2312" w:hAnsi="仿宋_GB2312" w:cs="仿宋_GB2312" w:eastAsia="仿宋_GB2312"/>
                      <w:sz w:val="24"/>
                    </w:rPr>
                    <w:t>乘坐人数：</w:t>
                  </w:r>
                  <w:r>
                    <w:rPr>
                      <w:rFonts w:ascii="仿宋_GB2312" w:hAnsi="仿宋_GB2312" w:cs="仿宋_GB2312" w:eastAsia="仿宋_GB2312"/>
                      <w:sz w:val="24"/>
                    </w:rPr>
                    <w:t>5</w:t>
                  </w:r>
                  <w:r>
                    <w:rPr>
                      <w:rFonts w:ascii="仿宋_GB2312" w:hAnsi="仿宋_GB2312" w:cs="仿宋_GB2312" w:eastAsia="仿宋_GB2312"/>
                      <w:sz w:val="24"/>
                    </w:rPr>
                    <w:t>人</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警示系统</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警灯</w:t>
                  </w:r>
                  <w:r>
                    <w:rPr>
                      <w:rFonts w:ascii="仿宋_GB2312" w:hAnsi="仿宋_GB2312" w:cs="仿宋_GB2312" w:eastAsia="仿宋_GB2312"/>
                      <w:sz w:val="24"/>
                    </w:rPr>
                    <w:t>、</w:t>
                  </w:r>
                  <w:r>
                    <w:rPr>
                      <w:rFonts w:ascii="仿宋_GB2312" w:hAnsi="仿宋_GB2312" w:cs="仿宋_GB2312" w:eastAsia="仿宋_GB2312"/>
                      <w:sz w:val="24"/>
                    </w:rPr>
                    <w:t>警报器</w:t>
                  </w:r>
                  <w:r>
                    <w:rPr>
                      <w:rFonts w:ascii="仿宋_GB2312" w:hAnsi="仿宋_GB2312" w:cs="仿宋_GB2312" w:eastAsia="仿宋_GB2312"/>
                      <w:sz w:val="24"/>
                    </w:rPr>
                    <w:t>、外观</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薄款</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米、</w:t>
                  </w:r>
                  <w:r>
                    <w:rPr>
                      <w:rFonts w:ascii="仿宋_GB2312" w:hAnsi="仿宋_GB2312" w:cs="仿宋_GB2312" w:eastAsia="仿宋_GB2312"/>
                      <w:sz w:val="24"/>
                    </w:rPr>
                    <w:t>100W</w:t>
                  </w:r>
                  <w:r>
                    <w:rPr>
                      <w:rFonts w:ascii="仿宋_GB2312" w:hAnsi="仿宋_GB2312" w:cs="仿宋_GB2312" w:eastAsia="仿宋_GB2312"/>
                      <w:sz w:val="24"/>
                    </w:rPr>
                    <w:t>、</w:t>
                  </w:r>
                  <w:r>
                    <w:rPr>
                      <w:rFonts w:ascii="仿宋_GB2312" w:hAnsi="仿宋_GB2312" w:cs="仿宋_GB2312" w:eastAsia="仿宋_GB2312"/>
                      <w:sz w:val="24"/>
                    </w:rPr>
                    <w:t>04制警用标识及警兰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照明系统</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车载探照灯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50W，LED强光照明灯</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99"/>
                  <w:vMerge/>
                  <w:tcBorders>
                    <w:top w:val="none" w:color="000000" w:sz="4"/>
                    <w:left w:val="non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气动升降系统</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全升高度：</w:t>
                  </w:r>
                  <w:r>
                    <w:rPr>
                      <w:rFonts w:ascii="仿宋_GB2312" w:hAnsi="仿宋_GB2312" w:cs="仿宋_GB2312" w:eastAsia="仿宋_GB2312"/>
                      <w:sz w:val="24"/>
                    </w:rPr>
                    <w:t>1.8米</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99"/>
                  <w:vMerge/>
                  <w:tcBorders>
                    <w:top w:val="none" w:color="000000" w:sz="4"/>
                    <w:left w:val="non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遥控系统</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线控</w:t>
                  </w:r>
                  <w:r>
                    <w:rPr>
                      <w:rFonts w:ascii="仿宋_GB2312" w:hAnsi="仿宋_GB2312" w:cs="仿宋_GB2312" w:eastAsia="仿宋_GB2312"/>
                      <w:sz w:val="24"/>
                    </w:rPr>
                    <w:t>+无线遥控</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9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供电系统</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正弦波逆变器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输出功率</w:t>
                  </w:r>
                  <w:r>
                    <w:rPr>
                      <w:rFonts w:ascii="仿宋_GB2312" w:hAnsi="仿宋_GB2312" w:cs="仿宋_GB2312" w:eastAsia="仿宋_GB2312"/>
                      <w:sz w:val="24"/>
                    </w:rPr>
                    <w:t>≥</w:t>
                  </w:r>
                  <w:r>
                    <w:rPr>
                      <w:rFonts w:ascii="仿宋_GB2312" w:hAnsi="仿宋_GB2312" w:cs="仿宋_GB2312" w:eastAsia="仿宋_GB2312"/>
                      <w:sz w:val="24"/>
                    </w:rPr>
                    <w:t>500W</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99"/>
                  <w:vMerge/>
                  <w:tcBorders>
                    <w:top w:val="none" w:color="000000" w:sz="4"/>
                    <w:left w:val="none" w:color="000000" w:sz="4"/>
                    <w:bottom w:val="non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免维护蓄电池组</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1台</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38AH</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99"/>
                  <w:vMerge/>
                  <w:tcBorders>
                    <w:top w:val="none" w:color="000000" w:sz="4"/>
                    <w:left w:val="none" w:color="000000" w:sz="4"/>
                    <w:bottom w:val="non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配电系统</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12V继电器及设备相关保险等</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4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橱柜系统</w:t>
                  </w: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设备机柜</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铝合金，喷塑，银灰色</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499"/>
                  <w:vMerge/>
                  <w:tcBorders>
                    <w:top w:val="none" w:color="000000" w:sz="4"/>
                    <w:left w:val="none" w:color="000000" w:sz="4"/>
                    <w:bottom w:val="single" w:color="000000" w:sz="4"/>
                    <w:right w:val="single" w:color="000000" w:sz="4"/>
                  </w:tcBorders>
                </w:tcPr>
                <w:p/>
              </w:tc>
              <w:tc>
                <w:tcPr>
                  <w:tcW w:type="dxa" w:w="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高度可调节勘查</w:t>
                  </w:r>
                  <w:r>
                    <w:rPr>
                      <w:rFonts w:ascii="仿宋_GB2312" w:hAnsi="仿宋_GB2312" w:cs="仿宋_GB2312" w:eastAsia="仿宋_GB2312"/>
                      <w:sz w:val="24"/>
                    </w:rPr>
                    <w:t>装备柜</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9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铺设防滑耐磨毡，加配固定装置</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outlineLvl w:val="1"/>
            </w:pPr>
            <w:r>
              <w:rPr>
                <w:rFonts w:ascii="仿宋_GB2312" w:hAnsi="仿宋_GB2312" w:cs="仿宋_GB2312" w:eastAsia="仿宋_GB2312"/>
                <w:sz w:val="24"/>
                <w:b/>
              </w:rPr>
              <w:t>★（一）、合同执行</w:t>
            </w:r>
            <w:r>
              <w:rPr>
                <w:rFonts w:ascii="仿宋_GB2312" w:hAnsi="仿宋_GB2312" w:cs="仿宋_GB2312" w:eastAsia="仿宋_GB2312"/>
                <w:sz w:val="24"/>
                <w:b/>
                <w:color w:val="FF0000"/>
              </w:rPr>
              <w:t>计划</w:t>
            </w:r>
          </w:p>
          <w:p>
            <w:pPr>
              <w:pStyle w:val="null3"/>
              <w:ind w:left="1200"/>
              <w:jc w:val="left"/>
            </w:pPr>
            <w:r>
              <w:rPr>
                <w:rFonts w:ascii="仿宋_GB2312" w:hAnsi="仿宋_GB2312" w:cs="仿宋_GB2312" w:eastAsia="仿宋_GB2312"/>
                <w:sz w:val="24"/>
                <w:color w:val="FF0000"/>
              </w:rPr>
              <w:t>交付期：（1、2包适用）合同签订后30个工作日内完成交付。</w:t>
            </w:r>
          </w:p>
          <w:p>
            <w:pPr>
              <w:pStyle w:val="null3"/>
              <w:ind w:left="1200"/>
              <w:jc w:val="left"/>
            </w:pPr>
            <w:r>
              <w:rPr>
                <w:rFonts w:ascii="仿宋_GB2312" w:hAnsi="仿宋_GB2312" w:cs="仿宋_GB2312" w:eastAsia="仿宋_GB2312"/>
                <w:sz w:val="24"/>
                <w:color w:val="FF0000"/>
              </w:rPr>
              <w:t>（</w:t>
            </w:r>
            <w:r>
              <w:rPr>
                <w:rFonts w:ascii="仿宋_GB2312" w:hAnsi="仿宋_GB2312" w:cs="仿宋_GB2312" w:eastAsia="仿宋_GB2312"/>
                <w:sz w:val="24"/>
                <w:color w:val="FF0000"/>
              </w:rPr>
              <w:t>3</w:t>
            </w:r>
            <w:r>
              <w:rPr>
                <w:rFonts w:ascii="仿宋_GB2312" w:hAnsi="仿宋_GB2312" w:cs="仿宋_GB2312" w:eastAsia="仿宋_GB2312"/>
                <w:sz w:val="24"/>
                <w:color w:val="FF0000"/>
              </w:rPr>
              <w:t>包适用）合同签订后45个工作日内完成交付。</w:t>
            </w:r>
          </w:p>
          <w:p>
            <w:pPr>
              <w:pStyle w:val="null3"/>
              <w:jc w:val="left"/>
            </w:pPr>
            <w:r>
              <w:rPr>
                <w:rFonts w:ascii="仿宋_GB2312" w:hAnsi="仿宋_GB2312" w:cs="仿宋_GB2312" w:eastAsia="仿宋_GB2312"/>
                <w:sz w:val="24"/>
              </w:rPr>
              <w:t>交付地点：海南省内采购人指定地点</w:t>
            </w:r>
          </w:p>
          <w:p>
            <w:pPr>
              <w:pStyle w:val="null3"/>
              <w:spacing w:before="105" w:after="105"/>
              <w:jc w:val="left"/>
            </w:pPr>
            <w:r>
              <w:rPr>
                <w:rFonts w:ascii="仿宋_GB2312" w:hAnsi="仿宋_GB2312" w:cs="仿宋_GB2312" w:eastAsia="仿宋_GB2312"/>
                <w:sz w:val="24"/>
                <w:b/>
              </w:rPr>
              <w:t xml:space="preserve">★（二）、质量保证(投标时提供承诺书，并加盖投标人单位公章。）  </w:t>
            </w:r>
          </w:p>
          <w:p>
            <w:pPr>
              <w:pStyle w:val="null3"/>
              <w:ind w:firstLine="480"/>
              <w:jc w:val="left"/>
            </w:pPr>
            <w:r>
              <w:rPr>
                <w:rFonts w:ascii="仿宋_GB2312" w:hAnsi="仿宋_GB2312" w:cs="仿宋_GB2312" w:eastAsia="仿宋_GB2312"/>
                <w:sz w:val="24"/>
              </w:rPr>
              <w:t>1.除</w:t>
            </w:r>
            <w:r>
              <w:rPr>
                <w:rFonts w:ascii="仿宋_GB2312" w:hAnsi="仿宋_GB2312" w:cs="仿宋_GB2312" w:eastAsia="仿宋_GB2312"/>
                <w:sz w:val="24"/>
                <w:color w:val="FF0000"/>
              </w:rPr>
              <w:t>3</w:t>
            </w:r>
            <w:r>
              <w:rPr>
                <w:rFonts w:ascii="仿宋_GB2312" w:hAnsi="仿宋_GB2312" w:cs="仿宋_GB2312" w:eastAsia="仿宋_GB2312"/>
                <w:sz w:val="24"/>
                <w:color w:val="FF0000"/>
              </w:rPr>
              <w:t>包特</w:t>
            </w:r>
            <w:r>
              <w:rPr>
                <w:rFonts w:ascii="仿宋_GB2312" w:hAnsi="仿宋_GB2312" w:cs="仿宋_GB2312" w:eastAsia="仿宋_GB2312"/>
                <w:sz w:val="24"/>
              </w:rPr>
              <w:t>种车辆改装部分外，所有设备必须是生产厂商原装、全新的正品，符合国家及该产品的出厂标准。确保其产品质量、性能及技术参数达到采购人要求，如提供虚假参数、不满足采购人参数配置需要的，则采购人有权向供应商提出退货或索赔的要求。</w:t>
            </w:r>
          </w:p>
          <w:p>
            <w:pPr>
              <w:pStyle w:val="null3"/>
              <w:ind w:firstLine="480"/>
              <w:jc w:val="left"/>
            </w:pPr>
            <w:r>
              <w:rPr>
                <w:rFonts w:ascii="仿宋_GB2312" w:hAnsi="仿宋_GB2312" w:cs="仿宋_GB2312" w:eastAsia="仿宋_GB2312"/>
                <w:sz w:val="24"/>
              </w:rPr>
              <w:t>2.应保证设备外观清洁，标记编号以及盘面显示等字体清晰、明确。</w:t>
            </w:r>
          </w:p>
          <w:p>
            <w:pPr>
              <w:pStyle w:val="null3"/>
              <w:ind w:firstLine="480"/>
              <w:jc w:val="left"/>
            </w:pPr>
            <w:r>
              <w:rPr>
                <w:rFonts w:ascii="仿宋_GB2312" w:hAnsi="仿宋_GB2312" w:cs="仿宋_GB2312" w:eastAsia="仿宋_GB2312"/>
                <w:sz w:val="24"/>
              </w:rPr>
              <w:t>3.对于影响设备正常工作的必要组成部分，供应商须在响应文件中明确列出。</w:t>
            </w:r>
          </w:p>
          <w:p>
            <w:pPr>
              <w:pStyle w:val="null3"/>
              <w:ind w:firstLine="480"/>
              <w:jc w:val="left"/>
            </w:pPr>
            <w:r>
              <w:rPr>
                <w:rFonts w:ascii="仿宋_GB2312" w:hAnsi="仿宋_GB2312" w:cs="仿宋_GB2312" w:eastAsia="仿宋_GB2312"/>
                <w:sz w:val="24"/>
              </w:rPr>
              <w:t>4.中标人供货时应提供所有产品、设备提供出厂合格证等质量证明文件。</w:t>
            </w:r>
          </w:p>
          <w:p>
            <w:pPr>
              <w:pStyle w:val="null3"/>
              <w:ind w:firstLine="480"/>
              <w:jc w:val="left"/>
            </w:pPr>
            <w:r>
              <w:rPr>
                <w:rFonts w:ascii="仿宋_GB2312" w:hAnsi="仿宋_GB2312" w:cs="仿宋_GB2312" w:eastAsia="仿宋_GB2312"/>
                <w:sz w:val="24"/>
              </w:rPr>
              <w:t>5.所提供的产品必须是在中国范围内合法销售，原装、全新产品。</w:t>
            </w:r>
          </w:p>
          <w:p>
            <w:pPr>
              <w:pStyle w:val="null3"/>
              <w:ind w:firstLine="480"/>
              <w:jc w:val="left"/>
            </w:pPr>
            <w:r>
              <w:rPr>
                <w:rFonts w:ascii="仿宋_GB2312" w:hAnsi="仿宋_GB2312" w:cs="仿宋_GB2312" w:eastAsia="仿宋_GB2312"/>
                <w:sz w:val="24"/>
              </w:rPr>
              <w:t>6.所有设备均由投标人免费送货至采购人指定的交货地点并安装调试好，安装调试应以本采购需求要求的技术参数指标及投标文件响应情况为标准。</w:t>
            </w:r>
          </w:p>
          <w:p>
            <w:pPr>
              <w:pStyle w:val="null3"/>
              <w:ind w:firstLine="480"/>
              <w:jc w:val="left"/>
            </w:pPr>
            <w:r>
              <w:rPr>
                <w:rFonts w:ascii="仿宋_GB2312" w:hAnsi="仿宋_GB2312" w:cs="仿宋_GB2312" w:eastAsia="仿宋_GB2312"/>
                <w:sz w:val="24"/>
              </w:rPr>
              <w:t>7.投标人在供货时应提供包括但不限于满足设备安装、使用和维护的技术文件，如:设备和附件装箱清单、设备质量合格检定证明文件、设备保修服务卡、设备中文使用说明和维护手册等。</w:t>
            </w:r>
          </w:p>
          <w:p>
            <w:pPr>
              <w:pStyle w:val="null3"/>
              <w:ind w:firstLine="480"/>
              <w:jc w:val="left"/>
            </w:pPr>
            <w:r>
              <w:rPr>
                <w:rFonts w:ascii="仿宋_GB2312" w:hAnsi="仿宋_GB2312" w:cs="仿宋_GB2312" w:eastAsia="仿宋_GB2312"/>
                <w:sz w:val="24"/>
              </w:rPr>
              <w:t>8.在车辆质量保证期内，投标人应对由于设计、工艺或材料的缺陷而造成的任何不足或故障负责。如车辆的配置或质量与合同不符，或存在缺陷，投标人应接到采购人书面通知后三个工作日内按合同确定的规格、质量予以更换，由此造成的一系列损失由投标人承担。</w:t>
            </w:r>
          </w:p>
          <w:p>
            <w:pPr>
              <w:pStyle w:val="null3"/>
              <w:spacing w:before="105" w:after="105"/>
              <w:jc w:val="left"/>
            </w:pPr>
            <w:r>
              <w:rPr>
                <w:rFonts w:ascii="仿宋_GB2312" w:hAnsi="仿宋_GB2312" w:cs="仿宋_GB2312" w:eastAsia="仿宋_GB2312"/>
                <w:sz w:val="24"/>
                <w:b/>
              </w:rPr>
              <w:t>（三）、验收标准</w:t>
            </w:r>
          </w:p>
          <w:p>
            <w:pPr>
              <w:pStyle w:val="null3"/>
              <w:ind w:firstLine="480"/>
              <w:jc w:val="left"/>
            </w:pPr>
            <w:r>
              <w:rPr>
                <w:rFonts w:ascii="仿宋_GB2312" w:hAnsi="仿宋_GB2312" w:cs="仿宋_GB2312" w:eastAsia="仿宋_GB2312"/>
                <w:sz w:val="24"/>
              </w:rPr>
              <w:t>由采购人组织验收小组在指定地点对所购车辆进行验收，验收标准除采购要求的技术参数外，可溯源到国家相关标准。投标人提供的车辆应达到国家有关规定、规范标准及采购需求的要求并确保整体通过采购人的验收。</w:t>
            </w:r>
          </w:p>
          <w:p>
            <w:pPr>
              <w:pStyle w:val="null3"/>
              <w:spacing w:before="105" w:after="105"/>
              <w:jc w:val="left"/>
            </w:pPr>
            <w:r>
              <w:rPr>
                <w:rFonts w:ascii="仿宋_GB2312" w:hAnsi="仿宋_GB2312" w:cs="仿宋_GB2312" w:eastAsia="仿宋_GB2312"/>
                <w:sz w:val="24"/>
                <w:b/>
              </w:rPr>
              <w:t>★（四）、售后服务（投标时提供承诺书，并加盖投标人单位公章。）</w:t>
            </w:r>
          </w:p>
          <w:p>
            <w:pPr>
              <w:pStyle w:val="null3"/>
              <w:ind w:firstLine="480"/>
              <w:jc w:val="left"/>
            </w:pPr>
            <w:r>
              <w:rPr>
                <w:rFonts w:ascii="仿宋_GB2312" w:hAnsi="仿宋_GB2312" w:cs="仿宋_GB2312" w:eastAsia="仿宋_GB2312"/>
                <w:sz w:val="24"/>
              </w:rPr>
              <w:t>1.投标人须提供在该品牌4S店或特约维修站进行免费强保及有偿例保，经鉴定属“三包”范围内的质量故障，投标人负责实行“三包”服务。</w:t>
            </w:r>
          </w:p>
          <w:p>
            <w:pPr>
              <w:pStyle w:val="null3"/>
              <w:ind w:firstLine="480"/>
              <w:jc w:val="left"/>
            </w:pPr>
            <w:r>
              <w:rPr>
                <w:rFonts w:ascii="仿宋_GB2312" w:hAnsi="仿宋_GB2312" w:cs="仿宋_GB2312" w:eastAsia="仿宋_GB2312"/>
                <w:sz w:val="24"/>
              </w:rPr>
              <w:t>2.投标人接到采购人报修电话（传真）后，到达指定故障现场的时限（响应时间）为：海口市内到达服务现场时限小于2小时，海口市外到达服务现场时限6小时。若乙方未按约定时间到达故障现场，每延误 1 小时，按 [X] 元 / 小时支付违约金；累计延误超过 24 小时的，甲方有权委托第三方维修，费用由乙方承担并按维修金额的 30% 支付管理费。</w:t>
            </w:r>
          </w:p>
          <w:p>
            <w:pPr>
              <w:pStyle w:val="null3"/>
              <w:ind w:firstLine="480"/>
              <w:jc w:val="left"/>
            </w:pPr>
            <w:r>
              <w:rPr>
                <w:rFonts w:ascii="仿宋_GB2312" w:hAnsi="仿宋_GB2312" w:cs="仿宋_GB2312" w:eastAsia="仿宋_GB2312"/>
                <w:sz w:val="24"/>
              </w:rPr>
              <w:t>3.故障报修后，投标人需在24小时内排除故障。如遇特殊情况无法在时限内解决的故障，投标人必须在该时限内向采购人提出说明和处理故障的方案。</w:t>
            </w:r>
          </w:p>
          <w:p>
            <w:pPr>
              <w:pStyle w:val="null3"/>
              <w:ind w:firstLine="480"/>
              <w:jc w:val="left"/>
            </w:pPr>
            <w:r>
              <w:rPr>
                <w:rFonts w:ascii="仿宋_GB2312" w:hAnsi="仿宋_GB2312" w:cs="仿宋_GB2312" w:eastAsia="仿宋_GB2312"/>
                <w:sz w:val="24"/>
              </w:rPr>
              <w:t>4.投标人在采购人所购车辆投入使用前，对车辆进行全车安全技术检查，并与采购人建立定期信息沟通机制，使用中做好质量回访，接受采购人反映的车辆质量及售后服务方面的问题，并及时回应解决。</w:t>
            </w:r>
          </w:p>
          <w:p>
            <w:pPr>
              <w:pStyle w:val="null3"/>
              <w:ind w:firstLine="480"/>
              <w:jc w:val="left"/>
            </w:pPr>
            <w:r>
              <w:rPr>
                <w:rFonts w:ascii="仿宋_GB2312" w:hAnsi="仿宋_GB2312" w:cs="仿宋_GB2312" w:eastAsia="仿宋_GB2312"/>
                <w:sz w:val="24"/>
              </w:rPr>
              <w:t>5.投标人应按采购人要求，在车辆投入使用前，统一对驾驶员进行相关技术培训。</w:t>
            </w:r>
          </w:p>
          <w:p>
            <w:pPr>
              <w:pStyle w:val="null3"/>
              <w:ind w:firstLine="480"/>
              <w:jc w:val="left"/>
            </w:pPr>
            <w:r>
              <w:rPr>
                <w:rFonts w:ascii="仿宋_GB2312" w:hAnsi="仿宋_GB2312" w:cs="仿宋_GB2312" w:eastAsia="仿宋_GB2312"/>
                <w:sz w:val="24"/>
                <w:color w:val="FF0000"/>
              </w:rPr>
              <w:t>6.第1包、2包投标人应免费提供与中标车辆数量1:1配套的智能交流充电桩（AC 220V/32A，7KW），每套含桩体、安装支架及30米电缆。</w:t>
            </w:r>
          </w:p>
          <w:p>
            <w:pPr>
              <w:pStyle w:val="null3"/>
              <w:ind w:firstLine="480"/>
              <w:jc w:val="left"/>
            </w:pPr>
            <w:r>
              <w:rPr>
                <w:rFonts w:ascii="仿宋_GB2312" w:hAnsi="仿宋_GB2312" w:cs="仿宋_GB2312" w:eastAsia="仿宋_GB2312"/>
                <w:sz w:val="24"/>
                <w:color w:val="FF0000"/>
              </w:rPr>
              <w:t>7.第</w:t>
            </w:r>
            <w:r>
              <w:rPr>
                <w:rFonts w:ascii="仿宋_GB2312" w:hAnsi="仿宋_GB2312" w:cs="仿宋_GB2312" w:eastAsia="仿宋_GB2312"/>
                <w:sz w:val="24"/>
                <w:color w:val="FF0000"/>
              </w:rPr>
              <w:t>3</w:t>
            </w:r>
            <w:r>
              <w:rPr>
                <w:rFonts w:ascii="仿宋_GB2312" w:hAnsi="仿宋_GB2312" w:cs="仿宋_GB2312" w:eastAsia="仿宋_GB2312"/>
                <w:sz w:val="24"/>
                <w:color w:val="FF0000"/>
              </w:rPr>
              <w:t>包中标人须代缴购置税，购置税由采购人另行支付</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b/>
              </w:rPr>
              <w:t>（五）、其他要求说明（仅适用于</w:t>
            </w:r>
            <w:r>
              <w:rPr>
                <w:rFonts w:ascii="仿宋_GB2312" w:hAnsi="仿宋_GB2312" w:cs="仿宋_GB2312" w:eastAsia="仿宋_GB2312"/>
                <w:sz w:val="24"/>
                <w:b/>
                <w:color w:val="FF0000"/>
              </w:rPr>
              <w:t>3</w:t>
            </w:r>
            <w:r>
              <w:rPr>
                <w:rFonts w:ascii="仿宋_GB2312" w:hAnsi="仿宋_GB2312" w:cs="仿宋_GB2312" w:eastAsia="仿宋_GB2312"/>
                <w:sz w:val="24"/>
                <w:b/>
                <w:color w:val="FF0000"/>
              </w:rPr>
              <w:t>包</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1.投标人应根据选用的车辆和选配的配件，提供车辆品牌型号和详细的车辆改装技术方案。</w:t>
            </w:r>
          </w:p>
          <w:p>
            <w:pPr>
              <w:pStyle w:val="null3"/>
              <w:ind w:firstLine="480"/>
              <w:jc w:val="left"/>
            </w:pPr>
            <w:r>
              <w:rPr>
                <w:rFonts w:ascii="仿宋_GB2312" w:hAnsi="仿宋_GB2312" w:cs="仿宋_GB2312" w:eastAsia="仿宋_GB2312"/>
                <w:sz w:val="24"/>
              </w:rPr>
              <w:t>2.如项目实施过程中出现中标人不按投标文件或合同内容要求执行，无法满足项目实施标准要求、偷工减料、降低质量标准、超过工期等行为，采购人有权终止合同，并报政府采购管理部门严肃处理。</w:t>
            </w:r>
          </w:p>
          <w:p>
            <w:pPr>
              <w:pStyle w:val="null3"/>
              <w:ind w:firstLine="480"/>
              <w:jc w:val="left"/>
            </w:pPr>
            <w:r>
              <w:rPr>
                <w:rFonts w:ascii="仿宋_GB2312" w:hAnsi="仿宋_GB2312" w:cs="仿宋_GB2312" w:eastAsia="仿宋_GB2312"/>
                <w:sz w:val="24"/>
              </w:rPr>
              <w:t>3.投标人必须根据所提供产品的技术参数、资质资料编写投标文件。在中标结果公示期间，采购人有权对中标人所提供货物的技术指标、资质证书资料等进行任何形式的核查，如发现与其投标文件中的描述不一或所提供的材料为虚假材料，采购人有权拒签合同，并报政府采购主管部门严肃处理。</w:t>
            </w:r>
          </w:p>
          <w:p>
            <w:pPr>
              <w:pStyle w:val="null3"/>
              <w:ind w:firstLine="480"/>
              <w:jc w:val="left"/>
            </w:pPr>
            <w:r>
              <w:rPr>
                <w:rFonts w:ascii="仿宋_GB2312" w:hAnsi="仿宋_GB2312" w:cs="仿宋_GB2312" w:eastAsia="仿宋_GB2312"/>
                <w:sz w:val="24"/>
              </w:rPr>
              <w:t>4.其他未尽事宜以合同约定为准。</w:t>
            </w:r>
          </w:p>
          <w:p>
            <w:pPr>
              <w:pStyle w:val="null3"/>
              <w:spacing w:before="105" w:after="105"/>
              <w:jc w:val="left"/>
            </w:pPr>
            <w:r>
              <w:rPr>
                <w:rFonts w:ascii="仿宋_GB2312" w:hAnsi="仿宋_GB2312" w:cs="仿宋_GB2312" w:eastAsia="仿宋_GB2312"/>
                <w:sz w:val="24"/>
                <w:b/>
              </w:rPr>
              <w:t>★（六）、本项目采购预算：</w:t>
            </w:r>
            <w:r>
              <w:rPr>
                <w:rFonts w:ascii="仿宋_GB2312" w:hAnsi="仿宋_GB2312" w:cs="仿宋_GB2312" w:eastAsia="仿宋_GB2312"/>
                <w:sz w:val="24"/>
                <w:b/>
                <w:color w:val="FF0000"/>
              </w:rPr>
              <w:t>1</w:t>
            </w:r>
            <w:r>
              <w:rPr>
                <w:rFonts w:ascii="仿宋_GB2312" w:hAnsi="仿宋_GB2312" w:cs="仿宋_GB2312" w:eastAsia="仿宋_GB2312"/>
                <w:sz w:val="24"/>
                <w:b/>
                <w:color w:val="FF0000"/>
              </w:rPr>
              <w:t>包:50万元；</w:t>
            </w:r>
            <w:r>
              <w:rPr>
                <w:rFonts w:ascii="仿宋_GB2312" w:hAnsi="仿宋_GB2312" w:cs="仿宋_GB2312" w:eastAsia="仿宋_GB2312"/>
                <w:sz w:val="24"/>
                <w:b/>
                <w:color w:val="FF0000"/>
              </w:rPr>
              <w:t>2</w:t>
            </w:r>
            <w:r>
              <w:rPr>
                <w:rFonts w:ascii="仿宋_GB2312" w:hAnsi="仿宋_GB2312" w:cs="仿宋_GB2312" w:eastAsia="仿宋_GB2312"/>
                <w:sz w:val="24"/>
                <w:b/>
                <w:color w:val="FF0000"/>
              </w:rPr>
              <w:t>包:25万元；</w:t>
            </w:r>
            <w:r>
              <w:rPr>
                <w:rFonts w:ascii="仿宋_GB2312" w:hAnsi="仿宋_GB2312" w:cs="仿宋_GB2312" w:eastAsia="仿宋_GB2312"/>
                <w:sz w:val="24"/>
                <w:b/>
                <w:color w:val="FF0000"/>
              </w:rPr>
              <w:t>3</w:t>
            </w:r>
            <w:r>
              <w:rPr>
                <w:rFonts w:ascii="仿宋_GB2312" w:hAnsi="仿宋_GB2312" w:cs="仿宋_GB2312" w:eastAsia="仿宋_GB2312"/>
                <w:sz w:val="24"/>
                <w:b/>
                <w:color w:val="FF0000"/>
              </w:rPr>
              <w:t>包:90万元。（本采购预算不含车辆购置税；报价不得超出各包采购预算，且所报各产品单价不得超过下表中“单价最高限价（不含税）”）</w:t>
            </w:r>
          </w:p>
          <w:tbl>
            <w:tblPr>
              <w:tblInd w:type="dxa" w:w="120"/>
              <w:tblBorders>
                <w:top w:val="none" w:color="000000" w:sz="4"/>
                <w:left w:val="none" w:color="000000" w:sz="4"/>
                <w:bottom w:val="none" w:color="000000" w:sz="4"/>
                <w:right w:val="none" w:color="000000" w:sz="4"/>
                <w:insideH w:val="none"/>
                <w:insideV w:val="none"/>
              </w:tblBorders>
            </w:tblPr>
            <w:tblGrid>
              <w:gridCol w:w="515"/>
              <w:gridCol w:w="335"/>
              <w:gridCol w:w="515"/>
              <w:gridCol w:w="335"/>
              <w:gridCol w:w="335"/>
              <w:gridCol w:w="515"/>
            </w:tblGrid>
            <w:tr>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left"/>
                  </w:pPr>
                  <w:r>
                    <w:rPr>
                      <w:rFonts w:ascii="仿宋_GB2312" w:hAnsi="仿宋_GB2312" w:cs="仿宋_GB2312" w:eastAsia="仿宋_GB2312"/>
                      <w:sz w:val="24"/>
                      <w:b/>
                    </w:rPr>
                    <w:t>类型</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车型</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单价最高限价（不含税）</w:t>
                  </w:r>
                </w:p>
              </w:tc>
            </w:tr>
            <w:tr>
              <w:tc>
                <w:tcPr>
                  <w:tcW w:type="dxa" w:w="51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FF0000"/>
                    </w:rPr>
                    <w:t>新能源汽车</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纯电动商务车</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25万/辆</w:t>
                  </w:r>
                </w:p>
              </w:tc>
            </w:tr>
            <w:tr>
              <w:tc>
                <w:tcPr>
                  <w:tcW w:type="dxa" w:w="515"/>
                  <w:vMerge/>
                  <w:tcBorders>
                    <w:top w:val="none" w:color="000000" w:sz="4"/>
                    <w:left w:val="single" w:color="000000" w:sz="4"/>
                    <w:bottom w:val="non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纯电动客车</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25万/辆</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FF0000"/>
                    </w:rPr>
                    <w:t>燃油型特种专业技术用车</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3</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现场事故勘查车</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45万/辆</w:t>
                  </w:r>
                </w:p>
              </w:tc>
            </w:tr>
          </w:tbl>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outlineLvl w:val="1"/>
            </w:pPr>
            <w:r>
              <w:rPr>
                <w:rFonts w:ascii="仿宋_GB2312" w:hAnsi="仿宋_GB2312" w:cs="仿宋_GB2312" w:eastAsia="仿宋_GB2312"/>
                <w:sz w:val="24"/>
                <w:b/>
              </w:rPr>
              <w:t>★（一）、合同执行</w:t>
            </w:r>
            <w:r>
              <w:rPr>
                <w:rFonts w:ascii="仿宋_GB2312" w:hAnsi="仿宋_GB2312" w:cs="仿宋_GB2312" w:eastAsia="仿宋_GB2312"/>
                <w:sz w:val="24"/>
                <w:b/>
                <w:color w:val="FF0000"/>
              </w:rPr>
              <w:t>计划</w:t>
            </w:r>
          </w:p>
          <w:p>
            <w:pPr>
              <w:pStyle w:val="null3"/>
              <w:ind w:left="1200"/>
              <w:jc w:val="left"/>
            </w:pPr>
            <w:r>
              <w:rPr>
                <w:rFonts w:ascii="仿宋_GB2312" w:hAnsi="仿宋_GB2312" w:cs="仿宋_GB2312" w:eastAsia="仿宋_GB2312"/>
                <w:sz w:val="24"/>
                <w:color w:val="FF0000"/>
              </w:rPr>
              <w:t>交付期：（1、2包适用）合同签订后30个工作日内完成交付。</w:t>
            </w:r>
          </w:p>
          <w:p>
            <w:pPr>
              <w:pStyle w:val="null3"/>
              <w:ind w:left="1200"/>
              <w:jc w:val="left"/>
            </w:pPr>
            <w:r>
              <w:rPr>
                <w:rFonts w:ascii="仿宋_GB2312" w:hAnsi="仿宋_GB2312" w:cs="仿宋_GB2312" w:eastAsia="仿宋_GB2312"/>
                <w:sz w:val="24"/>
                <w:color w:val="FF0000"/>
              </w:rPr>
              <w:t>（</w:t>
            </w:r>
            <w:r>
              <w:rPr>
                <w:rFonts w:ascii="仿宋_GB2312" w:hAnsi="仿宋_GB2312" w:cs="仿宋_GB2312" w:eastAsia="仿宋_GB2312"/>
                <w:sz w:val="24"/>
                <w:color w:val="FF0000"/>
              </w:rPr>
              <w:t>3</w:t>
            </w:r>
            <w:r>
              <w:rPr>
                <w:rFonts w:ascii="仿宋_GB2312" w:hAnsi="仿宋_GB2312" w:cs="仿宋_GB2312" w:eastAsia="仿宋_GB2312"/>
                <w:sz w:val="24"/>
                <w:color w:val="FF0000"/>
              </w:rPr>
              <w:t>包适用）合同签订后45个工作日内完成交付。</w:t>
            </w:r>
          </w:p>
          <w:p>
            <w:pPr>
              <w:pStyle w:val="null3"/>
              <w:jc w:val="left"/>
            </w:pPr>
            <w:r>
              <w:rPr>
                <w:rFonts w:ascii="仿宋_GB2312" w:hAnsi="仿宋_GB2312" w:cs="仿宋_GB2312" w:eastAsia="仿宋_GB2312"/>
                <w:sz w:val="24"/>
              </w:rPr>
              <w:t>交付地点：海南省内采购人指定地点</w:t>
            </w:r>
          </w:p>
          <w:p>
            <w:pPr>
              <w:pStyle w:val="null3"/>
              <w:spacing w:before="105" w:after="105"/>
              <w:jc w:val="left"/>
            </w:pPr>
            <w:r>
              <w:rPr>
                <w:rFonts w:ascii="仿宋_GB2312" w:hAnsi="仿宋_GB2312" w:cs="仿宋_GB2312" w:eastAsia="仿宋_GB2312"/>
                <w:sz w:val="24"/>
                <w:b/>
              </w:rPr>
              <w:t xml:space="preserve">★（二）、质量保证(投标时提供承诺书，并加盖投标人单位公章。）  </w:t>
            </w:r>
          </w:p>
          <w:p>
            <w:pPr>
              <w:pStyle w:val="null3"/>
              <w:ind w:firstLine="480"/>
              <w:jc w:val="left"/>
            </w:pPr>
            <w:r>
              <w:rPr>
                <w:rFonts w:ascii="仿宋_GB2312" w:hAnsi="仿宋_GB2312" w:cs="仿宋_GB2312" w:eastAsia="仿宋_GB2312"/>
                <w:sz w:val="24"/>
              </w:rPr>
              <w:t>1.除</w:t>
            </w:r>
            <w:r>
              <w:rPr>
                <w:rFonts w:ascii="仿宋_GB2312" w:hAnsi="仿宋_GB2312" w:cs="仿宋_GB2312" w:eastAsia="仿宋_GB2312"/>
                <w:sz w:val="24"/>
                <w:color w:val="FF0000"/>
              </w:rPr>
              <w:t>3</w:t>
            </w:r>
            <w:r>
              <w:rPr>
                <w:rFonts w:ascii="仿宋_GB2312" w:hAnsi="仿宋_GB2312" w:cs="仿宋_GB2312" w:eastAsia="仿宋_GB2312"/>
                <w:sz w:val="24"/>
                <w:color w:val="FF0000"/>
              </w:rPr>
              <w:t>包特</w:t>
            </w:r>
            <w:r>
              <w:rPr>
                <w:rFonts w:ascii="仿宋_GB2312" w:hAnsi="仿宋_GB2312" w:cs="仿宋_GB2312" w:eastAsia="仿宋_GB2312"/>
                <w:sz w:val="24"/>
              </w:rPr>
              <w:t>种车辆改装部分外，所有设备必须是生产厂商原装、全新的正品，符合国家及该产品的出厂标准。确保其产品质量、性能及技术参数达到采购人要求，如提供虚假参数、不满足采购人参数配置需要的，则采购人有权向供应商提出退货或索赔的要求。</w:t>
            </w:r>
          </w:p>
          <w:p>
            <w:pPr>
              <w:pStyle w:val="null3"/>
              <w:ind w:firstLine="480"/>
              <w:jc w:val="left"/>
            </w:pPr>
            <w:r>
              <w:rPr>
                <w:rFonts w:ascii="仿宋_GB2312" w:hAnsi="仿宋_GB2312" w:cs="仿宋_GB2312" w:eastAsia="仿宋_GB2312"/>
                <w:sz w:val="24"/>
              </w:rPr>
              <w:t>2.应保证设备外观清洁，标记编号以及盘面显示等字体清晰、明确。</w:t>
            </w:r>
          </w:p>
          <w:p>
            <w:pPr>
              <w:pStyle w:val="null3"/>
              <w:ind w:firstLine="480"/>
              <w:jc w:val="left"/>
            </w:pPr>
            <w:r>
              <w:rPr>
                <w:rFonts w:ascii="仿宋_GB2312" w:hAnsi="仿宋_GB2312" w:cs="仿宋_GB2312" w:eastAsia="仿宋_GB2312"/>
                <w:sz w:val="24"/>
              </w:rPr>
              <w:t>3.对于影响设备正常工作的必要组成部分，供应商须在响应文件中明确列出。</w:t>
            </w:r>
          </w:p>
          <w:p>
            <w:pPr>
              <w:pStyle w:val="null3"/>
              <w:ind w:firstLine="480"/>
              <w:jc w:val="left"/>
            </w:pPr>
            <w:r>
              <w:rPr>
                <w:rFonts w:ascii="仿宋_GB2312" w:hAnsi="仿宋_GB2312" w:cs="仿宋_GB2312" w:eastAsia="仿宋_GB2312"/>
                <w:sz w:val="24"/>
              </w:rPr>
              <w:t>4.中标人供货时应提供所有产品、设备提供出厂合格证等质量证明文件。</w:t>
            </w:r>
          </w:p>
          <w:p>
            <w:pPr>
              <w:pStyle w:val="null3"/>
              <w:ind w:firstLine="480"/>
              <w:jc w:val="left"/>
            </w:pPr>
            <w:r>
              <w:rPr>
                <w:rFonts w:ascii="仿宋_GB2312" w:hAnsi="仿宋_GB2312" w:cs="仿宋_GB2312" w:eastAsia="仿宋_GB2312"/>
                <w:sz w:val="24"/>
              </w:rPr>
              <w:t>5.所提供的产品必须是在中国范围内合法销售，原装、全新产品。</w:t>
            </w:r>
          </w:p>
          <w:p>
            <w:pPr>
              <w:pStyle w:val="null3"/>
              <w:ind w:firstLine="480"/>
              <w:jc w:val="left"/>
            </w:pPr>
            <w:r>
              <w:rPr>
                <w:rFonts w:ascii="仿宋_GB2312" w:hAnsi="仿宋_GB2312" w:cs="仿宋_GB2312" w:eastAsia="仿宋_GB2312"/>
                <w:sz w:val="24"/>
              </w:rPr>
              <w:t>6.所有设备均由投标人免费送货至采购人指定的交货地点并安装调试好，安装调试应以本采购需求要求的技术参数指标及投标文件响应情况为标准。</w:t>
            </w:r>
          </w:p>
          <w:p>
            <w:pPr>
              <w:pStyle w:val="null3"/>
              <w:ind w:firstLine="480"/>
              <w:jc w:val="left"/>
            </w:pPr>
            <w:r>
              <w:rPr>
                <w:rFonts w:ascii="仿宋_GB2312" w:hAnsi="仿宋_GB2312" w:cs="仿宋_GB2312" w:eastAsia="仿宋_GB2312"/>
                <w:sz w:val="24"/>
              </w:rPr>
              <w:t>7.投标人在供货时应提供包括但不限于满足设备安装、使用和维护的技术文件，如:设备和附件装箱清单、设备质量合格检定证明文件、设备保修服务卡、设备中文使用说明和维护手册等。</w:t>
            </w:r>
          </w:p>
          <w:p>
            <w:pPr>
              <w:pStyle w:val="null3"/>
              <w:ind w:firstLine="480"/>
              <w:jc w:val="left"/>
            </w:pPr>
            <w:r>
              <w:rPr>
                <w:rFonts w:ascii="仿宋_GB2312" w:hAnsi="仿宋_GB2312" w:cs="仿宋_GB2312" w:eastAsia="仿宋_GB2312"/>
                <w:sz w:val="24"/>
              </w:rPr>
              <w:t>8.在车辆质量保证期内，投标人应对由于设计、工艺或材料的缺陷而造成的任何不足或故障负责。如车辆的配置或质量与合同不符，或存在缺陷，投标人应接到采购人书面通知后三个工作日内按合同确定的规格、质量予以更换，由此造成的一系列损失由投标人承担。</w:t>
            </w:r>
          </w:p>
          <w:p>
            <w:pPr>
              <w:pStyle w:val="null3"/>
              <w:spacing w:before="105" w:after="105"/>
              <w:jc w:val="left"/>
            </w:pPr>
            <w:r>
              <w:rPr>
                <w:rFonts w:ascii="仿宋_GB2312" w:hAnsi="仿宋_GB2312" w:cs="仿宋_GB2312" w:eastAsia="仿宋_GB2312"/>
                <w:sz w:val="24"/>
                <w:b/>
              </w:rPr>
              <w:t>（三）、验收标准</w:t>
            </w:r>
          </w:p>
          <w:p>
            <w:pPr>
              <w:pStyle w:val="null3"/>
              <w:ind w:firstLine="480"/>
              <w:jc w:val="left"/>
            </w:pPr>
            <w:r>
              <w:rPr>
                <w:rFonts w:ascii="仿宋_GB2312" w:hAnsi="仿宋_GB2312" w:cs="仿宋_GB2312" w:eastAsia="仿宋_GB2312"/>
                <w:sz w:val="24"/>
              </w:rPr>
              <w:t>由采购人组织验收小组在指定地点对所购车辆进行验收，验收标准除采购要求的技术参数外，可溯源到国家相关标准。投标人提供的车辆应达到国家有关规定、规范标准及采购需求的要求并确保整体通过采购人的验收。</w:t>
            </w:r>
          </w:p>
          <w:p>
            <w:pPr>
              <w:pStyle w:val="null3"/>
              <w:spacing w:before="105" w:after="105"/>
              <w:jc w:val="left"/>
            </w:pPr>
            <w:r>
              <w:rPr>
                <w:rFonts w:ascii="仿宋_GB2312" w:hAnsi="仿宋_GB2312" w:cs="仿宋_GB2312" w:eastAsia="仿宋_GB2312"/>
                <w:sz w:val="24"/>
                <w:b/>
              </w:rPr>
              <w:t>★（四）、售后服务（投标时提供承诺书，并加盖投标人单位公章。）</w:t>
            </w:r>
          </w:p>
          <w:p>
            <w:pPr>
              <w:pStyle w:val="null3"/>
              <w:ind w:firstLine="480"/>
              <w:jc w:val="left"/>
            </w:pPr>
            <w:r>
              <w:rPr>
                <w:rFonts w:ascii="仿宋_GB2312" w:hAnsi="仿宋_GB2312" w:cs="仿宋_GB2312" w:eastAsia="仿宋_GB2312"/>
                <w:sz w:val="24"/>
              </w:rPr>
              <w:t>1.投标人须提供在该品牌4S店或特约维修站进行免费强保及有偿例保，经鉴定属“三包”范围内的质量故障，投标人负责实行“三包”服务。</w:t>
            </w:r>
          </w:p>
          <w:p>
            <w:pPr>
              <w:pStyle w:val="null3"/>
              <w:ind w:firstLine="480"/>
              <w:jc w:val="left"/>
            </w:pPr>
            <w:r>
              <w:rPr>
                <w:rFonts w:ascii="仿宋_GB2312" w:hAnsi="仿宋_GB2312" w:cs="仿宋_GB2312" w:eastAsia="仿宋_GB2312"/>
                <w:sz w:val="24"/>
              </w:rPr>
              <w:t>2.投标人接到采购人报修电话（传真）后，到达指定故障现场的时限（响应时间）为：海口市内到达服务现场时限小于2小时，海口市外到达服务现场时限6小时。若乙方未按约定时间到达故障现场，每延误 1 小时，按 [X] 元 / 小时支付违约金；累计延误超过 24 小时的，甲方有权委托第三方维修，费用由乙方承担并按维修金额的 30% 支付管理费。</w:t>
            </w:r>
          </w:p>
          <w:p>
            <w:pPr>
              <w:pStyle w:val="null3"/>
              <w:ind w:firstLine="480"/>
              <w:jc w:val="left"/>
            </w:pPr>
            <w:r>
              <w:rPr>
                <w:rFonts w:ascii="仿宋_GB2312" w:hAnsi="仿宋_GB2312" w:cs="仿宋_GB2312" w:eastAsia="仿宋_GB2312"/>
                <w:sz w:val="24"/>
              </w:rPr>
              <w:t>3.故障报修后，投标人需在24小时内排除故障。如遇特殊情况无法在时限内解决的故障，投标人必须在该时限内向采购人提出说明和处理故障的方案。</w:t>
            </w:r>
          </w:p>
          <w:p>
            <w:pPr>
              <w:pStyle w:val="null3"/>
              <w:ind w:firstLine="480"/>
              <w:jc w:val="left"/>
            </w:pPr>
            <w:r>
              <w:rPr>
                <w:rFonts w:ascii="仿宋_GB2312" w:hAnsi="仿宋_GB2312" w:cs="仿宋_GB2312" w:eastAsia="仿宋_GB2312"/>
                <w:sz w:val="24"/>
              </w:rPr>
              <w:t>4.投标人在采购人所购车辆投入使用前，对车辆进行全车安全技术检查，并与采购人建立定期信息沟通机制，使用中做好质量回访，接受采购人反映的车辆质量及售后服务方面的问题，并及时回应解决。</w:t>
            </w:r>
          </w:p>
          <w:p>
            <w:pPr>
              <w:pStyle w:val="null3"/>
              <w:ind w:firstLine="480"/>
              <w:jc w:val="left"/>
            </w:pPr>
            <w:r>
              <w:rPr>
                <w:rFonts w:ascii="仿宋_GB2312" w:hAnsi="仿宋_GB2312" w:cs="仿宋_GB2312" w:eastAsia="仿宋_GB2312"/>
                <w:sz w:val="24"/>
              </w:rPr>
              <w:t>5.投标人应按采购人要求，在车辆投入使用前，统一对驾驶员进行相关技术培训。</w:t>
            </w:r>
          </w:p>
          <w:p>
            <w:pPr>
              <w:pStyle w:val="null3"/>
              <w:ind w:firstLine="480"/>
              <w:jc w:val="left"/>
            </w:pPr>
            <w:r>
              <w:rPr>
                <w:rFonts w:ascii="仿宋_GB2312" w:hAnsi="仿宋_GB2312" w:cs="仿宋_GB2312" w:eastAsia="仿宋_GB2312"/>
                <w:sz w:val="24"/>
                <w:color w:val="FF0000"/>
              </w:rPr>
              <w:t>6.第1包、2包投标人应免费提供与中标车辆数量1:1配套的智能交流充电桩（AC 220V/32A，7KW），每套含桩体、安装支架及30米电缆。</w:t>
            </w:r>
          </w:p>
          <w:p>
            <w:pPr>
              <w:pStyle w:val="null3"/>
              <w:ind w:firstLine="480"/>
              <w:jc w:val="left"/>
            </w:pPr>
            <w:r>
              <w:rPr>
                <w:rFonts w:ascii="仿宋_GB2312" w:hAnsi="仿宋_GB2312" w:cs="仿宋_GB2312" w:eastAsia="仿宋_GB2312"/>
                <w:sz w:val="24"/>
                <w:color w:val="FF0000"/>
              </w:rPr>
              <w:t>7.第</w:t>
            </w:r>
            <w:r>
              <w:rPr>
                <w:rFonts w:ascii="仿宋_GB2312" w:hAnsi="仿宋_GB2312" w:cs="仿宋_GB2312" w:eastAsia="仿宋_GB2312"/>
                <w:sz w:val="24"/>
                <w:color w:val="FF0000"/>
              </w:rPr>
              <w:t>3</w:t>
            </w:r>
            <w:r>
              <w:rPr>
                <w:rFonts w:ascii="仿宋_GB2312" w:hAnsi="仿宋_GB2312" w:cs="仿宋_GB2312" w:eastAsia="仿宋_GB2312"/>
                <w:sz w:val="24"/>
                <w:color w:val="FF0000"/>
              </w:rPr>
              <w:t>包中标人须代缴购置税，购置税由采购人另行支付</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b/>
              </w:rPr>
              <w:t>（五）、其他要求说明（仅适用于</w:t>
            </w:r>
            <w:r>
              <w:rPr>
                <w:rFonts w:ascii="仿宋_GB2312" w:hAnsi="仿宋_GB2312" w:cs="仿宋_GB2312" w:eastAsia="仿宋_GB2312"/>
                <w:sz w:val="24"/>
                <w:b/>
                <w:color w:val="FF0000"/>
              </w:rPr>
              <w:t>3</w:t>
            </w:r>
            <w:r>
              <w:rPr>
                <w:rFonts w:ascii="仿宋_GB2312" w:hAnsi="仿宋_GB2312" w:cs="仿宋_GB2312" w:eastAsia="仿宋_GB2312"/>
                <w:sz w:val="24"/>
                <w:b/>
                <w:color w:val="FF0000"/>
              </w:rPr>
              <w:t>包</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1.投标人应根据选用的车辆和选配的配件，提供车辆品牌型号和详细的车辆改装技术方案。</w:t>
            </w:r>
          </w:p>
          <w:p>
            <w:pPr>
              <w:pStyle w:val="null3"/>
              <w:ind w:firstLine="480"/>
              <w:jc w:val="left"/>
            </w:pPr>
            <w:r>
              <w:rPr>
                <w:rFonts w:ascii="仿宋_GB2312" w:hAnsi="仿宋_GB2312" w:cs="仿宋_GB2312" w:eastAsia="仿宋_GB2312"/>
                <w:sz w:val="24"/>
              </w:rPr>
              <w:t>2.如项目实施过程中出现中标人不按投标文件或合同内容要求执行，无法满足项目实施标准要求、偷工减料、降低质量标准、超过工期等行为，采购人有权终止合同，并报政府采购管理部门严肃处理。</w:t>
            </w:r>
          </w:p>
          <w:p>
            <w:pPr>
              <w:pStyle w:val="null3"/>
              <w:ind w:firstLine="480"/>
              <w:jc w:val="left"/>
            </w:pPr>
            <w:r>
              <w:rPr>
                <w:rFonts w:ascii="仿宋_GB2312" w:hAnsi="仿宋_GB2312" w:cs="仿宋_GB2312" w:eastAsia="仿宋_GB2312"/>
                <w:sz w:val="24"/>
              </w:rPr>
              <w:t>3.投标人必须根据所提供产品的技术参数、资质资料编写投标文件。在中标结果公示期间，采购人有权对中标人所提供货物的技术指标、资质证书资料等进行任何形式的核查，如发现与其投标文件中的描述不一或所提供的材料为虚假材料，采购人有权拒签合同，并报政府采购主管部门严肃处理。</w:t>
            </w:r>
          </w:p>
          <w:p>
            <w:pPr>
              <w:pStyle w:val="null3"/>
              <w:ind w:firstLine="480"/>
              <w:jc w:val="left"/>
            </w:pPr>
            <w:r>
              <w:rPr>
                <w:rFonts w:ascii="仿宋_GB2312" w:hAnsi="仿宋_GB2312" w:cs="仿宋_GB2312" w:eastAsia="仿宋_GB2312"/>
                <w:sz w:val="24"/>
              </w:rPr>
              <w:t>4.其他未尽事宜以合同约定为准。</w:t>
            </w:r>
          </w:p>
          <w:p>
            <w:pPr>
              <w:pStyle w:val="null3"/>
              <w:spacing w:before="105" w:after="105"/>
              <w:jc w:val="left"/>
            </w:pPr>
            <w:r>
              <w:rPr>
                <w:rFonts w:ascii="仿宋_GB2312" w:hAnsi="仿宋_GB2312" w:cs="仿宋_GB2312" w:eastAsia="仿宋_GB2312"/>
                <w:sz w:val="24"/>
                <w:b/>
              </w:rPr>
              <w:t>★（六）、本项目采购预算：</w:t>
            </w:r>
            <w:r>
              <w:rPr>
                <w:rFonts w:ascii="仿宋_GB2312" w:hAnsi="仿宋_GB2312" w:cs="仿宋_GB2312" w:eastAsia="仿宋_GB2312"/>
                <w:sz w:val="24"/>
                <w:b/>
                <w:color w:val="FF0000"/>
              </w:rPr>
              <w:t>1</w:t>
            </w:r>
            <w:r>
              <w:rPr>
                <w:rFonts w:ascii="仿宋_GB2312" w:hAnsi="仿宋_GB2312" w:cs="仿宋_GB2312" w:eastAsia="仿宋_GB2312"/>
                <w:sz w:val="24"/>
                <w:b/>
                <w:color w:val="FF0000"/>
              </w:rPr>
              <w:t>包:50万元；</w:t>
            </w:r>
            <w:r>
              <w:rPr>
                <w:rFonts w:ascii="仿宋_GB2312" w:hAnsi="仿宋_GB2312" w:cs="仿宋_GB2312" w:eastAsia="仿宋_GB2312"/>
                <w:sz w:val="24"/>
                <w:b/>
                <w:color w:val="FF0000"/>
              </w:rPr>
              <w:t>2</w:t>
            </w:r>
            <w:r>
              <w:rPr>
                <w:rFonts w:ascii="仿宋_GB2312" w:hAnsi="仿宋_GB2312" w:cs="仿宋_GB2312" w:eastAsia="仿宋_GB2312"/>
                <w:sz w:val="24"/>
                <w:b/>
                <w:color w:val="FF0000"/>
              </w:rPr>
              <w:t>包:25万元；</w:t>
            </w:r>
            <w:r>
              <w:rPr>
                <w:rFonts w:ascii="仿宋_GB2312" w:hAnsi="仿宋_GB2312" w:cs="仿宋_GB2312" w:eastAsia="仿宋_GB2312"/>
                <w:sz w:val="24"/>
                <w:b/>
                <w:color w:val="FF0000"/>
              </w:rPr>
              <w:t>3</w:t>
            </w:r>
            <w:r>
              <w:rPr>
                <w:rFonts w:ascii="仿宋_GB2312" w:hAnsi="仿宋_GB2312" w:cs="仿宋_GB2312" w:eastAsia="仿宋_GB2312"/>
                <w:sz w:val="24"/>
                <w:b/>
                <w:color w:val="FF0000"/>
              </w:rPr>
              <w:t>包:90万元。（本采购预算不含车辆购置税；报价不得超出各包采购预算，且所报各产品单价不得超过下表中“单价最高限价（不含税）”）</w:t>
            </w:r>
          </w:p>
          <w:tbl>
            <w:tblPr>
              <w:tblInd w:type="dxa" w:w="120"/>
              <w:tblBorders>
                <w:top w:val="none" w:color="000000" w:sz="4"/>
                <w:left w:val="none" w:color="000000" w:sz="4"/>
                <w:bottom w:val="none" w:color="000000" w:sz="4"/>
                <w:right w:val="none" w:color="000000" w:sz="4"/>
                <w:insideH w:val="none"/>
                <w:insideV w:val="none"/>
              </w:tblBorders>
            </w:tblPr>
            <w:tblGrid>
              <w:gridCol w:w="515"/>
              <w:gridCol w:w="335"/>
              <w:gridCol w:w="515"/>
              <w:gridCol w:w="335"/>
              <w:gridCol w:w="335"/>
              <w:gridCol w:w="515"/>
            </w:tblGrid>
            <w:tr>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left"/>
                  </w:pPr>
                  <w:r>
                    <w:rPr>
                      <w:rFonts w:ascii="仿宋_GB2312" w:hAnsi="仿宋_GB2312" w:cs="仿宋_GB2312" w:eastAsia="仿宋_GB2312"/>
                      <w:sz w:val="24"/>
                      <w:b/>
                    </w:rPr>
                    <w:t>类型</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车型</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单价最高限价（不含税）</w:t>
                  </w:r>
                </w:p>
              </w:tc>
            </w:tr>
            <w:tr>
              <w:tc>
                <w:tcPr>
                  <w:tcW w:type="dxa" w:w="51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FF0000"/>
                    </w:rPr>
                    <w:t>新能源汽车</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纯电动商务车</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25万/辆</w:t>
                  </w:r>
                </w:p>
              </w:tc>
            </w:tr>
            <w:tr>
              <w:tc>
                <w:tcPr>
                  <w:tcW w:type="dxa" w:w="515"/>
                  <w:vMerge/>
                  <w:tcBorders>
                    <w:top w:val="none" w:color="000000" w:sz="4"/>
                    <w:left w:val="single" w:color="000000" w:sz="4"/>
                    <w:bottom w:val="non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纯电动客车</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25万/辆</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FF0000"/>
                    </w:rPr>
                    <w:t>燃油型特种专业技术用车</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3</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现场事故勘查车</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45万/辆</w:t>
                  </w:r>
                </w:p>
              </w:tc>
            </w:tr>
          </w:tbl>
          <w:p>
            <w:pPr>
              <w:pStyle w:val="null3"/>
              <w:jc w:val="both"/>
            </w:pP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outlineLvl w:val="1"/>
            </w:pPr>
            <w:r>
              <w:rPr>
                <w:rFonts w:ascii="仿宋_GB2312" w:hAnsi="仿宋_GB2312" w:cs="仿宋_GB2312" w:eastAsia="仿宋_GB2312"/>
                <w:sz w:val="24"/>
                <w:b/>
              </w:rPr>
              <w:t>★（一）、合同执行</w:t>
            </w:r>
            <w:r>
              <w:rPr>
                <w:rFonts w:ascii="仿宋_GB2312" w:hAnsi="仿宋_GB2312" w:cs="仿宋_GB2312" w:eastAsia="仿宋_GB2312"/>
                <w:sz w:val="24"/>
                <w:b/>
                <w:color w:val="FF0000"/>
              </w:rPr>
              <w:t>计划</w:t>
            </w:r>
          </w:p>
          <w:p>
            <w:pPr>
              <w:pStyle w:val="null3"/>
              <w:ind w:left="1200"/>
              <w:jc w:val="left"/>
            </w:pPr>
            <w:r>
              <w:rPr>
                <w:rFonts w:ascii="仿宋_GB2312" w:hAnsi="仿宋_GB2312" w:cs="仿宋_GB2312" w:eastAsia="仿宋_GB2312"/>
                <w:sz w:val="24"/>
                <w:color w:val="FF0000"/>
              </w:rPr>
              <w:t>交付期：（1、2包适用）合同签订后30个工作日内完成交付。</w:t>
            </w:r>
          </w:p>
          <w:p>
            <w:pPr>
              <w:pStyle w:val="null3"/>
              <w:ind w:left="1200"/>
              <w:jc w:val="left"/>
            </w:pPr>
            <w:r>
              <w:rPr>
                <w:rFonts w:ascii="仿宋_GB2312" w:hAnsi="仿宋_GB2312" w:cs="仿宋_GB2312" w:eastAsia="仿宋_GB2312"/>
                <w:sz w:val="24"/>
                <w:color w:val="FF0000"/>
              </w:rPr>
              <w:t>（</w:t>
            </w:r>
            <w:r>
              <w:rPr>
                <w:rFonts w:ascii="仿宋_GB2312" w:hAnsi="仿宋_GB2312" w:cs="仿宋_GB2312" w:eastAsia="仿宋_GB2312"/>
                <w:sz w:val="24"/>
                <w:color w:val="FF0000"/>
              </w:rPr>
              <w:t>3</w:t>
            </w:r>
            <w:r>
              <w:rPr>
                <w:rFonts w:ascii="仿宋_GB2312" w:hAnsi="仿宋_GB2312" w:cs="仿宋_GB2312" w:eastAsia="仿宋_GB2312"/>
                <w:sz w:val="24"/>
                <w:color w:val="FF0000"/>
              </w:rPr>
              <w:t>包适用）合同签订后45个工作日内完成交付。</w:t>
            </w:r>
          </w:p>
          <w:p>
            <w:pPr>
              <w:pStyle w:val="null3"/>
              <w:jc w:val="left"/>
            </w:pPr>
            <w:r>
              <w:rPr>
                <w:rFonts w:ascii="仿宋_GB2312" w:hAnsi="仿宋_GB2312" w:cs="仿宋_GB2312" w:eastAsia="仿宋_GB2312"/>
                <w:sz w:val="24"/>
              </w:rPr>
              <w:t>交付地点：海南省内采购人指定地点</w:t>
            </w:r>
          </w:p>
          <w:p>
            <w:pPr>
              <w:pStyle w:val="null3"/>
              <w:spacing w:before="105" w:after="105"/>
              <w:jc w:val="left"/>
            </w:pPr>
            <w:r>
              <w:rPr>
                <w:rFonts w:ascii="仿宋_GB2312" w:hAnsi="仿宋_GB2312" w:cs="仿宋_GB2312" w:eastAsia="仿宋_GB2312"/>
                <w:sz w:val="24"/>
                <w:b/>
              </w:rPr>
              <w:t xml:space="preserve">★（二）、质量保证(投标时提供承诺书，并加盖投标人单位公章。）  </w:t>
            </w:r>
          </w:p>
          <w:p>
            <w:pPr>
              <w:pStyle w:val="null3"/>
              <w:ind w:firstLine="480"/>
              <w:jc w:val="left"/>
            </w:pPr>
            <w:r>
              <w:rPr>
                <w:rFonts w:ascii="仿宋_GB2312" w:hAnsi="仿宋_GB2312" w:cs="仿宋_GB2312" w:eastAsia="仿宋_GB2312"/>
                <w:sz w:val="24"/>
              </w:rPr>
              <w:t>1.除</w:t>
            </w:r>
            <w:r>
              <w:rPr>
                <w:rFonts w:ascii="仿宋_GB2312" w:hAnsi="仿宋_GB2312" w:cs="仿宋_GB2312" w:eastAsia="仿宋_GB2312"/>
                <w:sz w:val="24"/>
                <w:color w:val="FF0000"/>
              </w:rPr>
              <w:t>3</w:t>
            </w:r>
            <w:r>
              <w:rPr>
                <w:rFonts w:ascii="仿宋_GB2312" w:hAnsi="仿宋_GB2312" w:cs="仿宋_GB2312" w:eastAsia="仿宋_GB2312"/>
                <w:sz w:val="24"/>
                <w:color w:val="FF0000"/>
              </w:rPr>
              <w:t>包特</w:t>
            </w:r>
            <w:r>
              <w:rPr>
                <w:rFonts w:ascii="仿宋_GB2312" w:hAnsi="仿宋_GB2312" w:cs="仿宋_GB2312" w:eastAsia="仿宋_GB2312"/>
                <w:sz w:val="24"/>
              </w:rPr>
              <w:t>种车辆改装部分外，所有设备必须是生产厂商原装、全新的正品，符合国家及该产品的出厂标准。确保其产品质量、性能及技术参数达到采购人要求，如提供虚假参数、不满足采购人参数配置需要的，则采购人有权向供应商提出退货或索赔的要求。</w:t>
            </w:r>
          </w:p>
          <w:p>
            <w:pPr>
              <w:pStyle w:val="null3"/>
              <w:ind w:firstLine="480"/>
              <w:jc w:val="left"/>
            </w:pPr>
            <w:r>
              <w:rPr>
                <w:rFonts w:ascii="仿宋_GB2312" w:hAnsi="仿宋_GB2312" w:cs="仿宋_GB2312" w:eastAsia="仿宋_GB2312"/>
                <w:sz w:val="24"/>
              </w:rPr>
              <w:t>2.应保证设备外观清洁，标记编号以及盘面显示等字体清晰、明确。</w:t>
            </w:r>
          </w:p>
          <w:p>
            <w:pPr>
              <w:pStyle w:val="null3"/>
              <w:ind w:firstLine="480"/>
              <w:jc w:val="left"/>
            </w:pPr>
            <w:r>
              <w:rPr>
                <w:rFonts w:ascii="仿宋_GB2312" w:hAnsi="仿宋_GB2312" w:cs="仿宋_GB2312" w:eastAsia="仿宋_GB2312"/>
                <w:sz w:val="24"/>
              </w:rPr>
              <w:t>3.对于影响设备正常工作的必要组成部分，供应商须在响应文件中明确列出。</w:t>
            </w:r>
          </w:p>
          <w:p>
            <w:pPr>
              <w:pStyle w:val="null3"/>
              <w:ind w:firstLine="480"/>
              <w:jc w:val="left"/>
            </w:pPr>
            <w:r>
              <w:rPr>
                <w:rFonts w:ascii="仿宋_GB2312" w:hAnsi="仿宋_GB2312" w:cs="仿宋_GB2312" w:eastAsia="仿宋_GB2312"/>
                <w:sz w:val="24"/>
              </w:rPr>
              <w:t>4.中标人供货时应提供所有产品、设备提供出厂合格证等质量证明文件。</w:t>
            </w:r>
          </w:p>
          <w:p>
            <w:pPr>
              <w:pStyle w:val="null3"/>
              <w:ind w:firstLine="480"/>
              <w:jc w:val="left"/>
            </w:pPr>
            <w:r>
              <w:rPr>
                <w:rFonts w:ascii="仿宋_GB2312" w:hAnsi="仿宋_GB2312" w:cs="仿宋_GB2312" w:eastAsia="仿宋_GB2312"/>
                <w:sz w:val="24"/>
              </w:rPr>
              <w:t>5.所提供的产品必须是在中国范围内合法销售，原装、全新产品。</w:t>
            </w:r>
          </w:p>
          <w:p>
            <w:pPr>
              <w:pStyle w:val="null3"/>
              <w:ind w:firstLine="480"/>
              <w:jc w:val="left"/>
            </w:pPr>
            <w:r>
              <w:rPr>
                <w:rFonts w:ascii="仿宋_GB2312" w:hAnsi="仿宋_GB2312" w:cs="仿宋_GB2312" w:eastAsia="仿宋_GB2312"/>
                <w:sz w:val="24"/>
              </w:rPr>
              <w:t>6.所有设备均由投标人免费送货至采购人指定的交货地点并安装调试好，安装调试应以本采购需求要求的技术参数指标及投标文件响应情况为标准。</w:t>
            </w:r>
          </w:p>
          <w:p>
            <w:pPr>
              <w:pStyle w:val="null3"/>
              <w:ind w:firstLine="480"/>
              <w:jc w:val="left"/>
            </w:pPr>
            <w:r>
              <w:rPr>
                <w:rFonts w:ascii="仿宋_GB2312" w:hAnsi="仿宋_GB2312" w:cs="仿宋_GB2312" w:eastAsia="仿宋_GB2312"/>
                <w:sz w:val="24"/>
              </w:rPr>
              <w:t>7.投标人在供货时应提供包括但不限于满足设备安装、使用和维护的技术文件，如:设备和附件装箱清单、设备质量合格检定证明文件、设备保修服务卡、设备中文使用说明和维护手册等。</w:t>
            </w:r>
          </w:p>
          <w:p>
            <w:pPr>
              <w:pStyle w:val="null3"/>
              <w:ind w:firstLine="480"/>
              <w:jc w:val="left"/>
            </w:pPr>
            <w:r>
              <w:rPr>
                <w:rFonts w:ascii="仿宋_GB2312" w:hAnsi="仿宋_GB2312" w:cs="仿宋_GB2312" w:eastAsia="仿宋_GB2312"/>
                <w:sz w:val="24"/>
              </w:rPr>
              <w:t>8.在车辆质量保证期内，投标人应对由于设计、工艺或材料的缺陷而造成的任何不足或故障负责。如车辆的配置或质量与合同不符，或存在缺陷，投标人应接到采购人书面通知后三个工作日内按合同确定的规格、质量予以更换，由此造成的一系列损失由投标人承担。</w:t>
            </w:r>
          </w:p>
          <w:p>
            <w:pPr>
              <w:pStyle w:val="null3"/>
              <w:spacing w:before="105" w:after="105"/>
              <w:jc w:val="left"/>
            </w:pPr>
            <w:r>
              <w:rPr>
                <w:rFonts w:ascii="仿宋_GB2312" w:hAnsi="仿宋_GB2312" w:cs="仿宋_GB2312" w:eastAsia="仿宋_GB2312"/>
                <w:sz w:val="24"/>
                <w:b/>
              </w:rPr>
              <w:t>（三）、验收标准</w:t>
            </w:r>
          </w:p>
          <w:p>
            <w:pPr>
              <w:pStyle w:val="null3"/>
              <w:ind w:firstLine="480"/>
              <w:jc w:val="left"/>
            </w:pPr>
            <w:r>
              <w:rPr>
                <w:rFonts w:ascii="仿宋_GB2312" w:hAnsi="仿宋_GB2312" w:cs="仿宋_GB2312" w:eastAsia="仿宋_GB2312"/>
                <w:sz w:val="24"/>
              </w:rPr>
              <w:t>由采购人组织验收小组在指定地点对所购车辆进行验收，验收标准除采购要求的技术参数外，可溯源到国家相关标准。投标人提供的车辆应达到国家有关规定、规范标准及采购需求的要求并确保整体通过采购人的验收。</w:t>
            </w:r>
          </w:p>
          <w:p>
            <w:pPr>
              <w:pStyle w:val="null3"/>
              <w:spacing w:before="105" w:after="105"/>
              <w:jc w:val="left"/>
            </w:pPr>
            <w:r>
              <w:rPr>
                <w:rFonts w:ascii="仿宋_GB2312" w:hAnsi="仿宋_GB2312" w:cs="仿宋_GB2312" w:eastAsia="仿宋_GB2312"/>
                <w:sz w:val="24"/>
                <w:b/>
              </w:rPr>
              <w:t>★（四）、售后服务（投标时提供承诺书，并加盖投标人单位公章。）</w:t>
            </w:r>
          </w:p>
          <w:p>
            <w:pPr>
              <w:pStyle w:val="null3"/>
              <w:ind w:firstLine="480"/>
              <w:jc w:val="left"/>
            </w:pPr>
            <w:r>
              <w:rPr>
                <w:rFonts w:ascii="仿宋_GB2312" w:hAnsi="仿宋_GB2312" w:cs="仿宋_GB2312" w:eastAsia="仿宋_GB2312"/>
                <w:sz w:val="24"/>
              </w:rPr>
              <w:t>1.投标人须提供在该品牌4S店或特约维修站进行免费强保及有偿例保，经鉴定属“三包”范围内的质量故障，投标人负责实行“三包”服务。</w:t>
            </w:r>
          </w:p>
          <w:p>
            <w:pPr>
              <w:pStyle w:val="null3"/>
              <w:ind w:firstLine="480"/>
              <w:jc w:val="left"/>
            </w:pPr>
            <w:r>
              <w:rPr>
                <w:rFonts w:ascii="仿宋_GB2312" w:hAnsi="仿宋_GB2312" w:cs="仿宋_GB2312" w:eastAsia="仿宋_GB2312"/>
                <w:sz w:val="24"/>
              </w:rPr>
              <w:t>2.投标人接到采购人报修电话（传真）后，到达指定故障现场的时限（响应时间）为：海口市内到达服务现场时限小于2小时，海口市外到达服务现场时限6小时。若乙方未按约定时间到达故障现场，每延误 1 小时，按 [X] 元 / 小时支付违约金；累计延误超过 24 小时的，甲方有权委托第三方维修，费用由乙方承担并按维修金额的 30% 支付管理费。</w:t>
            </w:r>
          </w:p>
          <w:p>
            <w:pPr>
              <w:pStyle w:val="null3"/>
              <w:ind w:firstLine="480"/>
              <w:jc w:val="left"/>
            </w:pPr>
            <w:r>
              <w:rPr>
                <w:rFonts w:ascii="仿宋_GB2312" w:hAnsi="仿宋_GB2312" w:cs="仿宋_GB2312" w:eastAsia="仿宋_GB2312"/>
                <w:sz w:val="24"/>
              </w:rPr>
              <w:t>3.故障报修后，投标人需在24小时内排除故障。如遇特殊情况无法在时限内解决的故障，投标人必须在该时限内向采购人提出说明和处理故障的方案。</w:t>
            </w:r>
          </w:p>
          <w:p>
            <w:pPr>
              <w:pStyle w:val="null3"/>
              <w:ind w:firstLine="480"/>
              <w:jc w:val="left"/>
            </w:pPr>
            <w:r>
              <w:rPr>
                <w:rFonts w:ascii="仿宋_GB2312" w:hAnsi="仿宋_GB2312" w:cs="仿宋_GB2312" w:eastAsia="仿宋_GB2312"/>
                <w:sz w:val="24"/>
              </w:rPr>
              <w:t>4.投标人在采购人所购车辆投入使用前，对车辆进行全车安全技术检查，并与采购人建立定期信息沟通机制，使用中做好质量回访，接受采购人反映的车辆质量及售后服务方面的问题，并及时回应解决。</w:t>
            </w:r>
          </w:p>
          <w:p>
            <w:pPr>
              <w:pStyle w:val="null3"/>
              <w:ind w:firstLine="480"/>
              <w:jc w:val="left"/>
            </w:pPr>
            <w:r>
              <w:rPr>
                <w:rFonts w:ascii="仿宋_GB2312" w:hAnsi="仿宋_GB2312" w:cs="仿宋_GB2312" w:eastAsia="仿宋_GB2312"/>
                <w:sz w:val="24"/>
              </w:rPr>
              <w:t>5.投标人应按采购人要求，在车辆投入使用前，统一对驾驶员进行相关技术培训。</w:t>
            </w:r>
          </w:p>
          <w:p>
            <w:pPr>
              <w:pStyle w:val="null3"/>
              <w:ind w:firstLine="480"/>
              <w:jc w:val="left"/>
            </w:pPr>
            <w:r>
              <w:rPr>
                <w:rFonts w:ascii="仿宋_GB2312" w:hAnsi="仿宋_GB2312" w:cs="仿宋_GB2312" w:eastAsia="仿宋_GB2312"/>
                <w:sz w:val="24"/>
                <w:color w:val="FF0000"/>
              </w:rPr>
              <w:t>6.第1包、2包投标人应免费提供与中标车辆数量1:1配套的智能交流充电桩（AC 220V/32A，7KW），每套含桩体、安装支架及30米电缆。</w:t>
            </w:r>
          </w:p>
          <w:p>
            <w:pPr>
              <w:pStyle w:val="null3"/>
              <w:ind w:firstLine="480"/>
              <w:jc w:val="left"/>
            </w:pPr>
            <w:r>
              <w:rPr>
                <w:rFonts w:ascii="仿宋_GB2312" w:hAnsi="仿宋_GB2312" w:cs="仿宋_GB2312" w:eastAsia="仿宋_GB2312"/>
                <w:sz w:val="24"/>
                <w:color w:val="FF0000"/>
              </w:rPr>
              <w:t>7.第</w:t>
            </w:r>
            <w:r>
              <w:rPr>
                <w:rFonts w:ascii="仿宋_GB2312" w:hAnsi="仿宋_GB2312" w:cs="仿宋_GB2312" w:eastAsia="仿宋_GB2312"/>
                <w:sz w:val="24"/>
                <w:color w:val="FF0000"/>
              </w:rPr>
              <w:t>3</w:t>
            </w:r>
            <w:r>
              <w:rPr>
                <w:rFonts w:ascii="仿宋_GB2312" w:hAnsi="仿宋_GB2312" w:cs="仿宋_GB2312" w:eastAsia="仿宋_GB2312"/>
                <w:sz w:val="24"/>
                <w:color w:val="FF0000"/>
              </w:rPr>
              <w:t>包中标人须代缴购置税，购置税由采购人另行支付</w:t>
            </w:r>
            <w:r>
              <w:rPr>
                <w:rFonts w:ascii="仿宋_GB2312" w:hAnsi="仿宋_GB2312" w:cs="仿宋_GB2312" w:eastAsia="仿宋_GB2312"/>
                <w:sz w:val="24"/>
              </w:rPr>
              <w:t>。</w:t>
            </w:r>
          </w:p>
          <w:p>
            <w:pPr>
              <w:pStyle w:val="null3"/>
              <w:spacing w:before="105" w:after="105"/>
              <w:jc w:val="left"/>
            </w:pPr>
            <w:r>
              <w:rPr>
                <w:rFonts w:ascii="仿宋_GB2312" w:hAnsi="仿宋_GB2312" w:cs="仿宋_GB2312" w:eastAsia="仿宋_GB2312"/>
                <w:sz w:val="24"/>
                <w:b/>
              </w:rPr>
              <w:t>（五）、其他要求说明（仅适用于</w:t>
            </w:r>
            <w:r>
              <w:rPr>
                <w:rFonts w:ascii="仿宋_GB2312" w:hAnsi="仿宋_GB2312" w:cs="仿宋_GB2312" w:eastAsia="仿宋_GB2312"/>
                <w:sz w:val="24"/>
                <w:b/>
                <w:color w:val="FF0000"/>
              </w:rPr>
              <w:t>3</w:t>
            </w:r>
            <w:r>
              <w:rPr>
                <w:rFonts w:ascii="仿宋_GB2312" w:hAnsi="仿宋_GB2312" w:cs="仿宋_GB2312" w:eastAsia="仿宋_GB2312"/>
                <w:sz w:val="24"/>
                <w:b/>
                <w:color w:val="FF0000"/>
              </w:rPr>
              <w:t>包</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1.投标人应根据选用的车辆和选配的配件，提供车辆品牌型号和详细的车辆改装技术方案。</w:t>
            </w:r>
          </w:p>
          <w:p>
            <w:pPr>
              <w:pStyle w:val="null3"/>
              <w:ind w:firstLine="480"/>
              <w:jc w:val="left"/>
            </w:pPr>
            <w:r>
              <w:rPr>
                <w:rFonts w:ascii="仿宋_GB2312" w:hAnsi="仿宋_GB2312" w:cs="仿宋_GB2312" w:eastAsia="仿宋_GB2312"/>
                <w:sz w:val="24"/>
              </w:rPr>
              <w:t>2.如项目实施过程中出现中标人不按投标文件或合同内容要求执行，无法满足项目实施标准要求、偷工减料、降低质量标准、超过工期等行为，采购人有权终止合同，并报政府采购管理部门严肃处理。</w:t>
            </w:r>
          </w:p>
          <w:p>
            <w:pPr>
              <w:pStyle w:val="null3"/>
              <w:ind w:firstLine="480"/>
              <w:jc w:val="left"/>
            </w:pPr>
            <w:r>
              <w:rPr>
                <w:rFonts w:ascii="仿宋_GB2312" w:hAnsi="仿宋_GB2312" w:cs="仿宋_GB2312" w:eastAsia="仿宋_GB2312"/>
                <w:sz w:val="24"/>
              </w:rPr>
              <w:t>3.投标人必须根据所提供产品的技术参数、资质资料编写投标文件。在中标结果公示期间，采购人有权对中标人所提供货物的技术指标、资质证书资料等进行任何形式的核查，如发现与其投标文件中的描述不一或所提供的材料为虚假材料，采购人有权拒签合同，并报政府采购主管部门严肃处理。</w:t>
            </w:r>
          </w:p>
          <w:p>
            <w:pPr>
              <w:pStyle w:val="null3"/>
              <w:ind w:firstLine="480"/>
              <w:jc w:val="left"/>
            </w:pPr>
            <w:r>
              <w:rPr>
                <w:rFonts w:ascii="仿宋_GB2312" w:hAnsi="仿宋_GB2312" w:cs="仿宋_GB2312" w:eastAsia="仿宋_GB2312"/>
                <w:sz w:val="24"/>
              </w:rPr>
              <w:t>4.其他未尽事宜以合同约定为准。</w:t>
            </w:r>
          </w:p>
          <w:p>
            <w:pPr>
              <w:pStyle w:val="null3"/>
              <w:spacing w:before="105" w:after="105"/>
              <w:jc w:val="left"/>
            </w:pPr>
            <w:r>
              <w:rPr>
                <w:rFonts w:ascii="仿宋_GB2312" w:hAnsi="仿宋_GB2312" w:cs="仿宋_GB2312" w:eastAsia="仿宋_GB2312"/>
                <w:sz w:val="24"/>
                <w:b/>
              </w:rPr>
              <w:t>★（六）、本项目采购预算：</w:t>
            </w:r>
            <w:r>
              <w:rPr>
                <w:rFonts w:ascii="仿宋_GB2312" w:hAnsi="仿宋_GB2312" w:cs="仿宋_GB2312" w:eastAsia="仿宋_GB2312"/>
                <w:sz w:val="24"/>
                <w:b/>
                <w:color w:val="FF0000"/>
              </w:rPr>
              <w:t>1</w:t>
            </w:r>
            <w:r>
              <w:rPr>
                <w:rFonts w:ascii="仿宋_GB2312" w:hAnsi="仿宋_GB2312" w:cs="仿宋_GB2312" w:eastAsia="仿宋_GB2312"/>
                <w:sz w:val="24"/>
                <w:b/>
                <w:color w:val="FF0000"/>
              </w:rPr>
              <w:t>包:50万元；</w:t>
            </w:r>
            <w:r>
              <w:rPr>
                <w:rFonts w:ascii="仿宋_GB2312" w:hAnsi="仿宋_GB2312" w:cs="仿宋_GB2312" w:eastAsia="仿宋_GB2312"/>
                <w:sz w:val="24"/>
                <w:b/>
                <w:color w:val="FF0000"/>
              </w:rPr>
              <w:t>2</w:t>
            </w:r>
            <w:r>
              <w:rPr>
                <w:rFonts w:ascii="仿宋_GB2312" w:hAnsi="仿宋_GB2312" w:cs="仿宋_GB2312" w:eastAsia="仿宋_GB2312"/>
                <w:sz w:val="24"/>
                <w:b/>
                <w:color w:val="FF0000"/>
              </w:rPr>
              <w:t>包:25万元；</w:t>
            </w:r>
            <w:r>
              <w:rPr>
                <w:rFonts w:ascii="仿宋_GB2312" w:hAnsi="仿宋_GB2312" w:cs="仿宋_GB2312" w:eastAsia="仿宋_GB2312"/>
                <w:sz w:val="24"/>
                <w:b/>
                <w:color w:val="FF0000"/>
              </w:rPr>
              <w:t>3</w:t>
            </w:r>
            <w:r>
              <w:rPr>
                <w:rFonts w:ascii="仿宋_GB2312" w:hAnsi="仿宋_GB2312" w:cs="仿宋_GB2312" w:eastAsia="仿宋_GB2312"/>
                <w:sz w:val="24"/>
                <w:b/>
                <w:color w:val="FF0000"/>
              </w:rPr>
              <w:t>包:90万元。（本采购预算不含车辆购置税；报价不得超出各包采购预算，且所报各产品单价不得超过下表中“单价最高限价（不含税）”）</w:t>
            </w:r>
          </w:p>
          <w:tbl>
            <w:tblPr>
              <w:tblInd w:type="dxa" w:w="120"/>
              <w:tblBorders>
                <w:top w:val="none" w:color="000000" w:sz="4"/>
                <w:left w:val="none" w:color="000000" w:sz="4"/>
                <w:bottom w:val="none" w:color="000000" w:sz="4"/>
                <w:right w:val="none" w:color="000000" w:sz="4"/>
                <w:insideH w:val="none"/>
                <w:insideV w:val="none"/>
              </w:tblBorders>
            </w:tblPr>
            <w:tblGrid>
              <w:gridCol w:w="515"/>
              <w:gridCol w:w="335"/>
              <w:gridCol w:w="515"/>
              <w:gridCol w:w="335"/>
              <w:gridCol w:w="335"/>
              <w:gridCol w:w="515"/>
            </w:tblGrid>
            <w:tr>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left"/>
                  </w:pPr>
                  <w:r>
                    <w:rPr>
                      <w:rFonts w:ascii="仿宋_GB2312" w:hAnsi="仿宋_GB2312" w:cs="仿宋_GB2312" w:eastAsia="仿宋_GB2312"/>
                      <w:sz w:val="24"/>
                      <w:b/>
                    </w:rPr>
                    <w:t>类型</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车型</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单价最高限价（不含税）</w:t>
                  </w:r>
                </w:p>
              </w:tc>
            </w:tr>
            <w:tr>
              <w:tc>
                <w:tcPr>
                  <w:tcW w:type="dxa" w:w="51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FF0000"/>
                    </w:rPr>
                    <w:t>新能源汽车</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纯电动商务车</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25万/辆</w:t>
                  </w:r>
                </w:p>
              </w:tc>
            </w:tr>
            <w:tr>
              <w:tc>
                <w:tcPr>
                  <w:tcW w:type="dxa" w:w="515"/>
                  <w:vMerge/>
                  <w:tcBorders>
                    <w:top w:val="none" w:color="000000" w:sz="4"/>
                    <w:left w:val="single" w:color="000000" w:sz="4"/>
                    <w:bottom w:val="none" w:color="000000" w:sz="4"/>
                    <w:right w:val="single" w:color="000000" w:sz="4"/>
                  </w:tcBorders>
                </w:tcP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FF0000"/>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纯电动客车</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25万/辆</w:t>
                  </w:r>
                </w:p>
              </w:tc>
            </w:tr>
            <w:tr>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FF0000"/>
                    </w:rPr>
                    <w:t>燃油型特种专业技术用车</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FF0000"/>
                    </w:rPr>
                    <w:t>3</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现场事故勘查车</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45万/辆</w:t>
                  </w:r>
                </w:p>
              </w:tc>
            </w:tr>
          </w:tbl>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以上商务要求除特别注明适用包的，其它均适用于所有包段。</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 2、本需求中“二、技术和服务要求”内容须在技术、商务响应表中逐项逐条响应，其它内容无须在技术、商务响应表中逐项逐条响应。 3、第五章的合同文本为云平台系统自带模板，但并不适用于本项目。本项目合同文本以采购文件“附件”中合同文本为准，请投标人注意！！！</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所投车辆必须是国家工业和信息化部的“汽车产品公告目录”的车型，所投标产品须具有国家工信部许可的专用车公告。</w:t>
            </w:r>
          </w:p>
        </w:tc>
        <w:tc>
          <w:tcPr>
            <w:tcW w:type="dxa" w:w="3322"/>
          </w:tcPr>
          <w:p>
            <w:pPr>
              <w:pStyle w:val="null3"/>
              <w:jc w:val="left"/>
            </w:pPr>
            <w:r>
              <w:rPr>
                <w:rFonts w:ascii="仿宋_GB2312" w:hAnsi="仿宋_GB2312" w:cs="仿宋_GB2312" w:eastAsia="仿宋_GB2312"/>
              </w:rPr>
              <w:t>所投车辆必须是国家工业和信息化部的“汽车产品公告目录”的车型，所投标产品须具有国家工信部许可的专用车公告。投标时提供工业和信息化部装备工业发展中心道路机动车辆生产企业及产品信息查询系统截图。网址：https://app.miit-eidc.org.cn/miitxxgk/gonggao/xxgk/index，加盖公章。若车辆公告名称与本项目内车辆名称存在差异，但实际车辆功能确实能满足采购项目内车辆要求的，须标注说明，如：本项目内的“小型警力运输车”在国家工信部许可的专用特种车辆公告目录内实际与“运兵车”一致，“现场事故勘查车”在国家工信部许可的专用特种车辆公告目录内实际与“勘察车”一致。</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须知前附表“6.投标有效期”的要求。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须知前附表“6.投标有效期”的要求。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须知前附表“6.投标有效期”的要求。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续航里程</w:t>
            </w:r>
          </w:p>
        </w:tc>
        <w:tc>
          <w:tcPr>
            <w:tcW w:type="dxa" w:w="2492"/>
          </w:tcPr>
          <w:p>
            <w:pPr>
              <w:pStyle w:val="null3"/>
              <w:jc w:val="both"/>
            </w:pPr>
            <w:r>
              <w:rPr>
                <w:rFonts w:ascii="仿宋_GB2312" w:hAnsi="仿宋_GB2312" w:cs="仿宋_GB2312" w:eastAsia="仿宋_GB2312"/>
              </w:rPr>
              <w:t>纯电动商务车CLTC工况续航里程在满足450km的基础上，每增加50km加1分，最高得4分。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车身长度</w:t>
            </w:r>
          </w:p>
        </w:tc>
        <w:tc>
          <w:tcPr>
            <w:tcW w:type="dxa" w:w="2492"/>
          </w:tcPr>
          <w:p>
            <w:pPr>
              <w:pStyle w:val="null3"/>
              <w:jc w:val="both"/>
            </w:pPr>
            <w:r>
              <w:rPr>
                <w:rFonts w:ascii="仿宋_GB2312" w:hAnsi="仿宋_GB2312" w:cs="仿宋_GB2312" w:eastAsia="仿宋_GB2312"/>
              </w:rPr>
              <w:t>纯电动商务车的车身长度满足4900mm的基础上，每增加50mm加1分，最高得4分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车身宽度</w:t>
            </w:r>
          </w:p>
        </w:tc>
        <w:tc>
          <w:tcPr>
            <w:tcW w:type="dxa" w:w="2492"/>
          </w:tcPr>
          <w:p>
            <w:pPr>
              <w:pStyle w:val="null3"/>
              <w:jc w:val="both"/>
            </w:pPr>
            <w:r>
              <w:rPr>
                <w:rFonts w:ascii="仿宋_GB2312" w:hAnsi="仿宋_GB2312" w:cs="仿宋_GB2312" w:eastAsia="仿宋_GB2312"/>
              </w:rPr>
              <w:t>纯电动商务车车身宽度在满足1800mm基础上，每增加30mm加1分，最高得4分。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车身高度</w:t>
            </w:r>
          </w:p>
        </w:tc>
        <w:tc>
          <w:tcPr>
            <w:tcW w:type="dxa" w:w="2492"/>
          </w:tcPr>
          <w:p>
            <w:pPr>
              <w:pStyle w:val="null3"/>
              <w:jc w:val="both"/>
            </w:pPr>
            <w:r>
              <w:rPr>
                <w:rFonts w:ascii="仿宋_GB2312" w:hAnsi="仿宋_GB2312" w:cs="仿宋_GB2312" w:eastAsia="仿宋_GB2312"/>
              </w:rPr>
              <w:t>纯电动商务车车身高度在满足1700mm基础上，每增加30mm加1分，最高得3分。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轴距</w:t>
            </w:r>
          </w:p>
        </w:tc>
        <w:tc>
          <w:tcPr>
            <w:tcW w:type="dxa" w:w="2492"/>
          </w:tcPr>
          <w:p>
            <w:pPr>
              <w:pStyle w:val="null3"/>
              <w:jc w:val="both"/>
            </w:pPr>
            <w:r>
              <w:rPr>
                <w:rFonts w:ascii="仿宋_GB2312" w:hAnsi="仿宋_GB2312" w:cs="仿宋_GB2312" w:eastAsia="仿宋_GB2312"/>
              </w:rPr>
              <w:t>纯电动商务车车身轴距在满足2900mm基础上，每增加50mm加1分，最高得4分。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电机总扭矩</w:t>
            </w:r>
          </w:p>
        </w:tc>
        <w:tc>
          <w:tcPr>
            <w:tcW w:type="dxa" w:w="2492"/>
          </w:tcPr>
          <w:p>
            <w:pPr>
              <w:pStyle w:val="null3"/>
              <w:jc w:val="both"/>
            </w:pPr>
            <w:r>
              <w:rPr>
                <w:rFonts w:ascii="仿宋_GB2312" w:hAnsi="仿宋_GB2312" w:cs="仿宋_GB2312" w:eastAsia="仿宋_GB2312"/>
              </w:rPr>
              <w:t>扭矩在满足250N.m基础上，每增加100N.m 加1分，最高得2分。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动力电池容量</w:t>
            </w:r>
          </w:p>
        </w:tc>
        <w:tc>
          <w:tcPr>
            <w:tcW w:type="dxa" w:w="2492"/>
          </w:tcPr>
          <w:p>
            <w:pPr>
              <w:pStyle w:val="null3"/>
              <w:jc w:val="both"/>
            </w:pPr>
            <w:r>
              <w:rPr>
                <w:rFonts w:ascii="仿宋_GB2312" w:hAnsi="仿宋_GB2312" w:cs="仿宋_GB2312" w:eastAsia="仿宋_GB2312"/>
              </w:rPr>
              <w:t>纯电动商务车投标车型动力电池容量大于≥70kwh且&lt;80kwh得2分，≥80kwh且&lt;90kwh得4分，≥90kwh得6分。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百公里电耗</w:t>
            </w:r>
          </w:p>
        </w:tc>
        <w:tc>
          <w:tcPr>
            <w:tcW w:type="dxa" w:w="2492"/>
          </w:tcPr>
          <w:p>
            <w:pPr>
              <w:pStyle w:val="null3"/>
              <w:jc w:val="both"/>
            </w:pPr>
            <w:r>
              <w:rPr>
                <w:rFonts w:ascii="仿宋_GB2312" w:hAnsi="仿宋_GB2312" w:cs="仿宋_GB2312" w:eastAsia="仿宋_GB2312"/>
              </w:rPr>
              <w:t>百公里耗电量≤18kwh且&gt;17kwh得1分；≤17kwh且&gt;16kwh得2分；≤16kwh得3分。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基本配置</w:t>
            </w:r>
          </w:p>
        </w:tc>
        <w:tc>
          <w:tcPr>
            <w:tcW w:type="dxa" w:w="2492"/>
          </w:tcPr>
          <w:p>
            <w:pPr>
              <w:pStyle w:val="null3"/>
              <w:jc w:val="both"/>
            </w:pPr>
            <w:r>
              <w:rPr>
                <w:rFonts w:ascii="仿宋_GB2312" w:hAnsi="仿宋_GB2312" w:cs="仿宋_GB2312" w:eastAsia="仿宋_GB2312"/>
              </w:rPr>
              <w:t>1.配备全速自适应巡航和L2级驾驶辅助系统，得1分 2.配备540°全景影像系统，得1分 3.前、后部驻车雷达，得1分 4.配备前排双气囊、侧气囊，得1分 5.配备前方碰撞预警功能，得1分 6.配备并线辅助和车道居中保持功能，得1分 7.配备主动刹车功能，得1分 8.配备左右电动侧滑门，得1分 9.配备感应式电动后备箱门，得1分 10.配备电动外后视镜（带记忆、加热、倒车自动下翻功能）1分 11.配备前排隔音玻璃和后排隐私玻璃，得1分 12.配备前排座椅加热、通风和后排小桌板，得1分 13.配备车载冰箱，得1分 14.配备车内220V电源和对外供电功能，得1分 15.配备空气质量监测和PM2.5过滤装置，得1分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证书</w:t>
            </w:r>
          </w:p>
        </w:tc>
        <w:tc>
          <w:tcPr>
            <w:tcW w:type="dxa" w:w="2492"/>
          </w:tcPr>
          <w:p>
            <w:pPr>
              <w:pStyle w:val="null3"/>
              <w:jc w:val="both"/>
            </w:pPr>
            <w:r>
              <w:rPr>
                <w:rFonts w:ascii="仿宋_GB2312" w:hAnsi="仿宋_GB2312" w:cs="仿宋_GB2312" w:eastAsia="仿宋_GB2312"/>
              </w:rPr>
              <w:t>生产厂家具有质量管理体系ISO9001认证证书（0.5分）.环境管理体系ISO14001认证证书（0.5分），证书逾期或不提供证书不得分（提供证书扫描件，加盖厂家公章）。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厂家参数确认函</w:t>
            </w:r>
          </w:p>
        </w:tc>
        <w:tc>
          <w:tcPr>
            <w:tcW w:type="dxa" w:w="2492"/>
          </w:tcPr>
          <w:p>
            <w:pPr>
              <w:pStyle w:val="null3"/>
              <w:jc w:val="both"/>
            </w:pPr>
            <w:r>
              <w:rPr>
                <w:rFonts w:ascii="仿宋_GB2312" w:hAnsi="仿宋_GB2312" w:cs="仿宋_GB2312" w:eastAsia="仿宋_GB2312"/>
              </w:rPr>
              <w:t>投标人提供所投车型的厂家参数确认函，包括选装、加装配置（须加盖生产厂家公章）得2分，不提供不得分。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交付时间</w:t>
            </w:r>
          </w:p>
        </w:tc>
        <w:tc>
          <w:tcPr>
            <w:tcW w:type="dxa" w:w="2492"/>
          </w:tcPr>
          <w:p>
            <w:pPr>
              <w:pStyle w:val="null3"/>
              <w:jc w:val="both"/>
            </w:pPr>
            <w:r>
              <w:rPr>
                <w:rFonts w:ascii="仿宋_GB2312" w:hAnsi="仿宋_GB2312" w:cs="仿宋_GB2312" w:eastAsia="仿宋_GB2312"/>
              </w:rPr>
              <w:t>投标人承诺在招标文件要求的交付期（30个工作日）基础上，每提前5个工作日完成交付得1分，最高得3分。 须提供承诺书，加盖投标人公章，不提供不得分。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救援.取送与保养服务</w:t>
            </w:r>
          </w:p>
        </w:tc>
        <w:tc>
          <w:tcPr>
            <w:tcW w:type="dxa" w:w="2492"/>
          </w:tcPr>
          <w:p>
            <w:pPr>
              <w:pStyle w:val="null3"/>
              <w:jc w:val="both"/>
            </w:pPr>
            <w:r>
              <w:rPr>
                <w:rFonts w:ascii="仿宋_GB2312" w:hAnsi="仿宋_GB2312" w:cs="仿宋_GB2312" w:eastAsia="仿宋_GB2312"/>
              </w:rPr>
              <w:t>1.投标人承诺提供车辆终身免费救援、免费取送服务的，得2分； 2.投标人承诺提供免费保养，每提供2次得1分，最高得2分。 须提供以上内容的承诺书，加盖投标人公章，不提供不得分。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整车质保期</w:t>
            </w:r>
          </w:p>
        </w:tc>
        <w:tc>
          <w:tcPr>
            <w:tcW w:type="dxa" w:w="2492"/>
          </w:tcPr>
          <w:p>
            <w:pPr>
              <w:pStyle w:val="null3"/>
              <w:jc w:val="both"/>
            </w:pPr>
            <w:r>
              <w:rPr>
                <w:rFonts w:ascii="仿宋_GB2312" w:hAnsi="仿宋_GB2312" w:cs="仿宋_GB2312" w:eastAsia="仿宋_GB2312"/>
              </w:rPr>
              <w:t>投标人承诺所投车型整车质保期不少于3年得1分，在此基础上每增加1年得0.5分，最高得3分；承诺终身整车质保得5分。质保内容按国家有关“三包”规定执行。 须提供承诺书，加盖厂家公章，不提供不得分。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三电质保期</w:t>
            </w:r>
          </w:p>
        </w:tc>
        <w:tc>
          <w:tcPr>
            <w:tcW w:type="dxa" w:w="2492"/>
          </w:tcPr>
          <w:p>
            <w:pPr>
              <w:pStyle w:val="null3"/>
              <w:jc w:val="both"/>
            </w:pPr>
            <w:r>
              <w:rPr>
                <w:rFonts w:ascii="仿宋_GB2312" w:hAnsi="仿宋_GB2312" w:cs="仿宋_GB2312" w:eastAsia="仿宋_GB2312"/>
              </w:rPr>
              <w:t>投标人承诺所投纯电动轿车“三电系统”（电机控制器、电机、动力电池）质保期不少于8年得1分，“三电系统”限定（年限/里程）终身质保得3分，“三电系统”不限定（年限/里程）终身质保得5分。质保内容按国家有关“三包”规定执行。 须提供承诺书，加盖厂家公章，不提供不得分。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续航里程</w:t>
            </w:r>
          </w:p>
        </w:tc>
        <w:tc>
          <w:tcPr>
            <w:tcW w:type="dxa" w:w="2492"/>
          </w:tcPr>
          <w:p>
            <w:pPr>
              <w:pStyle w:val="null3"/>
              <w:jc w:val="both"/>
            </w:pPr>
            <w:r>
              <w:rPr>
                <w:rFonts w:ascii="仿宋_GB2312" w:hAnsi="仿宋_GB2312" w:cs="仿宋_GB2312" w:eastAsia="仿宋_GB2312"/>
              </w:rPr>
              <w:t>纯电动商务车CLTC工况续航里程在满足400km的基础上，每增加30km加1分，最高得4分。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车身长度</w:t>
            </w:r>
          </w:p>
        </w:tc>
        <w:tc>
          <w:tcPr>
            <w:tcW w:type="dxa" w:w="2492"/>
          </w:tcPr>
          <w:p>
            <w:pPr>
              <w:pStyle w:val="null3"/>
              <w:jc w:val="both"/>
            </w:pPr>
            <w:r>
              <w:rPr>
                <w:rFonts w:ascii="仿宋_GB2312" w:hAnsi="仿宋_GB2312" w:cs="仿宋_GB2312" w:eastAsia="仿宋_GB2312"/>
              </w:rPr>
              <w:t>纯电动商务车的车身长度满足5200mm的基础上，每增加80mm加1分，最高得4分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车身宽度</w:t>
            </w:r>
          </w:p>
        </w:tc>
        <w:tc>
          <w:tcPr>
            <w:tcW w:type="dxa" w:w="2492"/>
          </w:tcPr>
          <w:p>
            <w:pPr>
              <w:pStyle w:val="null3"/>
              <w:jc w:val="both"/>
            </w:pPr>
            <w:r>
              <w:rPr>
                <w:rFonts w:ascii="仿宋_GB2312" w:hAnsi="仿宋_GB2312" w:cs="仿宋_GB2312" w:eastAsia="仿宋_GB2312"/>
              </w:rPr>
              <w:t>纯电动商务车车身宽度在满足1850mm基础上，每增加40mm加1分，最高得4分。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车身高度</w:t>
            </w:r>
          </w:p>
        </w:tc>
        <w:tc>
          <w:tcPr>
            <w:tcW w:type="dxa" w:w="2492"/>
          </w:tcPr>
          <w:p>
            <w:pPr>
              <w:pStyle w:val="null3"/>
              <w:jc w:val="both"/>
            </w:pPr>
            <w:r>
              <w:rPr>
                <w:rFonts w:ascii="仿宋_GB2312" w:hAnsi="仿宋_GB2312" w:cs="仿宋_GB2312" w:eastAsia="仿宋_GB2312"/>
              </w:rPr>
              <w:t>纯电动商务车车身高度在满足1900mm基础上，每增加70mm加1分，最高得3分。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轴距</w:t>
            </w:r>
          </w:p>
        </w:tc>
        <w:tc>
          <w:tcPr>
            <w:tcW w:type="dxa" w:w="2492"/>
          </w:tcPr>
          <w:p>
            <w:pPr>
              <w:pStyle w:val="null3"/>
              <w:jc w:val="both"/>
            </w:pPr>
            <w:r>
              <w:rPr>
                <w:rFonts w:ascii="仿宋_GB2312" w:hAnsi="仿宋_GB2312" w:cs="仿宋_GB2312" w:eastAsia="仿宋_GB2312"/>
              </w:rPr>
              <w:t>纯电动商务车车身轴距在满足3000mm基础上，每增加50mm加1分，最高得4分。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电机总扭矩</w:t>
            </w:r>
          </w:p>
        </w:tc>
        <w:tc>
          <w:tcPr>
            <w:tcW w:type="dxa" w:w="2492"/>
          </w:tcPr>
          <w:p>
            <w:pPr>
              <w:pStyle w:val="null3"/>
              <w:jc w:val="both"/>
            </w:pPr>
            <w:r>
              <w:rPr>
                <w:rFonts w:ascii="仿宋_GB2312" w:hAnsi="仿宋_GB2312" w:cs="仿宋_GB2312" w:eastAsia="仿宋_GB2312"/>
              </w:rPr>
              <w:t>扭矩在满足250N.m基础上，每增加80N.m 加1分，最高得2分。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动力电池容量</w:t>
            </w:r>
          </w:p>
        </w:tc>
        <w:tc>
          <w:tcPr>
            <w:tcW w:type="dxa" w:w="2492"/>
          </w:tcPr>
          <w:p>
            <w:pPr>
              <w:pStyle w:val="null3"/>
              <w:jc w:val="both"/>
            </w:pPr>
            <w:r>
              <w:rPr>
                <w:rFonts w:ascii="仿宋_GB2312" w:hAnsi="仿宋_GB2312" w:cs="仿宋_GB2312" w:eastAsia="仿宋_GB2312"/>
              </w:rPr>
              <w:t>纯电动商务车投标车型动力电池容量大于≥70kwh且&lt;75kwh得2分，≥75kwh且&lt;80kwh得4分，≥80kwh得6分。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百公里电耗</w:t>
            </w:r>
          </w:p>
        </w:tc>
        <w:tc>
          <w:tcPr>
            <w:tcW w:type="dxa" w:w="2492"/>
          </w:tcPr>
          <w:p>
            <w:pPr>
              <w:pStyle w:val="null3"/>
              <w:jc w:val="both"/>
            </w:pPr>
            <w:r>
              <w:rPr>
                <w:rFonts w:ascii="仿宋_GB2312" w:hAnsi="仿宋_GB2312" w:cs="仿宋_GB2312" w:eastAsia="仿宋_GB2312"/>
              </w:rPr>
              <w:t>百公里耗电量≤21kwh且&gt;20kwh得1分；≤20kwh且&gt;19kwh得2分；≤19kwh得3分。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基本配置</w:t>
            </w:r>
          </w:p>
        </w:tc>
        <w:tc>
          <w:tcPr>
            <w:tcW w:type="dxa" w:w="2492"/>
          </w:tcPr>
          <w:p>
            <w:pPr>
              <w:pStyle w:val="null3"/>
              <w:jc w:val="both"/>
            </w:pPr>
            <w:r>
              <w:rPr>
                <w:rFonts w:ascii="仿宋_GB2312" w:hAnsi="仿宋_GB2312" w:cs="仿宋_GB2312" w:eastAsia="仿宋_GB2312"/>
              </w:rPr>
              <w:t>1.座位数在9个的基础上，每增加1个座位得0.5分，最多得4分 2.配备定速巡航功能，得1分 3.配备主/副驾驶座安全气囊，得1分 4.配备主动刹车和车道偏离预警系统，得1分 5.配备自动驻车和上坡辅助功能，得1分 6.配备后驻车雷达和倒车影像功能，得1分 7.配备自动头灯和LED远近光灯，得1分 8.配备外后视镜电动调节、加热功能，得1分 9.配备触控液晶屏和车联网功能，得1分 10.配备电动侧滑门，得1分 11.配备自动空调和后座空调出风口，得1分 12.配备仿皮材质座椅，得1分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证书</w:t>
            </w:r>
          </w:p>
        </w:tc>
        <w:tc>
          <w:tcPr>
            <w:tcW w:type="dxa" w:w="2492"/>
          </w:tcPr>
          <w:p>
            <w:pPr>
              <w:pStyle w:val="null3"/>
              <w:jc w:val="both"/>
            </w:pPr>
            <w:r>
              <w:rPr>
                <w:rFonts w:ascii="仿宋_GB2312" w:hAnsi="仿宋_GB2312" w:cs="仿宋_GB2312" w:eastAsia="仿宋_GB2312"/>
              </w:rPr>
              <w:t>生产厂家具有质量管理体系ISO9001认证证书（0.5分）.环境管理体系ISO14001认证证书（0.5分），证书逾期或不提供证书不得分（提供证书扫描件，加盖厂家公章）。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厂家参数确认函</w:t>
            </w:r>
          </w:p>
        </w:tc>
        <w:tc>
          <w:tcPr>
            <w:tcW w:type="dxa" w:w="2492"/>
          </w:tcPr>
          <w:p>
            <w:pPr>
              <w:pStyle w:val="null3"/>
              <w:jc w:val="both"/>
            </w:pPr>
            <w:r>
              <w:rPr>
                <w:rFonts w:ascii="仿宋_GB2312" w:hAnsi="仿宋_GB2312" w:cs="仿宋_GB2312" w:eastAsia="仿宋_GB2312"/>
              </w:rPr>
              <w:t>投标人提供所投车型的厂家参数确认函，包括选装、加装配置（须加盖生产厂家公章）得2分，不提供不得分。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交付时间</w:t>
            </w:r>
          </w:p>
        </w:tc>
        <w:tc>
          <w:tcPr>
            <w:tcW w:type="dxa" w:w="2492"/>
          </w:tcPr>
          <w:p>
            <w:pPr>
              <w:pStyle w:val="null3"/>
              <w:jc w:val="both"/>
            </w:pPr>
            <w:r>
              <w:rPr>
                <w:rFonts w:ascii="仿宋_GB2312" w:hAnsi="仿宋_GB2312" w:cs="仿宋_GB2312" w:eastAsia="仿宋_GB2312"/>
              </w:rPr>
              <w:t>投标人承诺在招标文件要求的交付期（30个工作日）基础上，每提前5个工作日完成交付得1分，最高得3分。 须提供承诺书，加盖投标人公章，不提供不得分。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救援.取送与保养服务</w:t>
            </w:r>
          </w:p>
        </w:tc>
        <w:tc>
          <w:tcPr>
            <w:tcW w:type="dxa" w:w="2492"/>
          </w:tcPr>
          <w:p>
            <w:pPr>
              <w:pStyle w:val="null3"/>
              <w:jc w:val="both"/>
            </w:pPr>
            <w:r>
              <w:rPr>
                <w:rFonts w:ascii="仿宋_GB2312" w:hAnsi="仿宋_GB2312" w:cs="仿宋_GB2312" w:eastAsia="仿宋_GB2312"/>
              </w:rPr>
              <w:t>1.投标人承诺提供车辆终身免费救援、免费取送服务的，得2分； 2.投标人承诺提供免费保养，每提供2次得1分，最高得2分。 须提供以上内容的承诺书，加盖投标人公章，不提供不得分。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整车质保期</w:t>
            </w:r>
          </w:p>
        </w:tc>
        <w:tc>
          <w:tcPr>
            <w:tcW w:type="dxa" w:w="2492"/>
          </w:tcPr>
          <w:p>
            <w:pPr>
              <w:pStyle w:val="null3"/>
              <w:jc w:val="both"/>
            </w:pPr>
            <w:r>
              <w:rPr>
                <w:rFonts w:ascii="仿宋_GB2312" w:hAnsi="仿宋_GB2312" w:cs="仿宋_GB2312" w:eastAsia="仿宋_GB2312"/>
              </w:rPr>
              <w:t>投标人承诺所投车型整车质保期不少于3年得1分，在此基础上每增加1年得0.5分，最高得3分；承诺终身整车质保得5分。质保内容按国家有关“三包”规定执行。 须提供承诺书，加盖厂家公章，不提供不得分。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三电质保期</w:t>
            </w:r>
          </w:p>
        </w:tc>
        <w:tc>
          <w:tcPr>
            <w:tcW w:type="dxa" w:w="2492"/>
          </w:tcPr>
          <w:p>
            <w:pPr>
              <w:pStyle w:val="null3"/>
              <w:jc w:val="both"/>
            </w:pPr>
            <w:r>
              <w:rPr>
                <w:rFonts w:ascii="仿宋_GB2312" w:hAnsi="仿宋_GB2312" w:cs="仿宋_GB2312" w:eastAsia="仿宋_GB2312"/>
              </w:rPr>
              <w:t>投标人承诺所投纯电动轿车“三电系统”（电机控制器、电机、动力电池）质保期不少于8年得1分，“三电系统”限定（年限/里程）终身质保得3分，“三电系统”不限定（年限/里程）终身质保得5分。质保内容按国家有关“三包”规定执行。 须提供承诺书，加盖厂家公章，不提供不得分。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车辆外形尺寸长度</w:t>
            </w:r>
          </w:p>
        </w:tc>
        <w:tc>
          <w:tcPr>
            <w:tcW w:type="dxa" w:w="2492"/>
          </w:tcPr>
          <w:p>
            <w:pPr>
              <w:pStyle w:val="null3"/>
              <w:jc w:val="both"/>
            </w:pPr>
            <w:r>
              <w:rPr>
                <w:rFonts w:ascii="仿宋_GB2312" w:hAnsi="仿宋_GB2312" w:cs="仿宋_GB2312" w:eastAsia="仿宋_GB2312"/>
              </w:rPr>
              <w:t>投标车型车身长度在满足≥4800mm基础上，每增加50mm加1分，最高得5分。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车辆外形尺寸宽度</w:t>
            </w:r>
          </w:p>
        </w:tc>
        <w:tc>
          <w:tcPr>
            <w:tcW w:type="dxa" w:w="2492"/>
          </w:tcPr>
          <w:p>
            <w:pPr>
              <w:pStyle w:val="null3"/>
              <w:jc w:val="both"/>
            </w:pPr>
            <w:r>
              <w:rPr>
                <w:rFonts w:ascii="仿宋_GB2312" w:hAnsi="仿宋_GB2312" w:cs="仿宋_GB2312" w:eastAsia="仿宋_GB2312"/>
              </w:rPr>
              <w:t>投标车型车身宽度在满足≥1800mm基础上，每增加40mm加1分，最高得3分。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车辆外形尺寸高度</w:t>
            </w:r>
          </w:p>
        </w:tc>
        <w:tc>
          <w:tcPr>
            <w:tcW w:type="dxa" w:w="2492"/>
          </w:tcPr>
          <w:p>
            <w:pPr>
              <w:pStyle w:val="null3"/>
              <w:jc w:val="both"/>
            </w:pPr>
            <w:r>
              <w:rPr>
                <w:rFonts w:ascii="仿宋_GB2312" w:hAnsi="仿宋_GB2312" w:cs="仿宋_GB2312" w:eastAsia="仿宋_GB2312"/>
              </w:rPr>
              <w:t>投标车型车身高度在满足≥1800基础上，每增加100mm加1分，最高得4分。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轴距</w:t>
            </w:r>
          </w:p>
        </w:tc>
        <w:tc>
          <w:tcPr>
            <w:tcW w:type="dxa" w:w="2492"/>
          </w:tcPr>
          <w:p>
            <w:pPr>
              <w:pStyle w:val="null3"/>
              <w:jc w:val="both"/>
            </w:pPr>
            <w:r>
              <w:rPr>
                <w:rFonts w:ascii="仿宋_GB2312" w:hAnsi="仿宋_GB2312" w:cs="仿宋_GB2312" w:eastAsia="仿宋_GB2312"/>
              </w:rPr>
              <w:t>投标车型车身轴距在满足≥2800mm基础上，每增加30mm加1分，最高得4分。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最大功率</w:t>
            </w:r>
          </w:p>
        </w:tc>
        <w:tc>
          <w:tcPr>
            <w:tcW w:type="dxa" w:w="2492"/>
          </w:tcPr>
          <w:p>
            <w:pPr>
              <w:pStyle w:val="null3"/>
              <w:jc w:val="both"/>
            </w:pPr>
            <w:r>
              <w:rPr>
                <w:rFonts w:ascii="仿宋_GB2312" w:hAnsi="仿宋_GB2312" w:cs="仿宋_GB2312" w:eastAsia="仿宋_GB2312"/>
              </w:rPr>
              <w:t>投标车型发动机最大功率在满足200kw基础上，每增加10kw加1分，最高得4分。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最大扭矩</w:t>
            </w:r>
          </w:p>
        </w:tc>
        <w:tc>
          <w:tcPr>
            <w:tcW w:type="dxa" w:w="2492"/>
          </w:tcPr>
          <w:p>
            <w:pPr>
              <w:pStyle w:val="null3"/>
              <w:jc w:val="both"/>
            </w:pPr>
            <w:r>
              <w:rPr>
                <w:rFonts w:ascii="仿宋_GB2312" w:hAnsi="仿宋_GB2312" w:cs="仿宋_GB2312" w:eastAsia="仿宋_GB2312"/>
              </w:rPr>
              <w:t>投标车型最大扭矩在满足300N.m基础上，每增加40N.m加1分，最高得4分。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技术指标响应性</w:t>
            </w:r>
          </w:p>
        </w:tc>
        <w:tc>
          <w:tcPr>
            <w:tcW w:type="dxa" w:w="2492"/>
          </w:tcPr>
          <w:p>
            <w:pPr>
              <w:pStyle w:val="null3"/>
              <w:jc w:val="both"/>
            </w:pPr>
            <w:r>
              <w:rPr>
                <w:rFonts w:ascii="仿宋_GB2312" w:hAnsi="仿宋_GB2312" w:cs="仿宋_GB2312" w:eastAsia="仿宋_GB2312"/>
              </w:rPr>
              <w:t>所投车辆技术参数完全满足招标文件第三章采购需求中的“二、技术和服务要求”得6分； 每有一项非“★”条款不满足要求的，扣0.5分；扣完为止。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基本配置</w:t>
            </w:r>
          </w:p>
        </w:tc>
        <w:tc>
          <w:tcPr>
            <w:tcW w:type="dxa" w:w="2492"/>
          </w:tcPr>
          <w:p>
            <w:pPr>
              <w:pStyle w:val="null3"/>
              <w:jc w:val="both"/>
            </w:pPr>
            <w:r>
              <w:rPr>
                <w:rFonts w:ascii="仿宋_GB2312" w:hAnsi="仿宋_GB2312" w:cs="仿宋_GB2312" w:eastAsia="仿宋_GB2312"/>
              </w:rPr>
              <w:t>1.所投车型车身结构为5门SUV乘用车，得1分 2.配备油电混动和L2级驾驶辅助系统，得1分 3.配备主动刹车系统和疲劳驾驶提示，得1分 4.配备前、后方碰撞预警和低速行车警告系统，得1分 5.配备车道居中保持和并线辅助功能，得1分 6.配备道路交通标识识别和倒车车侧预警系统，得1分 7.配备全液晶仪表盘和HUD抬头数字显示功能，得1分 8.配备透明底盘和540度影像功能，得1分 9.配备中央差速器锁止和后桥差速锁功能，得1分 10.配备智能四驱和坦克转弯功能，得1分 11.配备前后排侧窗多层隔音玻璃和车窗防夹手功能，得1分 12.配备自动空调和温度分区控制功能，得1分 13.配备车载空气净化器和车内PM2.5过滤器，得1分 14.加装带爬梯车顶行李架，得1分 15.加装前后防撞保险杠，得1分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证书</w:t>
            </w:r>
          </w:p>
        </w:tc>
        <w:tc>
          <w:tcPr>
            <w:tcW w:type="dxa" w:w="2492"/>
          </w:tcPr>
          <w:p>
            <w:pPr>
              <w:pStyle w:val="null3"/>
              <w:jc w:val="both"/>
            </w:pPr>
            <w:r>
              <w:rPr>
                <w:rFonts w:ascii="仿宋_GB2312" w:hAnsi="仿宋_GB2312" w:cs="仿宋_GB2312" w:eastAsia="仿宋_GB2312"/>
              </w:rPr>
              <w:t>所投车型特种车辆改装厂家具有质量管理体系ISO9001认证证书（0.5分）、环境管理体系ISO14001认证证书（0.5分），证书逾期或不提供证书不得分（提供证书扫描件，加盖厂家公章）。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交付时间</w:t>
            </w:r>
          </w:p>
        </w:tc>
        <w:tc>
          <w:tcPr>
            <w:tcW w:type="dxa" w:w="2492"/>
          </w:tcPr>
          <w:p>
            <w:pPr>
              <w:pStyle w:val="null3"/>
              <w:jc w:val="both"/>
            </w:pPr>
            <w:r>
              <w:rPr>
                <w:rFonts w:ascii="仿宋_GB2312" w:hAnsi="仿宋_GB2312" w:cs="仿宋_GB2312" w:eastAsia="仿宋_GB2312"/>
              </w:rPr>
              <w:t>投标人承诺在招标文件要求的交付期（45个工作日）基础上，每提前5个工作日完成交付得1分，最高得3分。 须提供承诺书，加盖投标人公章，不提供不得分。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救援、取送与保养服务</w:t>
            </w:r>
          </w:p>
        </w:tc>
        <w:tc>
          <w:tcPr>
            <w:tcW w:type="dxa" w:w="2492"/>
          </w:tcPr>
          <w:p>
            <w:pPr>
              <w:pStyle w:val="null3"/>
              <w:jc w:val="both"/>
            </w:pPr>
            <w:r>
              <w:rPr>
                <w:rFonts w:ascii="仿宋_GB2312" w:hAnsi="仿宋_GB2312" w:cs="仿宋_GB2312" w:eastAsia="仿宋_GB2312"/>
              </w:rPr>
              <w:t>1.投标人承诺提供车辆终身免费救援.免费取送服务的，得1分； 2.投标人承诺提供免费保养，每提供1次得0.5分，最高得1分； 须提供以上内容的承诺书，加盖投标人公章，不提供不得分。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整车质保期</w:t>
            </w:r>
          </w:p>
        </w:tc>
        <w:tc>
          <w:tcPr>
            <w:tcW w:type="dxa" w:w="2492"/>
          </w:tcPr>
          <w:p>
            <w:pPr>
              <w:pStyle w:val="null3"/>
              <w:jc w:val="both"/>
            </w:pPr>
            <w:r>
              <w:rPr>
                <w:rFonts w:ascii="仿宋_GB2312" w:hAnsi="仿宋_GB2312" w:cs="仿宋_GB2312" w:eastAsia="仿宋_GB2312"/>
              </w:rPr>
              <w:t>投标人承诺整车质保期不少于3年得1分，在此基础上每多1年加0.5分，最高得3分。质保内容按国家有关“三包”规定执行。须提供以上内容的承诺书，加盖投标人公章，不提供不得分。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发动机变速箱质保期</w:t>
            </w:r>
          </w:p>
        </w:tc>
        <w:tc>
          <w:tcPr>
            <w:tcW w:type="dxa" w:w="2492"/>
          </w:tcPr>
          <w:p>
            <w:pPr>
              <w:pStyle w:val="null3"/>
              <w:jc w:val="both"/>
            </w:pPr>
            <w:r>
              <w:rPr>
                <w:rFonts w:ascii="仿宋_GB2312" w:hAnsi="仿宋_GB2312" w:cs="仿宋_GB2312" w:eastAsia="仿宋_GB2312"/>
              </w:rPr>
              <w:t>投标人所投车型的发动机、变速箱质保期不少于8年得1分，在此基础上每多1年加0.5分，最高得3分。须提供承诺书，加盖投标人公章，不提供不得分。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车辆改装设计方案</w:t>
            </w:r>
          </w:p>
        </w:tc>
        <w:tc>
          <w:tcPr>
            <w:tcW w:type="dxa" w:w="2492"/>
          </w:tcPr>
          <w:p>
            <w:pPr>
              <w:pStyle w:val="null3"/>
              <w:jc w:val="both"/>
            </w:pPr>
            <w:r>
              <w:rPr>
                <w:rFonts w:ascii="仿宋_GB2312" w:hAnsi="仿宋_GB2312" w:cs="仿宋_GB2312" w:eastAsia="仿宋_GB2312"/>
              </w:rPr>
              <w:t>投标人应针对本项目编制车辆改装方案，投标人提供的车辆改装方案应包括但不限于：①车辆改装后的整体结构图；②平面布置设计尺量图；③系统整体供电原理框图及连线图；④详细设备配置清单及文本描述；⑤车辆整体载荷方案。不少于上述5项内容，每项内容须按标题及顺序编写。 1.方案涵盖上述所有内容的得5分；2.方案每缺少一项上述内容，扣1分；3.方案每存在一项缺陷的，扣0.5分，扣完为止。 注明：内容存在缺陷是指项目名称错误、不适用于本项目需求、方案内容仅有框架或标题等任意一种情形。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厂家参数确认函</w:t>
            </w:r>
          </w:p>
        </w:tc>
        <w:tc>
          <w:tcPr>
            <w:tcW w:type="dxa" w:w="2492"/>
          </w:tcPr>
          <w:p>
            <w:pPr>
              <w:pStyle w:val="null3"/>
              <w:jc w:val="both"/>
            </w:pPr>
            <w:r>
              <w:rPr>
                <w:rFonts w:ascii="仿宋_GB2312" w:hAnsi="仿宋_GB2312" w:cs="仿宋_GB2312" w:eastAsia="仿宋_GB2312"/>
              </w:rPr>
              <w:t>投标人提供所投车型的改装企业出具的参数确认函，须盖改装企业公章，加盖投标人公章，得3分，不提供不得分。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投标文件格式要求</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HNGP2025-045R</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2025年度公务用车采购（一般公共预算资金）(二次)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A02030503-小型客车</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HNGP2025-045R</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2025年度公务用车采购（一般公共预算资金）(二次)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A02030599-其他乘用车</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HNGP2025-045R</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2025年度公务用车采购（一般公共预算资金）(二次)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A02030503-小型客车</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ind w:firstLine="960"/>
        <w:jc w:val="left"/>
      </w:pPr>
      <w:r>
        <w:rPr>
          <w:rFonts w:ascii="仿宋_GB2312" w:hAnsi="仿宋_GB2312" w:cs="仿宋_GB2312" w:eastAsia="仿宋_GB2312"/>
        </w:rPr>
        <w:t>详见附件：投标文件格式要求</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