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投标人控股股东名称、控股公司的名称和存在管理、被管理关系的单位名称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致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 xml:space="preserve"> 采购人或代理机构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：</w:t>
      </w:r>
    </w:p>
    <w:p w14:paraId="31F461FF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与我方的法定代表人（单位负责人）为同一人的企业如下：</w:t>
      </w:r>
    </w:p>
    <w:p w14:paraId="317D782B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632DBB77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我方的控股股东如下：</w:t>
      </w:r>
    </w:p>
    <w:p w14:paraId="237425CD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23F55F0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我方直接控股的企业如下：</w:t>
      </w:r>
    </w:p>
    <w:p w14:paraId="2182F16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3C07DB45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与我方存在管理、被管理关系的单位名称如下：</w:t>
      </w:r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我公司承诺：单位负责人为同一人或者存在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>直接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控股、管理关系的不同单位，未同时参加同一标段投标或者未划分标段的同一招标项目投标。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3D157C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72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2025-07-19T14:53:59Z</dcterms:created>
  <dc:creator>P15V</dc:creator>
  <cp:lastModifiedBy>P15V</cp:lastModifiedBy>
  <dcterms:modified xsi:type="dcterms:W3CDTF">2025-07-19T14:54:24Z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8318C937682E4015B86521210175CFA6_12</vt:lpwstr>
  </property>
</Properties>
</file>