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0"/>
        <w:rPr>
          <w:rFonts w:hint="eastAsia" w:ascii="宋体" w:hAnsi="宋体" w:eastAsia="宋体" w:cs="宋体"/>
          <w:color w:val="auto"/>
          <w:sz w:val="28"/>
          <w:szCs w:val="28"/>
          <w:highlight w:val="none"/>
        </w:rPr>
      </w:pPr>
      <w:bookmarkStart w:id="0" w:name="_Toc2526"/>
      <w:bookmarkStart w:id="1" w:name="_Toc7197"/>
      <w:bookmarkStart w:id="2" w:name="_Toc23018"/>
      <w:bookmarkStart w:id="33" w:name="_GoBack"/>
      <w:r>
        <w:rPr>
          <w:rFonts w:hint="eastAsia" w:ascii="宋体" w:hAnsi="宋体" w:eastAsia="宋体" w:cs="宋体"/>
          <w:b/>
          <w:color w:val="auto"/>
          <w:sz w:val="28"/>
          <w:szCs w:val="28"/>
          <w:highlight w:val="none"/>
        </w:rPr>
        <w:t>采购需求</w:t>
      </w:r>
      <w:bookmarkEnd w:id="0"/>
      <w:bookmarkEnd w:id="1"/>
      <w:bookmarkEnd w:id="2"/>
    </w:p>
    <w:p>
      <w:pPr>
        <w:outlineLvl w:val="9"/>
        <w:rPr>
          <w:rFonts w:hint="eastAsia" w:ascii="宋体" w:hAnsi="宋体" w:eastAsia="宋体" w:cs="宋体"/>
          <w:color w:val="auto"/>
          <w:sz w:val="28"/>
          <w:szCs w:val="28"/>
          <w:highlight w:val="none"/>
        </w:rPr>
      </w:pPr>
    </w:p>
    <w:p>
      <w:pPr>
        <w:spacing w:before="78" w:line="220" w:lineRule="auto"/>
        <w:outlineLvl w:val="9"/>
        <w:rPr>
          <w:rFonts w:hint="eastAsia" w:ascii="宋体" w:hAnsi="宋体" w:eastAsia="宋体" w:cs="宋体"/>
          <w:color w:val="auto"/>
          <w:sz w:val="24"/>
          <w:szCs w:val="24"/>
          <w:highlight w:val="none"/>
        </w:rPr>
      </w:pPr>
      <w:bookmarkStart w:id="3" w:name="_Toc9918"/>
      <w:r>
        <w:rPr>
          <w:rFonts w:hint="eastAsia" w:ascii="宋体" w:hAnsi="宋体" w:eastAsia="宋体" w:cs="宋体"/>
          <w:b/>
          <w:bCs/>
          <w:color w:val="auto"/>
          <w:spacing w:val="-7"/>
          <w:sz w:val="24"/>
          <w:szCs w:val="24"/>
          <w:highlight w:val="none"/>
        </w:rPr>
        <w:t>前提：</w:t>
      </w:r>
    </w:p>
    <w:p>
      <w:pPr>
        <w:spacing w:line="261" w:lineRule="auto"/>
        <w:outlineLvl w:val="9"/>
        <w:rPr>
          <w:rFonts w:hint="eastAsia" w:ascii="宋体" w:hAnsi="宋体" w:eastAsia="宋体" w:cs="宋体"/>
          <w:color w:val="auto"/>
          <w:sz w:val="24"/>
          <w:szCs w:val="24"/>
          <w:highlight w:val="none"/>
        </w:rPr>
      </w:pPr>
    </w:p>
    <w:p>
      <w:pPr>
        <w:spacing w:before="78" w:line="313" w:lineRule="auto"/>
        <w:ind w:right="42"/>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9"/>
          <w:sz w:val="24"/>
          <w:szCs w:val="24"/>
          <w:highlight w:val="none"/>
        </w:rPr>
        <w:t>1</w:t>
      </w:r>
      <w:r>
        <w:rPr>
          <w:rFonts w:hint="eastAsia" w:ascii="宋体" w:hAnsi="宋体" w:eastAsia="宋体" w:cs="宋体"/>
          <w:b/>
          <w:bCs/>
          <w:color w:val="auto"/>
          <w:spacing w:val="-9"/>
          <w:sz w:val="24"/>
          <w:szCs w:val="24"/>
          <w:highlight w:val="none"/>
          <w:lang w:eastAsia="zh-CN"/>
        </w:rPr>
        <w:t>、</w:t>
      </w:r>
      <w:r>
        <w:rPr>
          <w:rFonts w:hint="eastAsia" w:ascii="宋体" w:hAnsi="宋体" w:eastAsia="宋体" w:cs="宋体"/>
          <w:b/>
          <w:bCs/>
          <w:color w:val="auto"/>
          <w:spacing w:val="-9"/>
          <w:sz w:val="24"/>
          <w:szCs w:val="24"/>
          <w:highlight w:val="none"/>
        </w:rPr>
        <w:t>本章中标注“★</w:t>
      </w:r>
      <w:r>
        <w:rPr>
          <w:rFonts w:hint="eastAsia" w:ascii="宋体" w:hAnsi="宋体" w:eastAsia="宋体" w:cs="宋体"/>
          <w:color w:val="auto"/>
          <w:spacing w:val="-88"/>
          <w:sz w:val="24"/>
          <w:szCs w:val="24"/>
          <w:highlight w:val="none"/>
        </w:rPr>
        <w:t xml:space="preserve"> </w:t>
      </w:r>
      <w:r>
        <w:rPr>
          <w:rFonts w:hint="eastAsia" w:ascii="宋体" w:hAnsi="宋体" w:eastAsia="宋体" w:cs="宋体"/>
          <w:b/>
          <w:bCs/>
          <w:color w:val="auto"/>
          <w:spacing w:val="-9"/>
          <w:sz w:val="24"/>
          <w:szCs w:val="24"/>
          <w:highlight w:val="none"/>
        </w:rPr>
        <w:t>”的条款为本项目</w:t>
      </w:r>
      <w:r>
        <w:rPr>
          <w:rFonts w:hint="eastAsia" w:ascii="宋体" w:hAnsi="宋体" w:eastAsia="宋体" w:cs="宋体"/>
          <w:b/>
          <w:bCs/>
          <w:color w:val="auto"/>
          <w:spacing w:val="-9"/>
          <w:sz w:val="24"/>
          <w:szCs w:val="24"/>
          <w:highlight w:val="none"/>
          <w:lang w:val="en-US" w:eastAsia="zh-CN"/>
        </w:rPr>
        <w:t>不允许偏离</w:t>
      </w:r>
      <w:r>
        <w:rPr>
          <w:rFonts w:hint="eastAsia" w:ascii="宋体" w:hAnsi="宋体" w:eastAsia="宋体" w:cs="宋体"/>
          <w:b/>
          <w:bCs/>
          <w:color w:val="auto"/>
          <w:spacing w:val="-9"/>
          <w:sz w:val="24"/>
          <w:szCs w:val="24"/>
          <w:highlight w:val="none"/>
        </w:rPr>
        <w:t>的实质性条款，如投标人不满</w:t>
      </w:r>
      <w:r>
        <w:rPr>
          <w:rFonts w:hint="eastAsia" w:ascii="宋体" w:hAnsi="宋体" w:eastAsia="宋体" w:cs="宋体"/>
          <w:b/>
          <w:bCs/>
          <w:color w:val="auto"/>
          <w:spacing w:val="-10"/>
          <w:sz w:val="24"/>
          <w:szCs w:val="24"/>
          <w:highlight w:val="none"/>
        </w:rPr>
        <w:t>足的，</w:t>
      </w:r>
      <w:r>
        <w:rPr>
          <w:rFonts w:hint="eastAsia" w:ascii="宋体" w:hAnsi="宋体" w:eastAsia="宋体" w:cs="宋体"/>
          <w:color w:val="auto"/>
          <w:spacing w:val="-52"/>
          <w:sz w:val="24"/>
          <w:szCs w:val="24"/>
          <w:highlight w:val="none"/>
        </w:rPr>
        <w:t xml:space="preserve"> </w:t>
      </w:r>
      <w:r>
        <w:rPr>
          <w:rFonts w:hint="eastAsia" w:ascii="宋体" w:hAnsi="宋体" w:eastAsia="宋体" w:cs="宋体"/>
          <w:b/>
          <w:bCs/>
          <w:color w:val="auto"/>
          <w:spacing w:val="-10"/>
          <w:sz w:val="24"/>
          <w:szCs w:val="24"/>
          <w:highlight w:val="none"/>
        </w:rPr>
        <w:t>将</w:t>
      </w:r>
      <w:r>
        <w:rPr>
          <w:rFonts w:hint="eastAsia" w:ascii="宋体" w:hAnsi="宋体" w:eastAsia="宋体" w:cs="宋体"/>
          <w:b/>
          <w:bCs/>
          <w:color w:val="auto"/>
          <w:sz w:val="24"/>
          <w:szCs w:val="24"/>
          <w:highlight w:val="none"/>
        </w:rPr>
        <w:t>按照无效投标处理；标注“▲</w:t>
      </w:r>
      <w:r>
        <w:rPr>
          <w:rFonts w:hint="eastAsia" w:ascii="宋体" w:hAnsi="宋体" w:eastAsia="宋体" w:cs="宋体"/>
          <w:color w:val="auto"/>
          <w:spacing w:val="-75"/>
          <w:sz w:val="24"/>
          <w:szCs w:val="24"/>
          <w:highlight w:val="none"/>
        </w:rPr>
        <w:t xml:space="preserve"> </w:t>
      </w:r>
      <w:r>
        <w:rPr>
          <w:rFonts w:hint="eastAsia" w:ascii="宋体" w:hAnsi="宋体" w:eastAsia="宋体" w:cs="宋体"/>
          <w:b/>
          <w:bCs/>
          <w:color w:val="auto"/>
          <w:sz w:val="24"/>
          <w:szCs w:val="24"/>
          <w:highlight w:val="none"/>
        </w:rPr>
        <w:t>”的条款为本项目的重要条款，若投标人不满足</w:t>
      </w:r>
      <w:r>
        <w:rPr>
          <w:rFonts w:hint="eastAsia" w:ascii="宋体" w:hAnsi="宋体" w:eastAsia="宋体" w:cs="宋体"/>
          <w:b/>
          <w:bCs/>
          <w:color w:val="auto"/>
          <w:spacing w:val="-3"/>
          <w:sz w:val="24"/>
          <w:szCs w:val="24"/>
          <w:highlight w:val="none"/>
        </w:rPr>
        <w:t>的，将在详细评审中加重扣分。</w:t>
      </w:r>
    </w:p>
    <w:p>
      <w:pPr>
        <w:spacing w:line="263" w:lineRule="auto"/>
        <w:outlineLvl w:val="9"/>
        <w:rPr>
          <w:rFonts w:hint="eastAsia" w:ascii="宋体" w:hAnsi="宋体" w:eastAsia="宋体" w:cs="宋体"/>
          <w:color w:val="auto"/>
          <w:sz w:val="24"/>
          <w:szCs w:val="24"/>
          <w:highlight w:val="none"/>
        </w:rPr>
      </w:pPr>
    </w:p>
    <w:p>
      <w:pPr>
        <w:spacing w:before="78" w:line="290" w:lineRule="auto"/>
        <w:ind w:right="42"/>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8"/>
          <w:sz w:val="24"/>
          <w:szCs w:val="24"/>
          <w:highlight w:val="none"/>
        </w:rPr>
        <w:t>2</w:t>
      </w:r>
      <w:r>
        <w:rPr>
          <w:rFonts w:hint="eastAsia" w:ascii="宋体" w:hAnsi="宋体" w:eastAsia="宋体" w:cs="宋体"/>
          <w:b/>
          <w:bCs/>
          <w:color w:val="auto"/>
          <w:spacing w:val="-8"/>
          <w:sz w:val="24"/>
          <w:szCs w:val="24"/>
          <w:highlight w:val="none"/>
          <w:lang w:eastAsia="zh-CN"/>
        </w:rPr>
        <w:t>、</w:t>
      </w:r>
      <w:r>
        <w:rPr>
          <w:rFonts w:hint="eastAsia" w:ascii="宋体" w:hAnsi="宋体" w:eastAsia="宋体" w:cs="宋体"/>
          <w:b/>
          <w:bCs/>
          <w:color w:val="auto"/>
          <w:spacing w:val="-8"/>
          <w:sz w:val="24"/>
          <w:szCs w:val="24"/>
          <w:highlight w:val="none"/>
        </w:rPr>
        <w:t>标注“★</w:t>
      </w:r>
      <w:r>
        <w:rPr>
          <w:rFonts w:hint="eastAsia" w:ascii="宋体" w:hAnsi="宋体" w:eastAsia="宋体" w:cs="宋体"/>
          <w:color w:val="auto"/>
          <w:spacing w:val="-80"/>
          <w:sz w:val="24"/>
          <w:szCs w:val="24"/>
          <w:highlight w:val="none"/>
        </w:rPr>
        <w:t xml:space="preserve"> </w:t>
      </w:r>
      <w:r>
        <w:rPr>
          <w:rFonts w:hint="eastAsia" w:ascii="宋体" w:hAnsi="宋体" w:eastAsia="宋体" w:cs="宋体"/>
          <w:b/>
          <w:bCs/>
          <w:color w:val="auto"/>
          <w:spacing w:val="-8"/>
          <w:sz w:val="24"/>
          <w:szCs w:val="24"/>
          <w:highlight w:val="none"/>
        </w:rPr>
        <w:t>”、“▲</w:t>
      </w:r>
      <w:r>
        <w:rPr>
          <w:rFonts w:hint="eastAsia" w:ascii="宋体" w:hAnsi="宋体" w:eastAsia="宋体" w:cs="宋体"/>
          <w:color w:val="auto"/>
          <w:spacing w:val="-83"/>
          <w:sz w:val="24"/>
          <w:szCs w:val="24"/>
          <w:highlight w:val="none"/>
        </w:rPr>
        <w:t xml:space="preserve"> </w:t>
      </w:r>
      <w:r>
        <w:rPr>
          <w:rFonts w:hint="eastAsia" w:ascii="宋体" w:hAnsi="宋体" w:eastAsia="宋体" w:cs="宋体"/>
          <w:b/>
          <w:bCs/>
          <w:color w:val="auto"/>
          <w:spacing w:val="-8"/>
          <w:sz w:val="24"/>
          <w:szCs w:val="24"/>
          <w:highlight w:val="none"/>
        </w:rPr>
        <w:t>”的技术条款须提供技术支持证明材料，否则视为负偏离。技术支持资料</w:t>
      </w:r>
      <w:r>
        <w:rPr>
          <w:rFonts w:hint="eastAsia" w:ascii="宋体" w:hAnsi="宋体" w:eastAsia="宋体" w:cs="宋体"/>
          <w:b/>
          <w:bCs/>
          <w:color w:val="auto"/>
          <w:spacing w:val="-3"/>
          <w:sz w:val="24"/>
          <w:szCs w:val="24"/>
          <w:highlight w:val="none"/>
        </w:rPr>
        <w:t>包括以下任意一种形式：</w:t>
      </w:r>
    </w:p>
    <w:p>
      <w:pPr>
        <w:spacing w:before="189" w:line="218"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w:t>
      </w:r>
      <w:r>
        <w:rPr>
          <w:rFonts w:hint="eastAsia" w:ascii="宋体" w:hAnsi="宋体" w:eastAsia="宋体" w:cs="宋体"/>
          <w:b/>
          <w:bCs/>
          <w:color w:val="auto"/>
          <w:spacing w:val="-3"/>
          <w:sz w:val="24"/>
          <w:szCs w:val="24"/>
          <w:highlight w:val="none"/>
          <w:lang w:val="en-US" w:eastAsia="zh-CN"/>
        </w:rPr>
        <w:t>1</w:t>
      </w:r>
      <w:r>
        <w:rPr>
          <w:rFonts w:hint="eastAsia" w:ascii="宋体" w:hAnsi="宋体" w:eastAsia="宋体" w:cs="宋体"/>
          <w:b/>
          <w:bCs/>
          <w:color w:val="auto"/>
          <w:spacing w:val="-3"/>
          <w:sz w:val="24"/>
          <w:szCs w:val="24"/>
          <w:highlight w:val="none"/>
        </w:rPr>
        <w:t>）国家认可的第三方检测机构出具的检测报告；</w:t>
      </w:r>
    </w:p>
    <w:p>
      <w:pPr>
        <w:spacing w:before="186"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3"/>
          <w:sz w:val="24"/>
          <w:szCs w:val="24"/>
          <w:highlight w:val="none"/>
        </w:rPr>
        <w:t>（</w:t>
      </w:r>
      <w:r>
        <w:rPr>
          <w:rFonts w:hint="eastAsia" w:ascii="宋体" w:hAnsi="宋体" w:eastAsia="宋体" w:cs="宋体"/>
          <w:b/>
          <w:bCs/>
          <w:color w:val="auto"/>
          <w:spacing w:val="-3"/>
          <w:sz w:val="24"/>
          <w:szCs w:val="24"/>
          <w:highlight w:val="none"/>
          <w:lang w:val="en-US" w:eastAsia="zh-CN"/>
        </w:rPr>
        <w:t>2</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3"/>
          <w:sz w:val="24"/>
          <w:szCs w:val="24"/>
          <w:highlight w:val="none"/>
          <w:lang w:val="en-US" w:eastAsia="zh-CN"/>
        </w:rPr>
        <w:t>格式自拟</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3"/>
          <w:sz w:val="24"/>
          <w:szCs w:val="24"/>
          <w:highlight w:val="none"/>
        </w:rPr>
        <w:t>；</w:t>
      </w:r>
    </w:p>
    <w:p>
      <w:pPr>
        <w:spacing w:before="189"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rPr>
        <w:t>（</w:t>
      </w:r>
      <w:r>
        <w:rPr>
          <w:rFonts w:hint="eastAsia" w:ascii="宋体" w:hAnsi="宋体" w:eastAsia="宋体" w:cs="宋体"/>
          <w:b/>
          <w:bCs/>
          <w:color w:val="auto"/>
          <w:spacing w:val="-5"/>
          <w:sz w:val="24"/>
          <w:szCs w:val="24"/>
          <w:highlight w:val="none"/>
          <w:lang w:val="en-US" w:eastAsia="zh-CN"/>
        </w:rPr>
        <w:t>3</w:t>
      </w:r>
      <w:r>
        <w:rPr>
          <w:rFonts w:hint="eastAsia" w:ascii="宋体" w:hAnsi="宋体" w:eastAsia="宋体" w:cs="宋体"/>
          <w:b/>
          <w:bCs/>
          <w:color w:val="auto"/>
          <w:spacing w:val="-5"/>
          <w:sz w:val="24"/>
          <w:szCs w:val="24"/>
          <w:highlight w:val="none"/>
        </w:rPr>
        <w:t>）产品彩页；</w:t>
      </w:r>
    </w:p>
    <w:p>
      <w:pPr>
        <w:spacing w:before="187"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4"/>
          <w:sz w:val="24"/>
          <w:szCs w:val="24"/>
          <w:highlight w:val="none"/>
        </w:rPr>
        <w:t>（</w:t>
      </w:r>
      <w:r>
        <w:rPr>
          <w:rFonts w:hint="eastAsia" w:ascii="宋体" w:hAnsi="宋体" w:eastAsia="宋体" w:cs="宋体"/>
          <w:b/>
          <w:bCs/>
          <w:color w:val="auto"/>
          <w:spacing w:val="-4"/>
          <w:sz w:val="24"/>
          <w:szCs w:val="24"/>
          <w:highlight w:val="none"/>
          <w:lang w:val="en-US" w:eastAsia="zh-CN"/>
        </w:rPr>
        <w:t>4</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4"/>
          <w:sz w:val="24"/>
          <w:szCs w:val="24"/>
          <w:highlight w:val="none"/>
        </w:rPr>
        <w:t>。</w:t>
      </w:r>
    </w:p>
    <w:p>
      <w:pP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（注：1.关境内制造的货物的</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5"/>
          <w:sz w:val="24"/>
          <w:szCs w:val="24"/>
          <w:highlight w:val="none"/>
          <w:lang w:val="en-US" w:eastAsia="zh-CN"/>
        </w:rPr>
        <w:t>必须加盖制造商公章；</w:t>
      </w:r>
    </w:p>
    <w:p>
      <w:pP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2.关境外制造的货物的</w:t>
      </w:r>
      <w:r>
        <w:rPr>
          <w:rFonts w:hint="eastAsia" w:ascii="宋体" w:hAnsi="宋体" w:eastAsia="宋体" w:cs="宋体"/>
          <w:b/>
          <w:bCs/>
          <w:color w:val="auto"/>
          <w:spacing w:val="-3"/>
          <w:sz w:val="24"/>
          <w:szCs w:val="24"/>
          <w:highlight w:val="none"/>
        </w:rPr>
        <w:t>技术参数确认函</w:t>
      </w:r>
      <w:r>
        <w:rPr>
          <w:rFonts w:hint="eastAsia" w:ascii="宋体" w:hAnsi="宋体" w:eastAsia="宋体" w:cs="宋体"/>
          <w:b/>
          <w:bCs/>
          <w:color w:val="auto"/>
          <w:spacing w:val="-3"/>
          <w:sz w:val="24"/>
          <w:szCs w:val="24"/>
          <w:highlight w:val="none"/>
          <w:lang w:eastAsia="zh-CN"/>
        </w:rPr>
        <w:t>、</w:t>
      </w:r>
      <w:r>
        <w:rPr>
          <w:rFonts w:hint="eastAsia" w:ascii="宋体" w:hAnsi="宋体" w:eastAsia="宋体" w:cs="宋体"/>
          <w:b/>
          <w:bCs/>
          <w:color w:val="auto"/>
          <w:spacing w:val="-4"/>
          <w:sz w:val="24"/>
          <w:szCs w:val="24"/>
          <w:highlight w:val="none"/>
        </w:rPr>
        <w:t>产品白皮书</w:t>
      </w:r>
      <w:r>
        <w:rPr>
          <w:rFonts w:hint="eastAsia" w:ascii="宋体" w:hAnsi="宋体" w:eastAsia="宋体" w:cs="宋体"/>
          <w:b/>
          <w:bCs/>
          <w:color w:val="auto"/>
          <w:spacing w:val="-4"/>
          <w:sz w:val="24"/>
          <w:szCs w:val="24"/>
          <w:highlight w:val="none"/>
          <w:lang w:val="en-US" w:eastAsia="zh-CN"/>
        </w:rPr>
        <w:t>或设备说明书</w:t>
      </w:r>
      <w:r>
        <w:rPr>
          <w:rFonts w:hint="eastAsia" w:ascii="宋体" w:hAnsi="宋体" w:eastAsia="宋体" w:cs="宋体"/>
          <w:b/>
          <w:bCs/>
          <w:color w:val="auto"/>
          <w:spacing w:val="-5"/>
          <w:sz w:val="24"/>
          <w:szCs w:val="24"/>
          <w:highlight w:val="none"/>
          <w:lang w:val="en-US" w:eastAsia="zh-CN"/>
        </w:rPr>
        <w:t>必须加盖制造商或者国内代理商公章）</w:t>
      </w:r>
    </w:p>
    <w:p>
      <w:pP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3、一般参数（非▲号、★号的其他指标）应在投标文件中提供技术参数承诺函（格式详见第六章投标文件格式要求-技术参数承诺函），否则视为负偏离</w:t>
      </w:r>
    </w:p>
    <w:p>
      <w:pPr>
        <w:spacing w:before="186" w:line="219" w:lineRule="auto"/>
        <w:outlineLvl w:val="9"/>
        <w:rPr>
          <w:rFonts w:hint="eastAsia" w:ascii="宋体" w:hAnsi="宋体" w:eastAsia="宋体" w:cs="宋体"/>
          <w:b/>
          <w:bCs/>
          <w:color w:val="auto"/>
          <w:spacing w:val="-5"/>
          <w:sz w:val="24"/>
          <w:szCs w:val="24"/>
          <w:highlight w:val="none"/>
          <w:lang w:val="en-US" w:eastAsia="zh-CN"/>
        </w:rPr>
      </w:pPr>
      <w:r>
        <w:rPr>
          <w:rFonts w:hint="eastAsia" w:ascii="宋体" w:hAnsi="宋体" w:eastAsia="宋体" w:cs="宋体"/>
          <w:b/>
          <w:bCs/>
          <w:color w:val="auto"/>
          <w:spacing w:val="-5"/>
          <w:sz w:val="24"/>
          <w:szCs w:val="24"/>
          <w:highlight w:val="none"/>
          <w:lang w:val="en-US" w:eastAsia="zh-CN"/>
        </w:rPr>
        <w:t>（注：1.关境内制造的货物的技术参数承诺函必须加盖制造商公章；</w:t>
      </w:r>
    </w:p>
    <w:p>
      <w:pPr>
        <w:spacing w:before="186" w:line="219" w:lineRule="auto"/>
        <w:outlineLvl w:val="9"/>
        <w:rPr>
          <w:rFonts w:hint="eastAsia" w:ascii="宋体" w:hAnsi="宋体" w:eastAsia="宋体" w:cs="宋体"/>
          <w:b/>
          <w:bCs/>
          <w:color w:val="auto"/>
          <w:spacing w:val="-5"/>
          <w:sz w:val="24"/>
          <w:szCs w:val="24"/>
          <w:highlight w:val="none"/>
        </w:rPr>
      </w:pPr>
      <w:r>
        <w:rPr>
          <w:rFonts w:hint="eastAsia" w:ascii="宋体" w:hAnsi="宋体" w:eastAsia="宋体" w:cs="宋体"/>
          <w:b/>
          <w:bCs/>
          <w:color w:val="auto"/>
          <w:spacing w:val="-5"/>
          <w:sz w:val="24"/>
          <w:szCs w:val="24"/>
          <w:highlight w:val="none"/>
          <w:lang w:val="en-US" w:eastAsia="zh-CN"/>
        </w:rPr>
        <w:t>2.关境外制造的货物的技术参数承诺函必须加盖制造商或者国内代理商公章；）</w:t>
      </w:r>
    </w:p>
    <w:p>
      <w:pPr>
        <w:spacing w:before="186" w:line="219" w:lineRule="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pacing w:val="-5"/>
          <w:sz w:val="24"/>
          <w:szCs w:val="24"/>
          <w:highlight w:val="none"/>
          <w:lang w:val="en-US" w:eastAsia="zh-CN"/>
        </w:rPr>
        <w:t>4</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标注</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w:t>
      </w:r>
      <w:r>
        <w:rPr>
          <w:rFonts w:hint="eastAsia" w:ascii="宋体" w:hAnsi="宋体" w:eastAsia="宋体" w:cs="宋体"/>
          <w:color w:val="auto"/>
          <w:spacing w:val="-72"/>
          <w:sz w:val="24"/>
          <w:szCs w:val="24"/>
          <w:highlight w:val="none"/>
        </w:rPr>
        <w:t xml:space="preserve"> </w:t>
      </w:r>
      <w:r>
        <w:rPr>
          <w:rFonts w:hint="eastAsia" w:ascii="宋体" w:hAnsi="宋体" w:eastAsia="宋体" w:cs="宋体"/>
          <w:b/>
          <w:bCs/>
          <w:color w:val="auto"/>
          <w:spacing w:val="-5"/>
          <w:sz w:val="24"/>
          <w:szCs w:val="24"/>
          <w:highlight w:val="none"/>
          <w:lang w:eastAsia="zh-CN"/>
        </w:rPr>
        <w:t>”</w:t>
      </w:r>
      <w:r>
        <w:rPr>
          <w:rFonts w:hint="eastAsia" w:ascii="宋体" w:hAnsi="宋体" w:eastAsia="宋体" w:cs="宋体"/>
          <w:b/>
          <w:bCs/>
          <w:color w:val="auto"/>
          <w:spacing w:val="-5"/>
          <w:sz w:val="24"/>
          <w:szCs w:val="24"/>
          <w:highlight w:val="none"/>
        </w:rPr>
        <w:t>的商务条款须提供承诺函（格式自拟）。</w:t>
      </w:r>
    </w:p>
    <w:p>
      <w:pPr>
        <w:spacing w:line="360" w:lineRule="auto"/>
        <w:outlineLvl w:val="1"/>
        <w:rPr>
          <w:rFonts w:hint="eastAsia" w:ascii="宋体" w:hAnsi="宋体" w:eastAsia="宋体" w:cs="宋体"/>
          <w:b/>
          <w:color w:val="auto"/>
          <w:sz w:val="28"/>
          <w:szCs w:val="28"/>
          <w:highlight w:val="none"/>
        </w:rPr>
      </w:pPr>
      <w:r>
        <w:rPr>
          <w:rFonts w:hint="eastAsia" w:ascii="宋体" w:hAnsi="宋体" w:eastAsia="宋体" w:cs="宋体"/>
          <w:b/>
          <w:bCs/>
          <w:color w:val="auto"/>
          <w:spacing w:val="-5"/>
          <w:sz w:val="28"/>
          <w:szCs w:val="28"/>
          <w:highlight w:val="none"/>
        </w:rPr>
        <w:t>★</w:t>
      </w:r>
      <w:r>
        <w:rPr>
          <w:rFonts w:hint="eastAsia" w:ascii="宋体" w:hAnsi="宋体" w:eastAsia="宋体" w:cs="宋体"/>
          <w:b/>
          <w:color w:val="auto"/>
          <w:sz w:val="28"/>
          <w:szCs w:val="28"/>
          <w:highlight w:val="none"/>
          <w:lang w:eastAsia="zh-CN"/>
        </w:rPr>
        <w:t>一</w:t>
      </w:r>
      <w:r>
        <w:rPr>
          <w:rFonts w:hint="eastAsia" w:ascii="宋体" w:hAnsi="宋体" w:eastAsia="宋体" w:cs="宋体"/>
          <w:b/>
          <w:color w:val="auto"/>
          <w:sz w:val="28"/>
          <w:szCs w:val="28"/>
          <w:highlight w:val="none"/>
        </w:rPr>
        <w:t>、</w:t>
      </w:r>
      <w:r>
        <w:rPr>
          <w:rFonts w:hint="eastAsia" w:ascii="宋体" w:hAnsi="宋体" w:eastAsia="宋体" w:cs="宋体"/>
          <w:b/>
          <w:color w:val="auto"/>
          <w:sz w:val="28"/>
          <w:szCs w:val="28"/>
          <w:highlight w:val="none"/>
          <w:lang w:eastAsia="zh-CN"/>
        </w:rPr>
        <w:t>采购清单</w:t>
      </w:r>
      <w:r>
        <w:rPr>
          <w:rFonts w:hint="eastAsia" w:ascii="宋体" w:hAnsi="宋体" w:eastAsia="宋体" w:cs="宋体"/>
          <w:b/>
          <w:color w:val="auto"/>
          <w:sz w:val="28"/>
          <w:szCs w:val="28"/>
          <w:highlight w:val="none"/>
        </w:rPr>
        <w:t>：</w:t>
      </w:r>
      <w:bookmarkEnd w:id="3"/>
    </w:p>
    <w:p>
      <w:pPr>
        <w:spacing w:line="360" w:lineRule="auto"/>
        <w:jc w:val="center"/>
        <w:outlineLvl w:val="1"/>
        <w:rPr>
          <w:rFonts w:hint="eastAsia" w:ascii="宋体" w:hAnsi="宋体" w:eastAsia="宋体" w:cs="宋体"/>
          <w:b/>
          <w:bCs/>
          <w:color w:val="auto"/>
          <w:sz w:val="28"/>
          <w:szCs w:val="28"/>
          <w:highlight w:val="none"/>
        </w:rPr>
      </w:pPr>
      <w:bookmarkStart w:id="4" w:name="_Toc995"/>
      <w:bookmarkStart w:id="5" w:name="_Toc17027"/>
      <w:bookmarkStart w:id="6" w:name="_Toc29082"/>
      <w:bookmarkStart w:id="7" w:name="_Toc17649"/>
      <w:r>
        <w:rPr>
          <w:rFonts w:hint="eastAsia" w:ascii="宋体" w:hAnsi="宋体" w:eastAsia="宋体" w:cs="宋体"/>
          <w:b/>
          <w:bCs/>
          <w:color w:val="auto"/>
          <w:sz w:val="28"/>
          <w:szCs w:val="28"/>
          <w:highlight w:val="none"/>
        </w:rPr>
        <w:t>采购清单表</w:t>
      </w:r>
      <w:bookmarkEnd w:id="4"/>
      <w:bookmarkEnd w:id="5"/>
      <w:bookmarkEnd w:id="6"/>
      <w:bookmarkEnd w:id="7"/>
    </w:p>
    <w:tbl>
      <w:tblPr>
        <w:tblStyle w:val="4"/>
        <w:tblW w:w="8331" w:type="dxa"/>
        <w:tblInd w:w="0" w:type="dxa"/>
        <w:tblLayout w:type="fixed"/>
        <w:tblCellMar>
          <w:top w:w="15" w:type="dxa"/>
          <w:left w:w="15" w:type="dxa"/>
          <w:bottom w:w="15" w:type="dxa"/>
          <w:right w:w="15" w:type="dxa"/>
        </w:tblCellMar>
      </w:tblPr>
      <w:tblGrid>
        <w:gridCol w:w="751"/>
        <w:gridCol w:w="1579"/>
        <w:gridCol w:w="725"/>
        <w:gridCol w:w="854"/>
        <w:gridCol w:w="1384"/>
        <w:gridCol w:w="932"/>
        <w:gridCol w:w="1034"/>
        <w:gridCol w:w="1072"/>
      </w:tblGrid>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eastAsia="zh-CN" w:bidi="ar"/>
              </w:rPr>
            </w:pPr>
            <w:r>
              <w:rPr>
                <w:rFonts w:hint="eastAsia" w:ascii="宋体" w:hAnsi="宋体" w:eastAsia="宋体" w:cs="宋体"/>
                <w:color w:val="auto"/>
                <w:kern w:val="0"/>
                <w:sz w:val="24"/>
                <w:szCs w:val="24"/>
                <w:highlight w:val="none"/>
                <w:lang w:eastAsia="zh-CN" w:bidi="ar"/>
              </w:rPr>
              <w:t>包号</w:t>
            </w:r>
          </w:p>
        </w:tc>
        <w:tc>
          <w:tcPr>
            <w:tcW w:w="1579"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设备名称</w:t>
            </w:r>
          </w:p>
        </w:tc>
        <w:tc>
          <w:tcPr>
            <w:tcW w:w="725"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单位</w:t>
            </w:r>
          </w:p>
        </w:tc>
        <w:tc>
          <w:tcPr>
            <w:tcW w:w="85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bidi="ar"/>
              </w:rPr>
              <w:t>数量</w:t>
            </w:r>
          </w:p>
        </w:tc>
        <w:tc>
          <w:tcPr>
            <w:tcW w:w="138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单价最高限价（万元）</w:t>
            </w:r>
          </w:p>
        </w:tc>
        <w:tc>
          <w:tcPr>
            <w:tcW w:w="93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标包最高限价（万元）</w:t>
            </w:r>
          </w:p>
        </w:tc>
        <w:tc>
          <w:tcPr>
            <w:tcW w:w="1034"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bidi="ar"/>
              </w:rPr>
              <w:t>是否接受进口产品投标</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是否核心产品</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激光治疗仪</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i w:val="0"/>
                <w:color w:val="auto"/>
                <w:kern w:val="0"/>
                <w:sz w:val="22"/>
                <w:szCs w:val="22"/>
                <w:highlight w:val="none"/>
                <w:u w:val="none"/>
                <w:lang w:val="en-US" w:eastAsia="zh-CN" w:bidi="ar"/>
              </w:rPr>
              <w:t>1</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21</w:t>
            </w:r>
          </w:p>
        </w:tc>
        <w:tc>
          <w:tcPr>
            <w:tcW w:w="932" w:type="dxa"/>
            <w:tcBorders>
              <w:top w:val="single" w:color="000000" w:sz="4" w:space="0"/>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21</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不接受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2</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强脉冲光与激光系统</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1</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150</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150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3</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脉冲染料激光治疗仪</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lang w:val="en-US"/>
              </w:rPr>
            </w:pPr>
            <w:r>
              <w:rPr>
                <w:rFonts w:hint="eastAsia" w:ascii="宋体" w:hAnsi="宋体" w:eastAsia="宋体" w:cs="宋体"/>
                <w:i w:val="0"/>
                <w:color w:val="auto"/>
                <w:kern w:val="0"/>
                <w:sz w:val="22"/>
                <w:szCs w:val="22"/>
                <w:highlight w:val="none"/>
                <w:u w:val="none"/>
                <w:lang w:val="en-US" w:eastAsia="zh-CN" w:bidi="ar"/>
              </w:rPr>
              <w:t>1</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160</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160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4</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高功率激光（YAG激光手术系统/钬激光/铥激光）</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1</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300</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300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5</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等离子电切系统</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1</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80</w:t>
            </w:r>
          </w:p>
        </w:tc>
        <w:tc>
          <w:tcPr>
            <w:tcW w:w="932" w:type="dxa"/>
            <w:tcBorders>
              <w:top w:val="single" w:color="000000" w:sz="4" w:space="0"/>
              <w:left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80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不接受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6</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钬激光治疗仪</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1</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90</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90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color w:val="auto"/>
                <w:kern w:val="0"/>
                <w:sz w:val="24"/>
                <w:szCs w:val="24"/>
                <w:highlight w:val="none"/>
                <w:u w:val="none"/>
                <w:lang w:val="en-US" w:eastAsia="zh-CN" w:bidi="ar"/>
              </w:rPr>
              <w:t>不接受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7</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体外冲击波碎石机</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1</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88.8</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color w:val="auto"/>
                <w:kern w:val="0"/>
                <w:sz w:val="22"/>
                <w:szCs w:val="22"/>
                <w:highlight w:val="none"/>
                <w:u w:val="none"/>
                <w:lang w:val="en-US" w:eastAsia="zh-CN" w:bidi="ar"/>
              </w:rPr>
              <w:t>88.8</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color w:val="auto"/>
                <w:kern w:val="0"/>
                <w:sz w:val="24"/>
                <w:szCs w:val="24"/>
                <w:highlight w:val="none"/>
                <w:u w:val="none"/>
                <w:lang w:val="en-US" w:eastAsia="zh-CN" w:bidi="ar"/>
              </w:rPr>
              <w:t>不接受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8</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4"/>
                <w:szCs w:val="24"/>
                <w:highlight w:val="none"/>
                <w:u w:val="none"/>
                <w:lang w:val="en-US" w:eastAsia="zh-CN" w:bidi="ar"/>
              </w:rPr>
              <w:t>混合动力碎石清石系统</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rPr>
            </w:pPr>
            <w:r>
              <w:rPr>
                <w:rFonts w:hint="eastAsia" w:ascii="宋体" w:hAnsi="宋体" w:eastAsia="宋体" w:cs="宋体"/>
                <w:i w:val="0"/>
                <w:color w:val="auto"/>
                <w:kern w:val="0"/>
                <w:sz w:val="22"/>
                <w:szCs w:val="22"/>
                <w:highlight w:val="none"/>
                <w:u w:val="none"/>
                <w:lang w:val="en-US" w:eastAsia="zh-CN" w:bidi="ar"/>
              </w:rPr>
              <w:t>2</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180</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color w:val="auto"/>
                <w:kern w:val="0"/>
                <w:sz w:val="22"/>
                <w:szCs w:val="22"/>
                <w:highlight w:val="none"/>
                <w:u w:val="none"/>
                <w:lang w:val="en-US" w:eastAsia="zh-CN" w:bidi="ar"/>
              </w:rPr>
              <w:t>360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color w:val="auto"/>
                <w:kern w:val="0"/>
                <w:sz w:val="24"/>
                <w:szCs w:val="24"/>
                <w:highlight w:val="none"/>
                <w:u w:val="none"/>
                <w:lang w:val="en-US" w:eastAsia="zh-CN"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bookmarkStart w:id="8" w:name="_Toc15542"/>
            <w:r>
              <w:rPr>
                <w:rFonts w:hint="eastAsia" w:ascii="宋体" w:hAnsi="宋体" w:eastAsia="宋体" w:cs="宋体"/>
                <w:color w:val="auto"/>
                <w:kern w:val="0"/>
                <w:sz w:val="24"/>
                <w:szCs w:val="24"/>
                <w:highlight w:val="none"/>
                <w:lang w:val="en-US" w:eastAsia="zh-CN" w:bidi="ar"/>
              </w:rPr>
              <w:t>9</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尿道膀胱镜</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3</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60</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180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4"/>
                <w:szCs w:val="24"/>
                <w:highlight w:val="none"/>
                <w:u w:val="none"/>
                <w:lang w:val="en-US" w:eastAsia="zh-CN"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10</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电切内窥镜（一)</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8</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2"/>
                <w:szCs w:val="22"/>
                <w:highlight w:val="none"/>
                <w:u w:val="none"/>
                <w:lang w:val="en-US" w:eastAsia="zh-CN" w:bidi="ar"/>
              </w:rPr>
              <w:t>8</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i w:val="0"/>
                <w:color w:val="auto"/>
                <w:kern w:val="0"/>
                <w:sz w:val="24"/>
                <w:szCs w:val="24"/>
                <w:highlight w:val="none"/>
                <w:u w:val="none"/>
                <w:lang w:val="en-US" w:eastAsia="zh-CN"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11</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电切内窥镜（二)</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22</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22</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kern w:val="0"/>
                <w:sz w:val="24"/>
                <w:szCs w:val="24"/>
                <w:highlight w:val="none"/>
                <w:lang w:bidi="ar"/>
              </w:rPr>
            </w:pPr>
            <w:r>
              <w:rPr>
                <w:rFonts w:hint="eastAsia" w:ascii="宋体" w:hAnsi="宋体" w:eastAsia="宋体" w:cs="宋体"/>
                <w:i w:val="0"/>
                <w:color w:val="auto"/>
                <w:kern w:val="0"/>
                <w:sz w:val="24"/>
                <w:szCs w:val="24"/>
                <w:highlight w:val="none"/>
                <w:u w:val="none"/>
                <w:lang w:val="en-US" w:eastAsia="zh-CN" w:bidi="ar"/>
              </w:rPr>
              <w:t>不接受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12</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肾镜</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20</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不接受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w:t>
            </w:r>
          </w:p>
        </w:tc>
      </w:tr>
      <w:tr>
        <w:tblPrEx>
          <w:tblLayout w:type="fixed"/>
          <w:tblCellMar>
            <w:top w:w="15" w:type="dxa"/>
            <w:left w:w="15" w:type="dxa"/>
            <w:bottom w:w="15" w:type="dxa"/>
            <w:right w:w="15" w:type="dxa"/>
          </w:tblCellMar>
        </w:tblPrEx>
        <w:trPr>
          <w:trHeight w:val="286" w:hRule="atLeast"/>
        </w:trPr>
        <w:tc>
          <w:tcPr>
            <w:tcW w:w="751"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13</w:t>
            </w:r>
          </w:p>
        </w:tc>
        <w:tc>
          <w:tcPr>
            <w:tcW w:w="1579"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left"/>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输尿管镜</w:t>
            </w:r>
          </w:p>
        </w:tc>
        <w:tc>
          <w:tcPr>
            <w:tcW w:w="72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套</w:t>
            </w:r>
          </w:p>
        </w:tc>
        <w:tc>
          <w:tcPr>
            <w:tcW w:w="85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1</w:t>
            </w:r>
          </w:p>
        </w:tc>
        <w:tc>
          <w:tcPr>
            <w:tcW w:w="138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20</w:t>
            </w:r>
          </w:p>
        </w:tc>
        <w:tc>
          <w:tcPr>
            <w:tcW w:w="932"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2"/>
                <w:szCs w:val="22"/>
                <w:highlight w:val="none"/>
                <w:u w:val="none"/>
                <w:lang w:val="en-US" w:eastAsia="zh-CN" w:bidi="ar"/>
              </w:rPr>
              <w:t>20</w:t>
            </w:r>
          </w:p>
        </w:tc>
        <w:tc>
          <w:tcPr>
            <w:tcW w:w="1034"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color w:val="auto"/>
                <w:kern w:val="0"/>
                <w:sz w:val="24"/>
                <w:szCs w:val="24"/>
                <w:highlight w:val="none"/>
                <w:u w:val="none"/>
                <w:lang w:val="en-US" w:eastAsia="zh-CN" w:bidi="ar"/>
              </w:rPr>
            </w:pPr>
            <w:r>
              <w:rPr>
                <w:rFonts w:hint="eastAsia" w:ascii="宋体" w:hAnsi="宋体" w:eastAsia="宋体" w:cs="宋体"/>
                <w:i w:val="0"/>
                <w:color w:val="auto"/>
                <w:kern w:val="0"/>
                <w:sz w:val="24"/>
                <w:szCs w:val="24"/>
                <w:highlight w:val="none"/>
                <w:u w:val="none"/>
                <w:lang w:val="en-US" w:eastAsia="zh-CN" w:bidi="ar"/>
              </w:rPr>
              <w:t>接受</w:t>
            </w:r>
          </w:p>
        </w:tc>
        <w:tc>
          <w:tcPr>
            <w:tcW w:w="1072"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auto"/>
              <w:jc w:val="center"/>
              <w:textAlignment w:val="center"/>
              <w:outlineLvl w:val="9"/>
              <w:rPr>
                <w:rFonts w:hint="eastAsia" w:ascii="宋体" w:hAnsi="宋体" w:eastAsia="宋体" w:cs="宋体"/>
                <w:color w:val="auto"/>
                <w:kern w:val="0"/>
                <w:sz w:val="24"/>
                <w:szCs w:val="24"/>
                <w:highlight w:val="none"/>
                <w:lang w:val="en-US" w:eastAsia="zh-CN" w:bidi="ar"/>
              </w:rPr>
            </w:pPr>
            <w:r>
              <w:rPr>
                <w:rFonts w:hint="eastAsia" w:ascii="宋体" w:hAnsi="宋体" w:eastAsia="宋体" w:cs="宋体"/>
                <w:color w:val="auto"/>
                <w:kern w:val="0"/>
                <w:sz w:val="24"/>
                <w:szCs w:val="24"/>
                <w:highlight w:val="none"/>
                <w:lang w:val="en-US" w:eastAsia="zh-CN" w:bidi="ar"/>
              </w:rPr>
              <w:t>是</w:t>
            </w:r>
          </w:p>
        </w:tc>
      </w:tr>
    </w:tbl>
    <w:p>
      <w:pPr>
        <w:spacing w:line="360" w:lineRule="auto"/>
        <w:jc w:val="left"/>
        <w:outlineLvl w:val="9"/>
        <w:rPr>
          <w:rFonts w:hint="eastAsia" w:ascii="宋体" w:hAnsi="宋体" w:eastAsia="宋体" w:cs="宋体"/>
          <w:b/>
          <w:bCs w:val="0"/>
          <w:color w:val="auto"/>
          <w:sz w:val="28"/>
          <w:szCs w:val="28"/>
          <w:highlight w:val="none"/>
          <w:lang w:val="en-US" w:eastAsia="zh-CN"/>
        </w:rPr>
      </w:pP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注：1.投标报价要求：</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1.1.本合同约定的价款，除非另有特别说明，已经包含下列项目含税费用：</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（1）货物主体和配件、备品备件、硬件软件、包装、专用工具的费用；</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（2）安装/调试/检验、培训、技术服务和其他相关服务费用；</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（3）进出口手续费用（如有）；</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（4）运输到指定交货地点的运费、保险费用等。</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除非另有明确约定，海南省卫生健康委员会、省级医疗机构/市县卫健委/市县级医疗机构无需就本次购买向供应商支付其他费用。</w:t>
      </w:r>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1.2各方确认：合同约定价款不因劳务、市场设备价格、政策变化等因素而调整。</w:t>
      </w:r>
    </w:p>
    <w:p>
      <w:pPr>
        <w:spacing w:line="360" w:lineRule="auto"/>
        <w:jc w:val="left"/>
        <w:outlineLvl w:val="9"/>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lang w:val="en-US" w:eastAsia="zh-CN"/>
        </w:rPr>
        <w:t>2.如所供货物为医疗器械的,医疗产品注册证上的名称与采购标的名称不一致的,需在《投标（响应）报价明细表》的“备注”中明确,验收以医疗器械注册证上的产品名称为准。</w:t>
      </w:r>
      <w:bookmarkEnd w:id="8"/>
    </w:p>
    <w:p>
      <w:pPr>
        <w:spacing w:line="360" w:lineRule="auto"/>
        <w:jc w:val="left"/>
        <w:outlineLvl w:val="9"/>
        <w:rPr>
          <w:rFonts w:hint="eastAsia" w:ascii="宋体" w:hAnsi="宋体" w:eastAsia="宋体" w:cs="宋体"/>
          <w:b/>
          <w:bCs w:val="0"/>
          <w:color w:val="auto"/>
          <w:sz w:val="24"/>
          <w:szCs w:val="24"/>
          <w:highlight w:val="none"/>
          <w:lang w:val="en-US" w:eastAsia="zh-CN"/>
        </w:rPr>
      </w:pPr>
      <w:r>
        <w:rPr>
          <w:rFonts w:hint="eastAsia" w:ascii="宋体" w:hAnsi="宋体" w:eastAsia="宋体" w:cs="宋体"/>
          <w:b/>
          <w:bCs w:val="0"/>
          <w:color w:val="auto"/>
          <w:sz w:val="24"/>
          <w:szCs w:val="24"/>
          <w:highlight w:val="none"/>
          <w:lang w:val="en-US" w:eastAsia="zh-CN"/>
        </w:rPr>
        <w:t>3.投标报价超过所投标包或所投产品单价采购预算（最高限价）的，均视为无效投标。</w:t>
      </w:r>
    </w:p>
    <w:p>
      <w:pPr>
        <w:pStyle w:val="2"/>
        <w:ind w:firstLine="0"/>
        <w:rPr>
          <w:rFonts w:hint="eastAsia" w:ascii="宋体" w:hAnsi="宋体" w:eastAsia="宋体" w:cs="宋体"/>
          <w:color w:val="auto"/>
          <w:highlight w:val="none"/>
          <w:lang w:val="en-US" w:eastAsia="zh-CN"/>
        </w:rPr>
      </w:pPr>
    </w:p>
    <w:p>
      <w:pPr>
        <w:rPr>
          <w:rFonts w:hint="eastAsia" w:ascii="宋体" w:hAnsi="宋体" w:eastAsia="宋体" w:cs="宋体"/>
          <w:color w:val="auto"/>
          <w:highlight w:val="none"/>
          <w:lang w:val="en-US" w:eastAsia="zh-CN"/>
        </w:rPr>
      </w:pPr>
    </w:p>
    <w:p>
      <w:pPr>
        <w:spacing w:before="91" w:line="220" w:lineRule="auto"/>
        <w:outlineLvl w:val="1"/>
        <w:rPr>
          <w:rFonts w:hint="eastAsia" w:ascii="宋体" w:hAnsi="宋体" w:eastAsia="宋体" w:cs="宋体"/>
          <w:color w:val="auto"/>
          <w:sz w:val="28"/>
          <w:szCs w:val="28"/>
          <w:highlight w:val="none"/>
        </w:rPr>
      </w:pPr>
      <w:r>
        <w:rPr>
          <w:rFonts w:hint="eastAsia" w:ascii="宋体" w:hAnsi="宋体" w:eastAsia="宋体" w:cs="宋体"/>
          <w:b/>
          <w:bCs/>
          <w:color w:val="auto"/>
          <w:spacing w:val="-5"/>
          <w:sz w:val="28"/>
          <w:szCs w:val="28"/>
          <w:highlight w:val="none"/>
        </w:rPr>
        <w:t>二、技术要求</w:t>
      </w:r>
    </w:p>
    <w:p>
      <w:pPr>
        <w:bidi w:val="0"/>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包1激光治疗仪技术参数</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1、技术参数要求</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激光波长≤10600nm</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激光模式：TEM00模</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激光器工作方式：连续脉冲，单脉冲</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连续工作方式最大输出功率≥28W，可调</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脉冲工作方式最大输出功率≥8W</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▲1.4</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最小光斑直径≤0.1mm</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1.5</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激光输出方式≥5种</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1.6</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治疗手具：f=50mm 、f=100mm聚焦手具</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1.7</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点阵模式</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1.7.1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扫描输出图形≥4种</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▲1.7.2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点阵最大单脉冲能量≥80mj</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▲1.7.3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点阵最大面积≥12mm×12mm，面积可调</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▲1.7.4</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最大剥脱深度≥2500um</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1.8</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控制系统：彩色触摸屏</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1.9</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传输方式:七关节导光臂</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1.10 </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指示光：半导体激光，亮度强弱可调</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系统冷却方式：内置空气冷却系统</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★2、配置清单</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1、主机 1台</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2、脚踏开关 1个</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3、手具 2套</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4、F100手具镜座 1个</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5、F50手具镜座 1个</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6、光学图形扫描器 1台</w:t>
      </w:r>
    </w:p>
    <w:p>
      <w:pPr>
        <w:ind w:firstLine="420" w:firstLineChars="15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7、医生防护眼镜  1副；</w:t>
      </w:r>
    </w:p>
    <w:p>
      <w:pPr>
        <w:ind w:firstLine="420" w:firstLineChars="15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8、患者防护眼镜  1副</w:t>
      </w:r>
    </w:p>
    <w:p>
      <w:pPr>
        <w:rPr>
          <w:rFonts w:hint="eastAsia" w:ascii="宋体" w:hAnsi="宋体" w:eastAsia="宋体" w:cs="宋体"/>
          <w:color w:val="auto"/>
          <w:sz w:val="28"/>
          <w:szCs w:val="28"/>
          <w:highlight w:val="none"/>
          <w:lang w:val="en-US" w:eastAsia="zh-CN"/>
        </w:rPr>
      </w:pP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包2强脉冲光与激光系统技术参数</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1、技术性能要求：</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具备通用型IPL治疗手具</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IPL治疗手具波长范围：最小值≤530nm且最大值≥950nm</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外置插拔滤光片技术，可搭配≥6个不同波长的外置实体滤光片</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1.4</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滤光片不关机更换技术，滤光片波长选择推荐功能</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▲1.5</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具备AOPT技术</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1.6</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IPL手具有≥1个开关键</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1.7</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光子手具为通用型单个治疗头，针对不同疾病的治疗无需更换治疗头</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1.8</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光子（IPL）手具的最高能量密度≤35J/c㎡</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1.9</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脉冲宽度可调</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▲1.10</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具备脉冲延迟技术</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脉冲方式</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1.11.1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多个同步脉冲，可选择 ≥3个脉冲数，在操作界面上可视可调</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1.11.2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保护表皮，使表皮温度上升缓慢</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1.11.3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保证治疗效果，使靶组织快速达到治疗温度</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▲1.11.4</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保护患者的舒适性，将能量均匀分配至多个脉冲</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频率≥1HZ</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光斑≥2个</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▲1.14</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冷却方式：持续接触式冷却</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1.15</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基于WINDOWS操作系统的数据库功能</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1.16</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外置冷却水罐</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★2、配置清单</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1、主机：1台</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 xml:space="preserve">2、推车：1台                                                                                                       </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3、通用强脉冲光治疗头：1套</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4、滤光片：1套</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5、光斑:1套</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6、IPL医生防护眼镜:2副</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7、IPL患者防护眼镜:2副</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8、强光警告牌:1个</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 xml:space="preserve">9、电源线:1根                                                                                                     </w:t>
      </w:r>
    </w:p>
    <w:p>
      <w:pPr>
        <w:jc w:val="both"/>
        <w:rPr>
          <w:rFonts w:hint="eastAsia" w:ascii="宋体" w:hAnsi="宋体" w:eastAsia="宋体" w:cs="宋体"/>
          <w:color w:val="auto"/>
          <w:sz w:val="28"/>
          <w:szCs w:val="28"/>
          <w:highlight w:val="none"/>
          <w:lang w:val="en-US" w:eastAsia="zh-CN"/>
        </w:rPr>
      </w:pP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包3脉冲染料激光治疗仪</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1、参数：</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主机要求</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主机由脉冲染料激光器、激光电源及控制装置、水循环冷却系统、DCD动态冷却系统组成</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导光系统为可选光斑尺寸的透镜耦合光纤和手柄</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应用部分为距离规</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技术参数及要求</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激光类型：脉冲染料激光</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激光模式：单模</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激光工作波长≥585nm</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▲1.2.4</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波长脉宽范围：0.45～40ms</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1.2.5</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激光输出脉冲频率≤1.5Hz</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▲1.2.6</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最大输出激光能量≥8J</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▲1.2.7</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最大能量密度≥40J/c㎡</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▲1.2.8</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脉冲技术：1～8个子脉冲技术</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1.2.9</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传输系统：透镜耦合≥2.5m光纤,带手具</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1.2.10</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瞄准光束：非红色瞄准光束，光束与治疗光束尺寸相同</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1.2.11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激光控制方式：脚控开关和手控开关</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1.2.12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能量校准方式：自动程序校准和外部校准口模式</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▲1.2.13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冷却：DCD动态冷却系统</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★2、配置清单</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1、设备主机1台</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 xml:space="preserve">2、手柄传输系统1套  </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3、3mm、3*10mm、5mm、7mm、10mm、12mm、7mmPL、10mmPL距离规1套</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4、染料盒1个</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 xml:space="preserve">5、制冷剂（含罐）15罐  </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6、医生眼镜2副</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7、患者眼罩1副</w:t>
      </w:r>
    </w:p>
    <w:p>
      <w:pPr>
        <w:jc w:val="center"/>
        <w:rPr>
          <w:rFonts w:hint="eastAsia" w:ascii="宋体" w:hAnsi="宋体" w:eastAsia="宋体" w:cs="宋体"/>
          <w:b/>
          <w:bCs/>
          <w:color w:val="auto"/>
          <w:sz w:val="28"/>
          <w:szCs w:val="28"/>
          <w:highlight w:val="none"/>
          <w:lang w:val="en-US" w:eastAsia="zh-CN"/>
        </w:rPr>
      </w:pP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包4高功率激光（YAG激光手术系统钬激光铥激光）技术参数</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1、技术参数</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rPr>
        <w:t>★1.1适用范围：包括但不限于良性前列腺增生等软组织</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rPr>
        <w:t>激光器类型：固体激光器或光纤激光器</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激光波长≥1900nm</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1.4</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激光工作模式：多模式</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1.5</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具有防电击功能</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▲1.6</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组织穿透深度：≥0.3mm</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1.7</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可设置最低输出功率≤5W</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★1.8</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最大输出功率：≥100W</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1.9</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激光终端输出功率可调</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1.10 </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 xml:space="preserve">激光输出功率不稳定度：≤±5%  </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rPr>
        <w:t>激光输出功率复现性≤</w:t>
      </w:r>
      <w:r>
        <w:rPr>
          <w:rFonts w:hint="eastAsia" w:ascii="宋体" w:hAnsi="宋体" w:eastAsia="宋体" w:cs="宋体"/>
          <w:color w:val="auto"/>
          <w:sz w:val="28"/>
          <w:szCs w:val="28"/>
          <w:lang w:val="en-US" w:eastAsia="zh-CN"/>
        </w:rPr>
        <w:t>±</w:t>
      </w:r>
      <w:r>
        <w:rPr>
          <w:rFonts w:hint="eastAsia" w:ascii="宋体" w:hAnsi="宋体" w:eastAsia="宋体" w:cs="宋体"/>
          <w:color w:val="auto"/>
          <w:sz w:val="28"/>
          <w:szCs w:val="28"/>
        </w:rPr>
        <w:t>5%</w:t>
      </w:r>
      <w:r>
        <w:rPr>
          <w:rFonts w:hint="eastAsia" w:ascii="宋体" w:hAnsi="宋体" w:eastAsia="宋体" w:cs="宋体"/>
          <w:color w:val="auto"/>
          <w:sz w:val="28"/>
          <w:szCs w:val="28"/>
          <w:highlight w:val="none"/>
          <w:lang w:val="en-US" w:eastAsia="zh-CN"/>
        </w:rPr>
        <w:t xml:space="preserve">   </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激光输出接口：SMA905</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界面操作：彩色电容屏触摸操作界面</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1.14</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显示屏可旋转、可折叠</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1.15</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指示光：绿色波长≤560nm，功率≤5mW，亮度可调节</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▲1.16</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双脚踏开关，方便止血操作</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1.17</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开机预热时间：设备正常工作温度下无需开机预热</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1.18</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冷却系统：冷却方式≥2种</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1.19 </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 xml:space="preserve">耗电量≤7kVA </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1.20</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紧急开关：配有紧急停止按钮，可在紧急情况下一键关闭设备</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★2、必须配套的附属设备设施</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激光主机1台</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多功能脚踏1个</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激光光纤2条</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2.4</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光纤切割器1个</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2.5</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光纤修理器1个</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2.6</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联锁装置1个</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2.7</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开机钥匙2个</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2.8</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激光警示标志1个</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2.9</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防尘罩1个</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2.10 </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光纤检测装置1个</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2.11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激光防护镜2副</w:t>
      </w: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包5等离子电切系统技术参数</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1、技术参数</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适用范围：具有等离子双极电切和电凝的手术功能，适用于泌尿外科前列腺电切、剜除等手术。</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工作频率≥345Khz</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等离子工作模式：</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等离子电切模式</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1.3.2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等离子电凝模式</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▲1.4</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整机输入功率≥600VA</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1.5</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等离子电切模式最大输出功率≥200W</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▲1.6</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等离子电凝模式最大输出功率≥120W。</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1.7</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等离子电切模式最大输出电压≥550V</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1.8</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等离子电凝模式最大输出电压≥250V</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1.9</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额定负载：等离子电切模式≥150Ω</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1.10 </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额定负载：等离子电凝模式≥100Ω</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具有防电击功能</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具有开机自检功能，可以根据故障代码准确判断设备故障点。</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脚踏开关：切、凝双踏板</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1.14</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主机屏幕具有模式、功率、音量大小的显示和调节功能。</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1.15</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可自动识别电极插入，也可在不识别电极的情况下，手动设置功率。</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1.16</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内窥镜自动保护功能，当遇到电流过载时第一时间切断能量输出，并发出提示，减少内窥镜烧灼损坏。</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▲1.17</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电极激发迅速,可以快速清刀，避免组织粘刀，具备切割止血功能。</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2、电切内窥镜</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广角镜≥12°</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视场角≥60°</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中心分辨率≥3.3C/°</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2.4</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景深范围：最小值≤3mm且最大值≥50mm</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2.5</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光谱显色指数≥85</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2.6</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外鞘有效工作长度≥180mm</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2.7</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内鞘有效工作长度≥200mm</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2.8</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外鞘闭孔器</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2.9</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内鞘闭孔器</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2.10 </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电切环，长度≥275mm</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★3、必须配套的附属设备设施</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等离子双极电切电凝系统1台</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双踏板脚踏开关1个</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专用双极电极2个</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3.4</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电切内窥镜1个</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3.5</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操作器1个</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3.6</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外鞘1支</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3.7</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内鞘1支</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3.8</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内鞘进水接头1支</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3.9</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冲洗接头1个</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 xml:space="preserve">3.10 </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闭孔鞘芯1个</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3.11</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电切环6只</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3.12</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连接线1根</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3.13</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冲洗瓶1个</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3.15</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消毒盒1个</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3.16</w:t>
      </w:r>
      <w:r>
        <w:rPr>
          <w:rFonts w:hint="eastAsia" w:ascii="宋体" w:hAnsi="宋体" w:eastAsia="宋体" w:cs="宋体"/>
          <w:color w:val="auto"/>
          <w:sz w:val="28"/>
          <w:szCs w:val="28"/>
          <w:highlight w:val="none"/>
          <w:lang w:val="en-US" w:eastAsia="zh-CN"/>
        </w:rPr>
        <w:tab/>
      </w:r>
      <w:r>
        <w:rPr>
          <w:rFonts w:hint="eastAsia" w:ascii="宋体" w:hAnsi="宋体" w:eastAsia="宋体" w:cs="宋体"/>
          <w:color w:val="auto"/>
          <w:sz w:val="28"/>
          <w:szCs w:val="28"/>
          <w:highlight w:val="none"/>
          <w:lang w:val="en-US" w:eastAsia="zh-CN"/>
        </w:rPr>
        <w:t>密封帽1个</w:t>
      </w:r>
    </w:p>
    <w:p>
      <w:pPr>
        <w:jc w:val="center"/>
        <w:rPr>
          <w:rFonts w:hint="eastAsia" w:ascii="宋体" w:hAnsi="宋体" w:eastAsia="宋体" w:cs="宋体"/>
          <w:b/>
          <w:bCs/>
          <w:color w:val="auto"/>
          <w:sz w:val="28"/>
          <w:szCs w:val="28"/>
          <w:highlight w:val="none"/>
          <w:lang w:val="en-US" w:eastAsia="zh-CN"/>
        </w:rPr>
      </w:pP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包6钬激光治疗仪技术参数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用于泌尿系结石的碎石，泌尿系肿瘤的汽化和凝固</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工作方式：脉冲，输出波长≥2100nm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最大输出平均额定功率≥80W</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最大脉冲能量≥5J</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最大脉冲频率≥50Hz</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脉冲宽度</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宽窄脉宽间距≥600μs</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窄脉宽≤200μs</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宽脉宽≥800μs</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设备操作界面具有宽、中、窄脉宽一键智能设置功能</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触摸液晶显示屏，可设置并显示工作频率、单次脉冲能量；在碎石过程中显示实时输出功率</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具有精确的能量反馈系统，自动监测能量，自动实时能量控制和补偿</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具有功率闭环控制系统：自动监控输出功率</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密封激光器结构设计：具有防震、防潮、防尘、防电磁波干扰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具有开机自检系统和安全防护装置</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冷却系统：制冷方式≥2种</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激光传输系统：激光光纤规格≥4种</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结石模式具有设置功能</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★2、必须配套的附属设备设施</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激光治疗机主机1台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激光治疗机附件光纤2根</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光纤剥离器1把</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光纤切割笔1把</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手持光纤端面检验仪1个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激光防护镜2副</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脚踏开关 1个</w:t>
      </w: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包7体外冲击波碎石机技术参数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用于肾结石、输尿管结石和膀胱结石的碎石治疗。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冲击波波源：有透镜电磁式冲击波源，可与液电式冲击波源兼容互选</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触发方式：单次触发、连续触发</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高压脉冲电容储能最大值≤162J</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碎石电压最大值≤18kV</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压缩声压峰值最大值≥30MPa</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焦点冲击波脉冲宽度≤1μs，脉冲上升时间≤0.5μs</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电磁式聚焦点到波源端口平面的距离≥110mm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电磁式冲击波焦体径向≥±7mm，轴向范围：最小值≤-45mm且最大值≥40mm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定位系统：</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具备X线和B超双定位系统</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组合式高压发生器：透视电压范围：最小值≤50kV且最大值≥100kV，透视电流范围：最小值≤0.1mA且最大值≥5mA</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影像增强器≥9寸</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高清晰度百万像素CCD摄像机</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环冲击波源锥形运动B超探头定位装置，具备电子自动测距直读、直显功能</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B超装置电动升降范围≥100mm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整机操作系统</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触摸屏及影像工作站可操作碎石机所有动作及参数设置</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冲击波治疗次数预设</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设备故障自动显示，冲击波源故障自动报警并切断高压</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配备影像工作站病例管理系统，具有：信息管理，图像采集、显示和浏览，图像后处理和打印报告，图像存贮与传输，图像测量与标识</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配备计算机主机一台：硬盘≥500G固态硬盘，内存≥8GB，显卡≥4G显存</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显示器≥19寸，分辨率≥1280×1024</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主机运动系统：</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治疗床与主机的定位系统和治疗系统一体化设计（非治疗床与主机分体式）</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冲击波治疗头（小C臂）运动主轴与 X 光 C 型臂（大C臂）运动主轴为一体化同轴设计，可上下翻转180°</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大C臂转动角度范围：顺时针≥15°；逆时针≥30°</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小C臂圆弧运动范围：≥30°</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小C臂转动角度范围：≥180°</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治疗床横向运动范围≥90mm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治疗床纵向运动范围≥90mm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治疗床升降运动范围≥100mm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机械传动最小调节细度，三维六向均≤1mm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★2、必须配套的附属设备设施</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主机治疗床1台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电气柜1台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隔室控制台1台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床边控制盒1套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冲击波源1套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电容箱1套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冲击波高频高压发生器1套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水处理器1套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X线高频高压发生器组合球管1套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2.10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影像摄像机1台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医用X射线影像增强器1台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影像监视器1台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病例管理系统1套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压腹带1套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硅胶水囊1套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对讲系统1套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工具箱1套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 xml:space="preserve">B超定位装置1台  </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B超机1台</w:t>
      </w: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包8混合动力碎石清石系统</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在碎石的同时，主动将击碎的结石碎片直接清理到患者体外。</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设备为一体化设计，可产生≥3种能量，至少包含超声碎石能量、气压弹道碎石能量、钬激光碎石能量。</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碎石方式≥4种，每一种方式都可以单独碎石。</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超声和气压弹道治疗中不损伤人体软组织，无热产生，不损坏内窥镜。</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采用微电脑控制技术，可精确设置治疗参数，并对治疗参数进行储存。</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配有专门的结石收集装置，能够自动收集结石碎屑，以备研究之用。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具有气压弹道手控器及超声能换能器。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主机装备吸附调控泵，无需外接电源，能对负压吸引的流量大小进行调控。</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空气压缩机具有三级空气过滤装置。</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▲1.10</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激光要配备直径≥200μm的碎石光纤用于输尿管软镜碎石。</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超声频率范围：最小值≤23KHz且最大值≥26.4KHz</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超声能探针尖端主振幅范围：最小值≤20µm且最大值≥80µm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气压弹道能能量≥1J</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气压弹道能探针尖端振幅范围：最小值≤1.5mm且最大值≥2.0mm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气压弹道能频率范围：最小值≤1次/S且最大值≥12次/S</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吸附调控泵最大负压≥0.07Mpa，最大抽水效率≥1L/min</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压力供应范围：最小值≤6bar且最大值≥8bar</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kern w:val="0"/>
          <w:sz w:val="28"/>
          <w:szCs w:val="28"/>
          <w:lang w:val="en-US" w:eastAsia="zh-CN"/>
        </w:rPr>
        <w:t>钬激光波长≥2100nm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钬激光短脉冲宽度（全峰值功率）范围：最小值≤200µs且最大值≥1000µs</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 xml:space="preserve">1.20 </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钬激光长脉冲宽度（全峰值功率）范围：最小值≤200µs且最大值≥1500µs</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治疗激光终端输出平均功率范围：最小值≤1.5W且最大值≥20W</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激光终端最大脉冲能量≥3.5J</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瞄准波长≥532nm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脉冲重复频率范围：最小值≤1Hz且最大值≥20Hz</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断水保护：当冷却系统发生阻断故障时，激光电源自动切断</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★2、必须配套的附属设备设施</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碎石清石系统 1台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超声手柄  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弹道手柄  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超声探针  8根</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弹道探针  5根</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吸附调控泵 1套</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脚踏开关   1个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550um光纤 2根</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200um光纤 2根</w:t>
      </w:r>
    </w:p>
    <w:p>
      <w:pPr>
        <w:jc w:val="left"/>
        <w:rPr>
          <w:rFonts w:hint="eastAsia" w:ascii="宋体" w:hAnsi="宋体" w:eastAsia="宋体" w:cs="宋体"/>
          <w:b w:val="0"/>
          <w:bCs w:val="0"/>
          <w:color w:val="auto"/>
          <w:sz w:val="28"/>
          <w:szCs w:val="28"/>
          <w:highlight w:val="none"/>
          <w:lang w:val="en-US" w:eastAsia="zh-CN"/>
        </w:rPr>
      </w:pPr>
    </w:p>
    <w:p>
      <w:pPr>
        <w:jc w:val="center"/>
        <w:rPr>
          <w:rFonts w:hint="eastAsia" w:ascii="宋体" w:hAnsi="宋体" w:eastAsia="宋体" w:cs="宋体"/>
          <w:b/>
          <w:bCs/>
          <w:color w:val="auto"/>
          <w:sz w:val="28"/>
          <w:szCs w:val="28"/>
          <w:highlight w:val="none"/>
          <w:lang w:val="en-US" w:eastAsia="zh-CN"/>
        </w:rPr>
      </w:pPr>
    </w:p>
    <w:p>
      <w:pPr>
        <w:jc w:val="center"/>
        <w:rPr>
          <w:rFonts w:hint="eastAsia" w:ascii="宋体" w:hAnsi="宋体" w:eastAsia="宋体" w:cs="宋体"/>
          <w:b/>
          <w:bCs/>
          <w:color w:val="auto"/>
          <w:sz w:val="28"/>
          <w:szCs w:val="28"/>
          <w:highlight w:val="none"/>
          <w:lang w:val="en-US" w:eastAsia="zh-CN"/>
        </w:rPr>
      </w:pP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包9尿道膀胱镜技术参数</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1、技术参数</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超广角内窥镜，直径：≤4mm。</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视角度，0度，30度，70度</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视场角：≥60°</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景深范围：最小值≤3mm且最大值≥50mm</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工作长度≥305mm</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镜桥:无插管型、单插管型、双插管型</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镜头采用国际标准卡口，能够适配任何标准接口的冷光源和摄像系统</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内窥镜体采用双层金属外鞘，镜体与内部水晶体连接采用特殊UV材料，耐高温、高压消毒</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内窥镜为采用柱状透镜光学系统，镜头采用环行光源，发光点均匀分布在镜头四周，只需极少光亮就能清晰成像</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★2、必须配套的附属设备设施</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内窥镜，0度 1个</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内窥镜，30度 1个</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内窥镜，70度 1个</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镜鞘，19.5Fr 1个</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闭孔器，19.5Fr 1个</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镜鞘，21.5Fr 1个</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闭孔器，21.5Fr 1个</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转接器 1个</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插入转接器 1个</w:t>
      </w:r>
    </w:p>
    <w:p>
      <w:pPr>
        <w:jc w:val="both"/>
        <w:rPr>
          <w:rFonts w:hint="eastAsia" w:ascii="宋体" w:hAnsi="宋体" w:eastAsia="宋体" w:cs="宋体"/>
          <w:b w:val="0"/>
          <w:bCs w:val="0"/>
          <w:color w:val="auto"/>
          <w:sz w:val="28"/>
          <w:szCs w:val="28"/>
          <w:highlight w:val="none"/>
          <w:lang w:val="en-US" w:eastAsia="zh-CN"/>
        </w:rPr>
      </w:pP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包10电切内窥镜（一）技术参数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电切内窥镜：可连续进出水冲洗对流。</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内窥镜：30°，4mm×302mm高清内窥镜,可消毒</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被动式操作器：被动式</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外鞘：26Fr设置进、出水通道和控制开关；内鞘 24Fr 可360°旋转</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闭孔鞘芯与内鞘配套使用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冲洗接头与内鞘配套使用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内鞘进水接头：遇尿道狭窄时可配合内鞘实现腔内进水，实施单鞘手术</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适配使用单位现有的佳乐牌等离子电切系统主机</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★2、必须配套的附属设备设施</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 1支</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被动式操作器 1把</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外鞘 1支</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内鞘 1支</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内鞘进水接头 1个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冲洗接头 1个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闭孔鞘芯 1支</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冲洗器 1套</w:t>
      </w:r>
    </w:p>
    <w:p>
      <w:pPr>
        <w:jc w:val="left"/>
        <w:rPr>
          <w:rFonts w:hint="eastAsia" w:ascii="宋体" w:hAnsi="宋体" w:eastAsia="宋体" w:cs="宋体"/>
          <w:b w:val="0"/>
          <w:bCs w:val="0"/>
          <w:color w:val="auto"/>
          <w:sz w:val="28"/>
          <w:szCs w:val="28"/>
          <w:highlight w:val="none"/>
          <w:lang w:val="en-US" w:eastAsia="zh-CN"/>
        </w:rPr>
      </w:pP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包11电切内窥镜（二）技术参数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电切内窥镜：可连续进出水冲洗对流。</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内窥镜：30°，4mm×302mm高清内窥镜,可消毒</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被动式操作器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外鞘：26Fr设置进、出水通道和控制开关；内鞘 24Fr 可360°旋转</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闭孔鞘芯与内鞘配套使用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冲洗接头与内鞘配套使用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内鞘进水接头：遇尿道狭窄时可配合内鞘实现腔内进水，实施单鞘手术</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★2、必须配套的附属设备设施</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 1支</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被动式操作器 1把</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外鞘 1支</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内鞘 1支</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内鞘进水接头 1个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冲洗接头 1个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闭孔鞘芯 1支</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冲洗器 1套</w:t>
      </w: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包12肾镜技术参数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视向角≥12°，一镜多用。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工作长度≥250mm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器械导引保护设计</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双路灌注通道</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器械通道密封防漏设计，防止灌洗液返流</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内窥镜头端/鞘管直径：≦8.5/≦9.8Fr。</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器械通道：1×≤6.5Fr或2×≦3Fr。</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★2、必须配套的附属设备设施</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纤维输尿管肾镜 1条</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抓钳 2把</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阀片 5个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消毒盒 1个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 密封帽 5个</w:t>
      </w:r>
    </w:p>
    <w:p>
      <w:pPr>
        <w:jc w:val="center"/>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包13输尿管镜技术参数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1、技术参数</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视向角≥0°</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视场角≥75°</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工作长度≥425mm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尖端部外径≥6F</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1.5</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器械通道≥4F</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1.6</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视场中心角分辨力，ra（d）≥0.7C/°</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1.7</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光学镜的有效景深范围：最小值≤3mm且最大值≥20mm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▲1.8</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有效光度率 DM≥560cd/（m2.lm）</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1.9</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支持过氧化氢等离子低温灭菌，环氧乙烷灭菌，戊二醛浸泡灭菌</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★2、必须配套的附属设备设施</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2.1</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输尿管镜 1条</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2.2</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密封帽 5个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2.3</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阀片 5个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2.4</w:t>
      </w:r>
      <w:r>
        <w:rPr>
          <w:rFonts w:hint="eastAsia" w:ascii="宋体" w:hAnsi="宋体" w:eastAsia="宋体" w:cs="宋体"/>
          <w:b w:val="0"/>
          <w:bCs w:val="0"/>
          <w:color w:val="auto"/>
          <w:sz w:val="28"/>
          <w:szCs w:val="28"/>
          <w:highlight w:val="none"/>
          <w:lang w:val="en-US" w:eastAsia="zh-CN"/>
        </w:rPr>
        <w:tab/>
      </w:r>
      <w:r>
        <w:rPr>
          <w:rFonts w:hint="eastAsia" w:ascii="宋体" w:hAnsi="宋体" w:eastAsia="宋体" w:cs="宋体"/>
          <w:b w:val="0"/>
          <w:bCs w:val="0"/>
          <w:color w:val="auto"/>
          <w:sz w:val="28"/>
          <w:szCs w:val="28"/>
          <w:highlight w:val="none"/>
          <w:lang w:val="en-US" w:eastAsia="zh-CN"/>
        </w:rPr>
        <w:t>消毒盒 1个</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2.5   抓钳 2把</w:t>
      </w: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lang w:val="en-US" w:eastAsia="zh-CN"/>
        </w:rPr>
      </w:pPr>
    </w:p>
    <w:p>
      <w:pPr>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8"/>
          <w:szCs w:val="28"/>
          <w:highlight w:val="none"/>
          <w:lang w:val="en-US" w:eastAsia="zh-CN"/>
        </w:rPr>
      </w:pPr>
    </w:p>
    <w:p>
      <w:pPr>
        <w:keepNext w:val="0"/>
        <w:keepLines w:val="0"/>
        <w:widowControl/>
        <w:suppressLineNumbers w:val="0"/>
        <w:jc w:val="left"/>
        <w:outlineLvl w:val="1"/>
        <w:rPr>
          <w:rFonts w:hint="eastAsia" w:ascii="宋体" w:hAnsi="宋体" w:eastAsia="宋体" w:cs="宋体"/>
          <w:color w:val="auto"/>
          <w:sz w:val="28"/>
          <w:szCs w:val="28"/>
          <w:highlight w:val="none"/>
        </w:rPr>
      </w:pPr>
      <w:bookmarkStart w:id="9" w:name="_Toc10153"/>
      <w:bookmarkStart w:id="10" w:name="_Toc12575"/>
      <w:bookmarkStart w:id="11" w:name="_Toc19247"/>
      <w:r>
        <w:rPr>
          <w:rFonts w:hint="eastAsia" w:ascii="宋体" w:hAnsi="宋体" w:eastAsia="宋体" w:cs="宋体"/>
          <w:b/>
          <w:bCs/>
          <w:color w:val="auto"/>
          <w:kern w:val="0"/>
          <w:sz w:val="28"/>
          <w:szCs w:val="28"/>
          <w:highlight w:val="none"/>
          <w:lang w:val="en-US" w:eastAsia="zh-CN" w:bidi="ar"/>
        </w:rPr>
        <w:t>★三、商务要求（注：①以下服务条款产生的所有费用应包含在本次报价中②以下内容中甲方为海南省卫生健康委员会，乙方为供应商，丙方为省级医疗机构/市县卫健委/市县级医疗机构）【投标单位须针对所有商务要求内容提供承诺函加盖投标单位公章】</w:t>
      </w:r>
      <w:bookmarkEnd w:id="9"/>
      <w:bookmarkEnd w:id="10"/>
      <w:bookmarkEnd w:id="11"/>
    </w:p>
    <w:p>
      <w:pPr>
        <w:spacing w:line="360" w:lineRule="auto"/>
        <w:jc w:val="both"/>
        <w:outlineLvl w:val="1"/>
        <w:rPr>
          <w:rFonts w:hint="eastAsia" w:ascii="宋体" w:hAnsi="宋体" w:eastAsia="宋体" w:cs="宋体"/>
          <w:b/>
          <w:bCs/>
          <w:color w:val="auto"/>
          <w:sz w:val="28"/>
          <w:szCs w:val="28"/>
          <w:highlight w:val="none"/>
          <w:lang w:val="en-US" w:eastAsia="zh-CN"/>
        </w:rPr>
      </w:pPr>
      <w:bookmarkStart w:id="12" w:name="_Toc24998"/>
      <w:bookmarkStart w:id="13" w:name="_Toc10308"/>
      <w:bookmarkStart w:id="14" w:name="_Toc10120"/>
      <w:r>
        <w:rPr>
          <w:rFonts w:hint="eastAsia" w:ascii="宋体" w:hAnsi="宋体" w:eastAsia="宋体" w:cs="宋体"/>
          <w:b/>
          <w:bCs/>
          <w:color w:val="auto"/>
          <w:sz w:val="28"/>
          <w:szCs w:val="28"/>
          <w:highlight w:val="none"/>
          <w:lang w:val="en-US" w:eastAsia="zh-CN"/>
        </w:rPr>
        <w:t>1.交货方式：</w:t>
      </w:r>
      <w:bookmarkEnd w:id="12"/>
      <w:bookmarkEnd w:id="13"/>
      <w:bookmarkEnd w:id="14"/>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（1）交货时间：</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采购包1：</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合同签订后30日内交付合同标的物设备。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采购包2：</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合同签订后国产设备30日内，进口设备60日内交付合同标的物设备。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采购包3：</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合同签订后国产设备30日内，进口设备60日内交付合同标的物设备。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采购包4：</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合同签订后国产设备30日内，进口设备60日内交付合同标的物设备。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采购包5：</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合同签订后30日内交付合同标的物设备。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采购包6：</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合同签订后30日内交付合同标的物设备。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采购包7：</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合同签订后30日内交付合同标的物设备。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采购包8：</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合同签订后国产设备30日内，进口设备60日内交付合同标的物设备。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采购包9：</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合同签订后国产设备30日内，进口设备60日内交付合同标的物设备。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采购包10：</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合同签订后国产设备30日内，进口设备60日内交付合同标的物设备。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采购包11：</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合同签订后30日内交付合同标的物设备。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采购包12：</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合同签订后30日内交付合同标的物设备。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采购包13：</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合同签订后国产设备30日内，进口设备60日内交付合同标的物设备。</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（2）交货流程：在货物到丙方指定地点后，乙方应在7天内派工程技术人员到达现场，在丙方的技术人员在场的情况下开箱清点货物，组织安装调试，并承担因此发生的一切费用。</w:t>
      </w:r>
    </w:p>
    <w:p>
      <w:pPr>
        <w:spacing w:line="360" w:lineRule="auto"/>
        <w:jc w:val="both"/>
        <w:outlineLvl w:val="9"/>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（3）交货地点：丙方指定地点。</w:t>
      </w:r>
    </w:p>
    <w:p>
      <w:pPr>
        <w:spacing w:line="360" w:lineRule="auto"/>
        <w:jc w:val="both"/>
        <w:outlineLvl w:val="1"/>
        <w:rPr>
          <w:rFonts w:hint="eastAsia" w:ascii="宋体" w:hAnsi="宋体" w:eastAsia="宋体" w:cs="宋体"/>
          <w:b/>
          <w:bCs/>
          <w:color w:val="auto"/>
          <w:sz w:val="28"/>
          <w:szCs w:val="28"/>
          <w:highlight w:val="none"/>
          <w:lang w:val="en-US" w:eastAsia="zh-CN"/>
        </w:rPr>
      </w:pPr>
      <w:bookmarkStart w:id="15" w:name="_Toc9265"/>
      <w:bookmarkStart w:id="16" w:name="_Toc24734"/>
      <w:bookmarkStart w:id="17" w:name="_Toc17130"/>
      <w:r>
        <w:rPr>
          <w:rFonts w:hint="eastAsia" w:ascii="宋体" w:hAnsi="宋体" w:eastAsia="宋体" w:cs="宋体"/>
          <w:b/>
          <w:bCs/>
          <w:color w:val="auto"/>
          <w:sz w:val="28"/>
          <w:szCs w:val="28"/>
          <w:highlight w:val="none"/>
          <w:lang w:val="en-US" w:eastAsia="zh-CN"/>
        </w:rPr>
        <w:t>2.货物质量及配套材料</w:t>
      </w:r>
      <w:bookmarkEnd w:id="15"/>
      <w:bookmarkEnd w:id="16"/>
      <w:bookmarkEnd w:id="17"/>
    </w:p>
    <w:p>
      <w:pPr>
        <w:keepNext w:val="0"/>
        <w:keepLines w:val="0"/>
        <w:pageBreakBefore w:val="0"/>
        <w:kinsoku/>
        <w:wordWrap/>
        <w:overflowPunct/>
        <w:topLinePunct w:val="0"/>
        <w:autoSpaceDE/>
        <w:autoSpaceDN/>
        <w:bidi w:val="0"/>
        <w:adjustRightInd/>
        <w:snapToGrid w:val="0"/>
        <w:spacing w:line="336" w:lineRule="auto"/>
        <w:ind w:firstLine="703" w:firstLineChars="25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2.1货物质量</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6"/>
          <w:rFonts w:hint="eastAsia" w:ascii="宋体" w:hAnsi="宋体" w:eastAsia="宋体" w:cs="宋体"/>
          <w:color w:val="auto"/>
          <w:sz w:val="28"/>
          <w:szCs w:val="28"/>
          <w:highlight w:val="none"/>
        </w:rPr>
      </w:pPr>
      <w:r>
        <w:rPr>
          <w:rStyle w:val="6"/>
          <w:rFonts w:hint="eastAsia" w:ascii="宋体" w:hAnsi="宋体" w:eastAsia="宋体" w:cs="宋体"/>
          <w:color w:val="auto"/>
          <w:sz w:val="28"/>
          <w:szCs w:val="28"/>
          <w:highlight w:val="none"/>
          <w:lang w:val="en-US" w:eastAsia="zh-CN"/>
        </w:rPr>
        <w:t>2</w:t>
      </w:r>
      <w:r>
        <w:rPr>
          <w:rStyle w:val="6"/>
          <w:rFonts w:hint="eastAsia" w:ascii="宋体" w:hAnsi="宋体" w:eastAsia="宋体" w:cs="宋体"/>
          <w:color w:val="auto"/>
          <w:sz w:val="28"/>
          <w:szCs w:val="28"/>
          <w:highlight w:val="none"/>
        </w:rPr>
        <w:t>.1</w:t>
      </w:r>
      <w:r>
        <w:rPr>
          <w:rStyle w:val="6"/>
          <w:rFonts w:hint="eastAsia" w:ascii="宋体" w:hAnsi="宋体" w:eastAsia="宋体" w:cs="宋体"/>
          <w:color w:val="auto"/>
          <w:sz w:val="28"/>
          <w:szCs w:val="28"/>
          <w:highlight w:val="none"/>
          <w:lang w:val="en-US" w:eastAsia="zh-CN"/>
        </w:rPr>
        <w:t>.1</w:t>
      </w:r>
      <w:r>
        <w:rPr>
          <w:rStyle w:val="6"/>
          <w:rFonts w:hint="eastAsia" w:ascii="宋体" w:hAnsi="宋体" w:eastAsia="宋体" w:cs="宋体"/>
          <w:color w:val="auto"/>
          <w:sz w:val="28"/>
          <w:szCs w:val="28"/>
          <w:highlight w:val="none"/>
        </w:rPr>
        <w:t xml:space="preserve"> 该设备同时应符合下列标准：</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6"/>
          <w:rFonts w:hint="eastAsia" w:ascii="宋体" w:hAnsi="宋体" w:eastAsia="宋体" w:cs="宋体"/>
          <w:color w:val="auto"/>
          <w:sz w:val="28"/>
          <w:szCs w:val="28"/>
          <w:highlight w:val="none"/>
        </w:rPr>
      </w:pPr>
      <w:r>
        <w:rPr>
          <w:rStyle w:val="6"/>
          <w:rFonts w:hint="eastAsia" w:ascii="宋体" w:hAnsi="宋体" w:eastAsia="宋体" w:cs="宋体"/>
          <w:color w:val="auto"/>
          <w:sz w:val="28"/>
          <w:szCs w:val="28"/>
          <w:highlight w:val="none"/>
          <w:lang w:val="en-US" w:eastAsia="zh-CN"/>
        </w:rPr>
        <w:t>2</w:t>
      </w:r>
      <w:r>
        <w:rPr>
          <w:rStyle w:val="6"/>
          <w:rFonts w:hint="eastAsia" w:ascii="宋体" w:hAnsi="宋体" w:eastAsia="宋体" w:cs="宋体"/>
          <w:color w:val="auto"/>
          <w:sz w:val="28"/>
          <w:szCs w:val="28"/>
          <w:highlight w:val="none"/>
        </w:rPr>
        <w:t>.1.1</w:t>
      </w:r>
      <w:r>
        <w:rPr>
          <w:rStyle w:val="6"/>
          <w:rFonts w:hint="eastAsia" w:ascii="宋体" w:hAnsi="宋体" w:eastAsia="宋体" w:cs="宋体"/>
          <w:color w:val="auto"/>
          <w:sz w:val="28"/>
          <w:szCs w:val="28"/>
          <w:highlight w:val="none"/>
          <w:lang w:val="en-US" w:eastAsia="zh-CN"/>
        </w:rPr>
        <w:t>.1</w:t>
      </w:r>
      <w:r>
        <w:rPr>
          <w:rStyle w:val="6"/>
          <w:rFonts w:hint="eastAsia" w:ascii="宋体" w:hAnsi="宋体" w:eastAsia="宋体" w:cs="宋体"/>
          <w:color w:val="auto"/>
          <w:sz w:val="28"/>
          <w:szCs w:val="28"/>
          <w:highlight w:val="none"/>
        </w:rPr>
        <w:t>该设备所适用的国家标准（强制性或推荐性标准）、行业标准、地方标准。无论设备的生产地如何，上述标准系指该设备使用地的相关标准。</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6"/>
          <w:rFonts w:hint="eastAsia" w:ascii="宋体" w:hAnsi="宋体" w:eastAsia="宋体" w:cs="宋体"/>
          <w:color w:val="auto"/>
          <w:sz w:val="28"/>
          <w:szCs w:val="28"/>
          <w:highlight w:val="none"/>
        </w:rPr>
      </w:pPr>
      <w:r>
        <w:rPr>
          <w:rStyle w:val="6"/>
          <w:rFonts w:hint="eastAsia" w:ascii="宋体" w:hAnsi="宋体" w:eastAsia="宋体" w:cs="宋体"/>
          <w:color w:val="auto"/>
          <w:sz w:val="28"/>
          <w:szCs w:val="28"/>
          <w:highlight w:val="none"/>
          <w:lang w:val="en-US" w:eastAsia="zh-CN"/>
        </w:rPr>
        <w:t>2</w:t>
      </w:r>
      <w:r>
        <w:rPr>
          <w:rStyle w:val="6"/>
          <w:rFonts w:hint="eastAsia" w:ascii="宋体" w:hAnsi="宋体" w:eastAsia="宋体" w:cs="宋体"/>
          <w:color w:val="auto"/>
          <w:sz w:val="28"/>
          <w:szCs w:val="28"/>
          <w:highlight w:val="none"/>
        </w:rPr>
        <w:t>.1.</w:t>
      </w:r>
      <w:r>
        <w:rPr>
          <w:rStyle w:val="6"/>
          <w:rFonts w:hint="eastAsia" w:ascii="宋体" w:hAnsi="宋体" w:eastAsia="宋体" w:cs="宋体"/>
          <w:color w:val="auto"/>
          <w:sz w:val="28"/>
          <w:szCs w:val="28"/>
          <w:highlight w:val="none"/>
          <w:lang w:val="en-US" w:eastAsia="zh-CN"/>
        </w:rPr>
        <w:t>1.</w:t>
      </w:r>
      <w:r>
        <w:rPr>
          <w:rStyle w:val="6"/>
          <w:rFonts w:hint="eastAsia" w:ascii="宋体" w:hAnsi="宋体" w:eastAsia="宋体" w:cs="宋体"/>
          <w:color w:val="auto"/>
          <w:sz w:val="28"/>
          <w:szCs w:val="28"/>
          <w:highlight w:val="none"/>
        </w:rPr>
        <w:t>2 设备生产企业的标准。</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6"/>
          <w:rFonts w:hint="eastAsia" w:ascii="宋体" w:hAnsi="宋体" w:eastAsia="宋体" w:cs="宋体"/>
          <w:color w:val="auto"/>
          <w:sz w:val="28"/>
          <w:szCs w:val="28"/>
          <w:highlight w:val="none"/>
        </w:rPr>
      </w:pPr>
      <w:r>
        <w:rPr>
          <w:rStyle w:val="6"/>
          <w:rFonts w:hint="eastAsia" w:ascii="宋体" w:hAnsi="宋体" w:eastAsia="宋体" w:cs="宋体"/>
          <w:color w:val="auto"/>
          <w:sz w:val="28"/>
          <w:szCs w:val="28"/>
          <w:highlight w:val="none"/>
          <w:lang w:val="en-US" w:eastAsia="zh-CN"/>
        </w:rPr>
        <w:t>2</w:t>
      </w:r>
      <w:r>
        <w:rPr>
          <w:rStyle w:val="6"/>
          <w:rFonts w:hint="eastAsia" w:ascii="宋体" w:hAnsi="宋体" w:eastAsia="宋体" w:cs="宋体"/>
          <w:color w:val="auto"/>
          <w:sz w:val="28"/>
          <w:szCs w:val="28"/>
          <w:highlight w:val="none"/>
        </w:rPr>
        <w:t>.1.</w:t>
      </w:r>
      <w:r>
        <w:rPr>
          <w:rStyle w:val="6"/>
          <w:rFonts w:hint="eastAsia" w:ascii="宋体" w:hAnsi="宋体" w:eastAsia="宋体" w:cs="宋体"/>
          <w:color w:val="auto"/>
          <w:sz w:val="28"/>
          <w:szCs w:val="28"/>
          <w:highlight w:val="none"/>
          <w:lang w:val="en-US" w:eastAsia="zh-CN"/>
        </w:rPr>
        <w:t>1.</w:t>
      </w:r>
      <w:r>
        <w:rPr>
          <w:rStyle w:val="6"/>
          <w:rFonts w:hint="eastAsia" w:ascii="宋体" w:hAnsi="宋体" w:eastAsia="宋体" w:cs="宋体"/>
          <w:color w:val="auto"/>
          <w:sz w:val="28"/>
          <w:szCs w:val="28"/>
          <w:highlight w:val="none"/>
        </w:rPr>
        <w:t>3 乙方所提供的产品说明书或相关说明文档中所列明的标准。</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6"/>
          <w:rFonts w:hint="eastAsia" w:ascii="宋体" w:hAnsi="宋体" w:eastAsia="宋体" w:cs="宋体"/>
          <w:color w:val="auto"/>
          <w:sz w:val="28"/>
          <w:szCs w:val="28"/>
          <w:highlight w:val="none"/>
        </w:rPr>
      </w:pPr>
      <w:r>
        <w:rPr>
          <w:rStyle w:val="6"/>
          <w:rFonts w:hint="eastAsia" w:ascii="宋体" w:hAnsi="宋体" w:eastAsia="宋体" w:cs="宋体"/>
          <w:color w:val="auto"/>
          <w:sz w:val="28"/>
          <w:szCs w:val="28"/>
          <w:highlight w:val="none"/>
          <w:lang w:val="en-US" w:eastAsia="zh-CN"/>
        </w:rPr>
        <w:t>2</w:t>
      </w:r>
      <w:r>
        <w:rPr>
          <w:rStyle w:val="6"/>
          <w:rFonts w:hint="eastAsia" w:ascii="宋体" w:hAnsi="宋体" w:eastAsia="宋体" w:cs="宋体"/>
          <w:color w:val="auto"/>
          <w:sz w:val="28"/>
          <w:szCs w:val="28"/>
          <w:highlight w:val="none"/>
        </w:rPr>
        <w:t>.1.</w:t>
      </w:r>
      <w:r>
        <w:rPr>
          <w:rStyle w:val="6"/>
          <w:rFonts w:hint="eastAsia" w:ascii="宋体" w:hAnsi="宋体" w:eastAsia="宋体" w:cs="宋体"/>
          <w:color w:val="auto"/>
          <w:sz w:val="28"/>
          <w:szCs w:val="28"/>
          <w:highlight w:val="none"/>
          <w:lang w:val="en-US" w:eastAsia="zh-CN"/>
        </w:rPr>
        <w:t>1.</w:t>
      </w:r>
      <w:r>
        <w:rPr>
          <w:rStyle w:val="6"/>
          <w:rFonts w:hint="eastAsia" w:ascii="宋体" w:hAnsi="宋体" w:eastAsia="宋体" w:cs="宋体"/>
          <w:color w:val="auto"/>
          <w:sz w:val="28"/>
          <w:szCs w:val="28"/>
          <w:highlight w:val="none"/>
        </w:rPr>
        <w:t>4 多项标准不一致的，按最高的标准执行；虽有上述标准，但双方对质量有特别要求的，应按特别要求执行。 </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6"/>
          <w:rFonts w:hint="eastAsia" w:ascii="宋体" w:hAnsi="宋体" w:eastAsia="宋体" w:cs="宋体"/>
          <w:color w:val="auto"/>
          <w:sz w:val="28"/>
          <w:szCs w:val="28"/>
          <w:highlight w:val="none"/>
        </w:rPr>
      </w:pPr>
      <w:r>
        <w:rPr>
          <w:rStyle w:val="6"/>
          <w:rFonts w:hint="eastAsia" w:ascii="宋体" w:hAnsi="宋体" w:eastAsia="宋体" w:cs="宋体"/>
          <w:color w:val="auto"/>
          <w:sz w:val="28"/>
          <w:szCs w:val="28"/>
          <w:highlight w:val="none"/>
          <w:lang w:val="en-US" w:eastAsia="zh-CN"/>
        </w:rPr>
        <w:t>2</w:t>
      </w:r>
      <w:r>
        <w:rPr>
          <w:rStyle w:val="6"/>
          <w:rFonts w:hint="eastAsia" w:ascii="宋体" w:hAnsi="宋体" w:eastAsia="宋体" w:cs="宋体"/>
          <w:color w:val="auto"/>
          <w:sz w:val="28"/>
          <w:szCs w:val="28"/>
          <w:highlight w:val="none"/>
        </w:rPr>
        <w:t>.</w:t>
      </w:r>
      <w:r>
        <w:rPr>
          <w:rStyle w:val="6"/>
          <w:rFonts w:hint="eastAsia" w:ascii="宋体" w:hAnsi="宋体" w:eastAsia="宋体" w:cs="宋体"/>
          <w:color w:val="auto"/>
          <w:sz w:val="28"/>
          <w:szCs w:val="28"/>
          <w:highlight w:val="none"/>
          <w:lang w:val="en-US" w:eastAsia="zh-CN"/>
        </w:rPr>
        <w:t>1.</w:t>
      </w:r>
      <w:r>
        <w:rPr>
          <w:rStyle w:val="6"/>
          <w:rFonts w:hint="eastAsia" w:ascii="宋体" w:hAnsi="宋体" w:eastAsia="宋体" w:cs="宋体"/>
          <w:color w:val="auto"/>
          <w:sz w:val="28"/>
          <w:szCs w:val="28"/>
          <w:highlight w:val="none"/>
        </w:rPr>
        <w:t>2乙方保证其出售的设备是原厂生产的、全新的、未使用过的（包括零部件），生产日期应在自合同签署之日往前推算6个月内</w:t>
      </w:r>
      <w:r>
        <w:rPr>
          <w:rStyle w:val="6"/>
          <w:rFonts w:hint="eastAsia" w:ascii="宋体" w:hAnsi="宋体" w:eastAsia="宋体" w:cs="宋体"/>
          <w:color w:val="auto"/>
          <w:sz w:val="28"/>
          <w:szCs w:val="28"/>
          <w:highlight w:val="none"/>
          <w:lang w:eastAsia="zh-CN"/>
        </w:rPr>
        <w:t>，</w:t>
      </w:r>
      <w:r>
        <w:rPr>
          <w:rStyle w:val="6"/>
          <w:rFonts w:hint="eastAsia" w:ascii="宋体" w:hAnsi="宋体" w:eastAsia="宋体" w:cs="宋体"/>
          <w:color w:val="auto"/>
          <w:sz w:val="28"/>
          <w:szCs w:val="28"/>
          <w:highlight w:val="none"/>
        </w:rPr>
        <w:t>符合原厂质量检测标准（以说明书为准）。</w:t>
      </w:r>
    </w:p>
    <w:p>
      <w:pPr>
        <w:keepNext w:val="0"/>
        <w:keepLines w:val="0"/>
        <w:pageBreakBefore w:val="0"/>
        <w:kinsoku/>
        <w:wordWrap/>
        <w:overflowPunct/>
        <w:topLinePunct w:val="0"/>
        <w:autoSpaceDE/>
        <w:autoSpaceDN/>
        <w:bidi w:val="0"/>
        <w:adjustRightInd/>
        <w:snapToGrid w:val="0"/>
        <w:spacing w:line="336" w:lineRule="auto"/>
        <w:ind w:firstLine="548" w:firstLineChars="196"/>
        <w:rPr>
          <w:rStyle w:val="6"/>
          <w:rFonts w:hint="eastAsia" w:ascii="宋体" w:hAnsi="宋体" w:eastAsia="宋体" w:cs="宋体"/>
          <w:color w:val="auto"/>
          <w:sz w:val="28"/>
          <w:szCs w:val="28"/>
          <w:highlight w:val="none"/>
        </w:rPr>
      </w:pPr>
      <w:r>
        <w:rPr>
          <w:rStyle w:val="6"/>
          <w:rFonts w:hint="eastAsia" w:ascii="宋体" w:hAnsi="宋体" w:eastAsia="宋体" w:cs="宋体"/>
          <w:color w:val="auto"/>
          <w:sz w:val="28"/>
          <w:szCs w:val="28"/>
          <w:highlight w:val="none"/>
          <w:lang w:val="en-US" w:eastAsia="zh-CN"/>
        </w:rPr>
        <w:t>2.2</w:t>
      </w:r>
      <w:r>
        <w:rPr>
          <w:rStyle w:val="6"/>
          <w:rFonts w:hint="eastAsia" w:ascii="宋体" w:hAnsi="宋体" w:eastAsia="宋体" w:cs="宋体"/>
          <w:color w:val="auto"/>
          <w:sz w:val="28"/>
          <w:szCs w:val="28"/>
          <w:highlight w:val="none"/>
        </w:rPr>
        <w:t>配套材料</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6"/>
          <w:rFonts w:hint="eastAsia" w:ascii="宋体" w:hAnsi="宋体" w:eastAsia="宋体" w:cs="宋体"/>
          <w:color w:val="auto"/>
          <w:sz w:val="28"/>
          <w:szCs w:val="28"/>
          <w:highlight w:val="none"/>
        </w:rPr>
      </w:pPr>
      <w:r>
        <w:rPr>
          <w:rStyle w:val="6"/>
          <w:rFonts w:hint="eastAsia" w:ascii="宋体" w:hAnsi="宋体" w:eastAsia="宋体" w:cs="宋体"/>
          <w:color w:val="auto"/>
          <w:sz w:val="28"/>
          <w:szCs w:val="28"/>
          <w:highlight w:val="none"/>
          <w:lang w:val="en-US" w:eastAsia="zh-CN"/>
        </w:rPr>
        <w:t>2.2</w:t>
      </w:r>
      <w:r>
        <w:rPr>
          <w:rStyle w:val="6"/>
          <w:rFonts w:hint="eastAsia" w:ascii="宋体" w:hAnsi="宋体" w:eastAsia="宋体" w:cs="宋体"/>
          <w:color w:val="auto"/>
          <w:sz w:val="28"/>
          <w:szCs w:val="28"/>
          <w:highlight w:val="none"/>
        </w:rPr>
        <w:t>.1 乙方交货时应同时提交设备的下列配套材料：</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6"/>
          <w:rFonts w:hint="eastAsia" w:ascii="宋体" w:hAnsi="宋体" w:eastAsia="宋体" w:cs="宋体"/>
          <w:color w:val="auto"/>
          <w:sz w:val="28"/>
          <w:szCs w:val="28"/>
          <w:highlight w:val="none"/>
        </w:rPr>
      </w:pPr>
      <w:r>
        <w:rPr>
          <w:rStyle w:val="6"/>
          <w:rFonts w:hint="eastAsia" w:ascii="宋体" w:hAnsi="宋体" w:eastAsia="宋体" w:cs="宋体"/>
          <w:color w:val="auto"/>
          <w:sz w:val="28"/>
          <w:szCs w:val="28"/>
          <w:highlight w:val="none"/>
          <w:lang w:val="en-US" w:eastAsia="zh-CN"/>
        </w:rPr>
        <w:t>2.2.1.1</w:t>
      </w:r>
      <w:r>
        <w:rPr>
          <w:rStyle w:val="6"/>
          <w:rFonts w:hint="eastAsia" w:ascii="宋体" w:hAnsi="宋体" w:eastAsia="宋体" w:cs="宋体"/>
          <w:color w:val="auto"/>
          <w:sz w:val="28"/>
          <w:szCs w:val="28"/>
          <w:highlight w:val="none"/>
        </w:rPr>
        <w:t xml:space="preserve"> 原厂出厂证明</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6"/>
          <w:rFonts w:hint="eastAsia" w:ascii="宋体" w:hAnsi="宋体" w:eastAsia="宋体" w:cs="宋体"/>
          <w:color w:val="auto"/>
          <w:sz w:val="28"/>
          <w:szCs w:val="28"/>
          <w:highlight w:val="none"/>
        </w:rPr>
      </w:pPr>
      <w:r>
        <w:rPr>
          <w:rStyle w:val="6"/>
          <w:rFonts w:hint="eastAsia" w:ascii="宋体" w:hAnsi="宋体" w:eastAsia="宋体" w:cs="宋体"/>
          <w:color w:val="auto"/>
          <w:sz w:val="28"/>
          <w:szCs w:val="28"/>
          <w:highlight w:val="none"/>
          <w:lang w:val="en-US" w:eastAsia="zh-CN"/>
        </w:rPr>
        <w:t>2.2.1.2</w:t>
      </w:r>
      <w:r>
        <w:rPr>
          <w:rStyle w:val="6"/>
          <w:rFonts w:hint="eastAsia" w:ascii="宋体" w:hAnsi="宋体" w:eastAsia="宋体" w:cs="宋体"/>
          <w:color w:val="auto"/>
          <w:sz w:val="28"/>
          <w:szCs w:val="28"/>
          <w:highlight w:val="none"/>
        </w:rPr>
        <w:t xml:space="preserve"> 产品合格证书</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6"/>
          <w:rFonts w:hint="eastAsia" w:ascii="宋体" w:hAnsi="宋体" w:eastAsia="宋体" w:cs="宋体"/>
          <w:color w:val="auto"/>
          <w:sz w:val="28"/>
          <w:szCs w:val="28"/>
          <w:highlight w:val="none"/>
        </w:rPr>
      </w:pPr>
      <w:r>
        <w:rPr>
          <w:rStyle w:val="6"/>
          <w:rFonts w:hint="eastAsia" w:ascii="宋体" w:hAnsi="宋体" w:eastAsia="宋体" w:cs="宋体"/>
          <w:color w:val="auto"/>
          <w:sz w:val="28"/>
          <w:szCs w:val="28"/>
          <w:highlight w:val="none"/>
          <w:lang w:val="en-US" w:eastAsia="zh-CN"/>
        </w:rPr>
        <w:t>2.2.1.3</w:t>
      </w:r>
      <w:r>
        <w:rPr>
          <w:rStyle w:val="6"/>
          <w:rFonts w:hint="eastAsia" w:ascii="宋体" w:hAnsi="宋体" w:eastAsia="宋体" w:cs="宋体"/>
          <w:color w:val="auto"/>
          <w:sz w:val="28"/>
          <w:szCs w:val="28"/>
          <w:highlight w:val="none"/>
        </w:rPr>
        <w:t xml:space="preserve"> 保修单</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6"/>
          <w:rFonts w:hint="eastAsia" w:ascii="宋体" w:hAnsi="宋体" w:eastAsia="宋体" w:cs="宋体"/>
          <w:color w:val="auto"/>
          <w:sz w:val="28"/>
          <w:szCs w:val="28"/>
          <w:highlight w:val="none"/>
        </w:rPr>
      </w:pPr>
      <w:r>
        <w:rPr>
          <w:rStyle w:val="6"/>
          <w:rFonts w:hint="eastAsia" w:ascii="宋体" w:hAnsi="宋体" w:eastAsia="宋体" w:cs="宋体"/>
          <w:color w:val="auto"/>
          <w:sz w:val="28"/>
          <w:szCs w:val="28"/>
          <w:highlight w:val="none"/>
          <w:lang w:val="en-US" w:eastAsia="zh-CN"/>
        </w:rPr>
        <w:t>2.2.1.4</w:t>
      </w:r>
      <w:r>
        <w:rPr>
          <w:rStyle w:val="6"/>
          <w:rFonts w:hint="eastAsia" w:ascii="宋体" w:hAnsi="宋体" w:eastAsia="宋体" w:cs="宋体"/>
          <w:color w:val="auto"/>
          <w:sz w:val="28"/>
          <w:szCs w:val="28"/>
          <w:highlight w:val="none"/>
        </w:rPr>
        <w:t xml:space="preserve"> 使用与维护说明书（中文版）</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6"/>
          <w:rFonts w:hint="eastAsia" w:ascii="宋体" w:hAnsi="宋体" w:eastAsia="宋体" w:cs="宋体"/>
          <w:color w:val="auto"/>
          <w:sz w:val="28"/>
          <w:szCs w:val="28"/>
          <w:highlight w:val="none"/>
        </w:rPr>
      </w:pPr>
      <w:r>
        <w:rPr>
          <w:rStyle w:val="6"/>
          <w:rFonts w:hint="eastAsia" w:ascii="宋体" w:hAnsi="宋体" w:eastAsia="宋体" w:cs="宋体"/>
          <w:color w:val="auto"/>
          <w:sz w:val="28"/>
          <w:szCs w:val="28"/>
          <w:highlight w:val="none"/>
          <w:lang w:val="en-US" w:eastAsia="zh-CN"/>
        </w:rPr>
        <w:t>2.2.1.5</w:t>
      </w:r>
      <w:r>
        <w:rPr>
          <w:rStyle w:val="6"/>
          <w:rFonts w:hint="eastAsia" w:ascii="宋体" w:hAnsi="宋体" w:eastAsia="宋体" w:cs="宋体"/>
          <w:color w:val="auto"/>
          <w:sz w:val="28"/>
          <w:szCs w:val="28"/>
          <w:highlight w:val="none"/>
        </w:rPr>
        <w:t>设备物料清单</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6"/>
          <w:rFonts w:hint="eastAsia" w:ascii="宋体" w:hAnsi="宋体" w:eastAsia="宋体" w:cs="宋体"/>
          <w:color w:val="auto"/>
          <w:sz w:val="28"/>
          <w:szCs w:val="28"/>
          <w:highlight w:val="none"/>
        </w:rPr>
      </w:pPr>
      <w:r>
        <w:rPr>
          <w:rStyle w:val="6"/>
          <w:rFonts w:hint="eastAsia" w:ascii="宋体" w:hAnsi="宋体" w:eastAsia="宋体" w:cs="宋体"/>
          <w:color w:val="auto"/>
          <w:sz w:val="28"/>
          <w:szCs w:val="28"/>
          <w:highlight w:val="none"/>
          <w:lang w:val="en-US" w:eastAsia="zh-CN"/>
        </w:rPr>
        <w:t>2.2.1.6</w:t>
      </w:r>
      <w:r>
        <w:rPr>
          <w:rStyle w:val="6"/>
          <w:rFonts w:hint="eastAsia" w:ascii="宋体" w:hAnsi="宋体" w:eastAsia="宋体" w:cs="宋体"/>
          <w:color w:val="auto"/>
          <w:sz w:val="28"/>
          <w:szCs w:val="28"/>
          <w:highlight w:val="none"/>
        </w:rPr>
        <w:t xml:space="preserve"> 其他应当具备的随附单证。</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6"/>
          <w:rFonts w:hint="eastAsia" w:ascii="宋体" w:hAnsi="宋体" w:eastAsia="宋体" w:cs="宋体"/>
          <w:color w:val="auto"/>
          <w:sz w:val="28"/>
          <w:szCs w:val="28"/>
          <w:highlight w:val="none"/>
        </w:rPr>
      </w:pPr>
      <w:r>
        <w:rPr>
          <w:rStyle w:val="6"/>
          <w:rFonts w:hint="eastAsia" w:ascii="宋体" w:hAnsi="宋体" w:eastAsia="宋体" w:cs="宋体"/>
          <w:color w:val="auto"/>
          <w:sz w:val="28"/>
          <w:szCs w:val="28"/>
          <w:highlight w:val="none"/>
          <w:lang w:val="en-US" w:eastAsia="zh-CN"/>
        </w:rPr>
        <w:t>2.2.1.7</w:t>
      </w:r>
      <w:r>
        <w:rPr>
          <w:rStyle w:val="6"/>
          <w:rFonts w:hint="eastAsia" w:ascii="宋体" w:hAnsi="宋体" w:eastAsia="宋体" w:cs="宋体"/>
          <w:color w:val="auto"/>
          <w:sz w:val="28"/>
          <w:szCs w:val="28"/>
          <w:highlight w:val="none"/>
        </w:rPr>
        <w:t xml:space="preserve"> 若产品为进口产品，还应当附有产品的装箱单、报关单、产品进出口检疫书等有关文件。</w:t>
      </w:r>
    </w:p>
    <w:p>
      <w:pPr>
        <w:keepNext w:val="0"/>
        <w:keepLines w:val="0"/>
        <w:pageBreakBefore w:val="0"/>
        <w:kinsoku/>
        <w:wordWrap/>
        <w:overflowPunct/>
        <w:topLinePunct w:val="0"/>
        <w:autoSpaceDE/>
        <w:autoSpaceDN/>
        <w:bidi w:val="0"/>
        <w:adjustRightInd/>
        <w:snapToGrid w:val="0"/>
        <w:spacing w:line="336" w:lineRule="auto"/>
        <w:ind w:firstLine="700" w:firstLineChars="250"/>
        <w:rPr>
          <w:rStyle w:val="6"/>
          <w:rFonts w:hint="eastAsia" w:ascii="宋体" w:hAnsi="宋体" w:eastAsia="宋体" w:cs="宋体"/>
          <w:color w:val="auto"/>
          <w:sz w:val="28"/>
          <w:szCs w:val="28"/>
          <w:highlight w:val="none"/>
        </w:rPr>
      </w:pPr>
      <w:r>
        <w:rPr>
          <w:rStyle w:val="6"/>
          <w:rFonts w:hint="eastAsia" w:ascii="宋体" w:hAnsi="宋体" w:eastAsia="宋体" w:cs="宋体"/>
          <w:color w:val="auto"/>
          <w:sz w:val="28"/>
          <w:szCs w:val="28"/>
          <w:highlight w:val="none"/>
          <w:lang w:val="en-US" w:eastAsia="zh-CN"/>
        </w:rPr>
        <w:t>2.2.1.8</w:t>
      </w:r>
      <w:r>
        <w:rPr>
          <w:rStyle w:val="6"/>
          <w:rFonts w:hint="eastAsia" w:ascii="宋体" w:hAnsi="宋体" w:eastAsia="宋体" w:cs="宋体"/>
          <w:color w:val="auto"/>
          <w:sz w:val="28"/>
          <w:szCs w:val="28"/>
          <w:highlight w:val="none"/>
        </w:rPr>
        <w:t xml:space="preserve"> </w:t>
      </w:r>
      <w:r>
        <w:rPr>
          <w:rStyle w:val="6"/>
          <w:rFonts w:hint="eastAsia" w:ascii="宋体" w:hAnsi="宋体" w:eastAsia="宋体" w:cs="宋体"/>
          <w:color w:val="auto"/>
          <w:sz w:val="28"/>
          <w:szCs w:val="28"/>
          <w:highlight w:val="none"/>
          <w:lang w:val="en-US" w:eastAsia="zh-CN"/>
        </w:rPr>
        <w:t>配</w:t>
      </w:r>
      <w:r>
        <w:rPr>
          <w:rStyle w:val="6"/>
          <w:rFonts w:hint="eastAsia" w:ascii="宋体" w:hAnsi="宋体" w:eastAsia="宋体" w:cs="宋体"/>
          <w:color w:val="auto"/>
          <w:sz w:val="28"/>
          <w:szCs w:val="28"/>
          <w:highlight w:val="none"/>
        </w:rPr>
        <w:t>套材料应用防水袋包装并放在设备包装中，并在设备安装调试完成之后移交丙方。</w:t>
      </w:r>
    </w:p>
    <w:p>
      <w:pPr>
        <w:spacing w:line="360" w:lineRule="auto"/>
        <w:jc w:val="both"/>
        <w:outlineLvl w:val="1"/>
        <w:rPr>
          <w:rFonts w:hint="eastAsia" w:ascii="宋体" w:hAnsi="宋体" w:eastAsia="宋体" w:cs="宋体"/>
          <w:b/>
          <w:bCs/>
          <w:color w:val="auto"/>
          <w:sz w:val="28"/>
          <w:szCs w:val="28"/>
          <w:highlight w:val="none"/>
          <w:lang w:val="en-US" w:eastAsia="zh-CN"/>
        </w:rPr>
      </w:pPr>
      <w:bookmarkStart w:id="18" w:name="_Toc24072"/>
      <w:bookmarkStart w:id="19" w:name="_Toc17996"/>
      <w:bookmarkStart w:id="20" w:name="_Toc1786"/>
      <w:r>
        <w:rPr>
          <w:rFonts w:hint="eastAsia" w:ascii="宋体" w:hAnsi="宋体" w:eastAsia="宋体" w:cs="宋体"/>
          <w:b/>
          <w:bCs/>
          <w:color w:val="auto"/>
          <w:sz w:val="28"/>
          <w:szCs w:val="28"/>
          <w:highlight w:val="none"/>
          <w:lang w:val="en-US" w:eastAsia="zh-CN"/>
        </w:rPr>
        <w:t>3.安装验收</w:t>
      </w:r>
      <w:bookmarkEnd w:id="18"/>
      <w:bookmarkEnd w:id="19"/>
      <w:bookmarkEnd w:id="20"/>
    </w:p>
    <w:p>
      <w:pPr>
        <w:spacing w:line="360" w:lineRule="auto"/>
        <w:ind w:firstLine="560" w:firstLineChars="200"/>
        <w:jc w:val="both"/>
        <w:outlineLvl w:val="9"/>
        <w:rPr>
          <w:rFonts w:hint="eastAsia" w:ascii="宋体" w:hAnsi="宋体" w:eastAsia="宋体" w:cs="宋体"/>
          <w:b/>
          <w:bCs/>
          <w:color w:val="auto"/>
          <w:sz w:val="28"/>
          <w:szCs w:val="28"/>
          <w:highlight w:val="none"/>
        </w:rPr>
      </w:pPr>
      <w:r>
        <w:rPr>
          <w:rFonts w:hint="eastAsia" w:ascii="宋体" w:hAnsi="宋体" w:eastAsia="宋体" w:cs="宋体"/>
          <w:b w:val="0"/>
          <w:bCs w:val="0"/>
          <w:color w:val="auto"/>
          <w:sz w:val="28"/>
          <w:szCs w:val="28"/>
          <w:highlight w:val="none"/>
          <w:lang w:val="en-US" w:eastAsia="zh-CN"/>
        </w:rPr>
        <w:t>安装调试完毕后，丙方根据招投标文件和产品说明书的功能配置、技术参数等进行检验、试用。乙方应向丙方提供要求的验收资料，丙方应在收到完整的验收资料后，在验收报告上签字盖章。</w:t>
      </w:r>
    </w:p>
    <w:p>
      <w:pPr>
        <w:spacing w:line="360" w:lineRule="auto"/>
        <w:jc w:val="both"/>
        <w:outlineLvl w:val="1"/>
        <w:rPr>
          <w:rFonts w:hint="eastAsia" w:ascii="宋体" w:hAnsi="宋体" w:eastAsia="宋体" w:cs="宋体"/>
          <w:b/>
          <w:bCs/>
          <w:color w:val="auto"/>
          <w:sz w:val="28"/>
          <w:szCs w:val="28"/>
          <w:highlight w:val="none"/>
        </w:rPr>
      </w:pPr>
      <w:bookmarkStart w:id="21" w:name="_Toc18989"/>
      <w:bookmarkStart w:id="22" w:name="_Toc11006"/>
      <w:bookmarkStart w:id="23" w:name="_Toc12405"/>
      <w:r>
        <w:rPr>
          <w:rFonts w:hint="eastAsia" w:ascii="宋体" w:hAnsi="宋体" w:eastAsia="宋体" w:cs="宋体"/>
          <w:b/>
          <w:bCs/>
          <w:color w:val="auto"/>
          <w:sz w:val="28"/>
          <w:szCs w:val="28"/>
          <w:highlight w:val="none"/>
          <w:lang w:val="en-US" w:eastAsia="zh-CN"/>
        </w:rPr>
        <w:t>4.</w:t>
      </w:r>
      <w:r>
        <w:rPr>
          <w:rFonts w:hint="eastAsia" w:ascii="宋体" w:hAnsi="宋体" w:eastAsia="宋体" w:cs="宋体"/>
          <w:b/>
          <w:bCs/>
          <w:color w:val="auto"/>
          <w:sz w:val="28"/>
          <w:szCs w:val="28"/>
          <w:highlight w:val="none"/>
        </w:rPr>
        <w:t>设备使用观察期</w:t>
      </w:r>
      <w:bookmarkEnd w:id="21"/>
      <w:bookmarkEnd w:id="22"/>
      <w:bookmarkEnd w:id="23"/>
    </w:p>
    <w:p>
      <w:pPr>
        <w:spacing w:line="360" w:lineRule="auto"/>
        <w:ind w:firstLine="560" w:firstLineChars="200"/>
        <w:jc w:val="both"/>
        <w:outlineLvl w:val="9"/>
        <w:rPr>
          <w:rFonts w:hint="eastAsia" w:ascii="宋体" w:hAnsi="宋体" w:eastAsia="宋体" w:cs="宋体"/>
          <w:b w:val="0"/>
          <w:bCs w:val="0"/>
          <w:color w:val="auto"/>
          <w:sz w:val="28"/>
          <w:szCs w:val="28"/>
          <w:highlight w:val="none"/>
          <w:lang w:eastAsia="zh-CN"/>
        </w:rPr>
      </w:pPr>
      <w:r>
        <w:rPr>
          <w:rFonts w:hint="eastAsia" w:ascii="宋体" w:hAnsi="宋体" w:eastAsia="宋体" w:cs="宋体"/>
          <w:b w:val="0"/>
          <w:bCs w:val="0"/>
          <w:color w:val="auto"/>
          <w:sz w:val="28"/>
          <w:szCs w:val="28"/>
          <w:highlight w:val="none"/>
        </w:rPr>
        <w:t>乙、丙双方约定为从设备安装调试并通过验收合格之日起 60 日为设备使用观察期。</w:t>
      </w:r>
    </w:p>
    <w:p>
      <w:pPr>
        <w:spacing w:line="360" w:lineRule="auto"/>
        <w:jc w:val="left"/>
        <w:outlineLvl w:val="1"/>
        <w:rPr>
          <w:rFonts w:hint="eastAsia" w:ascii="宋体" w:hAnsi="宋体" w:eastAsia="宋体" w:cs="宋体"/>
          <w:b/>
          <w:bCs/>
          <w:color w:val="auto"/>
          <w:sz w:val="28"/>
          <w:szCs w:val="28"/>
          <w:highlight w:val="none"/>
        </w:rPr>
      </w:pPr>
      <w:bookmarkStart w:id="24" w:name="_Toc5575"/>
      <w:bookmarkStart w:id="25" w:name="_Toc4398"/>
      <w:bookmarkStart w:id="26" w:name="_Toc6029"/>
      <w:r>
        <w:rPr>
          <w:rFonts w:hint="eastAsia" w:ascii="宋体" w:hAnsi="宋体" w:eastAsia="宋体" w:cs="宋体"/>
          <w:b/>
          <w:bCs/>
          <w:color w:val="auto"/>
          <w:sz w:val="28"/>
          <w:szCs w:val="28"/>
          <w:highlight w:val="none"/>
          <w:lang w:val="en-US" w:eastAsia="zh-CN"/>
        </w:rPr>
        <w:t>5</w:t>
      </w:r>
      <w:r>
        <w:rPr>
          <w:rFonts w:hint="eastAsia" w:ascii="宋体" w:hAnsi="宋体" w:eastAsia="宋体" w:cs="宋体"/>
          <w:b/>
          <w:bCs/>
          <w:color w:val="auto"/>
          <w:sz w:val="28"/>
          <w:szCs w:val="28"/>
          <w:highlight w:val="none"/>
        </w:rPr>
        <w:t>、售后服务</w:t>
      </w:r>
      <w:bookmarkEnd w:id="24"/>
      <w:bookmarkEnd w:id="25"/>
      <w:bookmarkEnd w:id="26"/>
    </w:p>
    <w:p>
      <w:pP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5.1 01包</w:t>
      </w:r>
      <w:r>
        <w:rPr>
          <w:rFonts w:hint="eastAsia" w:ascii="宋体" w:hAnsi="宋体" w:eastAsia="宋体" w:cs="宋体"/>
          <w:b/>
          <w:bCs/>
          <w:color w:val="auto"/>
          <w:sz w:val="28"/>
          <w:szCs w:val="28"/>
          <w:highlight w:val="none"/>
        </w:rPr>
        <w:t>售后服务要求</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（1）保修期起始日期从设备验收合格移交使用单位之日起算，保修期为：主机≥36个月，相关配件≥36个月，由乙方负责免费维护维修。</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（3）保修期内的开机率，保证开机率≥95%（按工作日计算）。因设备原因导致开机率＜95%时，每超过1天，免费保修期延长5天。</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（5）如配备软件系统，乙方应终身提供软件免费升级，升级必须适配原厂软件，且不得影响设备的质保。</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（7）具有专用的网址或公众号等，免费在线提供临床应用培训及产品操作指导等。</w:t>
      </w:r>
    </w:p>
    <w:p>
      <w:pP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（8）提供备件送达期限：＜4天。设备停产后的备件供应：保证十年。</w:t>
      </w:r>
    </w:p>
    <w:p>
      <w:pPr>
        <w:spacing w:line="360" w:lineRule="auto"/>
        <w:jc w:val="left"/>
        <w:outlineLvl w:val="3"/>
        <w:rPr>
          <w:rFonts w:hint="eastAsia" w:ascii="宋体" w:hAnsi="宋体" w:eastAsia="宋体" w:cs="宋体"/>
          <w:b/>
          <w:bCs/>
          <w:color w:val="auto"/>
          <w:sz w:val="28"/>
          <w:szCs w:val="28"/>
          <w:highlight w:val="none"/>
        </w:rPr>
      </w:pPr>
    </w:p>
    <w:p>
      <w:pP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5.2 02包</w:t>
      </w:r>
      <w:r>
        <w:rPr>
          <w:rFonts w:hint="eastAsia" w:ascii="宋体" w:hAnsi="宋体" w:eastAsia="宋体" w:cs="宋体"/>
          <w:b/>
          <w:bCs/>
          <w:color w:val="auto"/>
          <w:sz w:val="28"/>
          <w:szCs w:val="28"/>
          <w:highlight w:val="none"/>
        </w:rPr>
        <w:t>售后服务要求</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（1）保修期起始日期从设备验收合格移交使用单位之日起算，保修期为：主机≥36个月，相关配件≥36个月，由乙方负责免费维护维修。</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（3）保修期内的开机率，保证开机率≥95%（按工作日计算）。因设备原因导致开机率＜95%时，每超过1天，免费保修期延长5天。</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（5）如配备软件系统，乙方应终身提供软件免费升级，升级必须适配原厂软件，且不得影响设备的质保。</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（7）具有专用的网址或公众号等，免费在线提供临床应用培训及产品操作指导等。</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（8）提供备件送达期限：＜4天。设备停产后的备件供应：保证十年。</w:t>
      </w: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5.3 03包</w:t>
      </w:r>
      <w:r>
        <w:rPr>
          <w:rFonts w:hint="eastAsia" w:ascii="宋体" w:hAnsi="宋体" w:eastAsia="宋体" w:cs="宋体"/>
          <w:b/>
          <w:bCs/>
          <w:color w:val="auto"/>
          <w:sz w:val="28"/>
          <w:szCs w:val="28"/>
          <w:highlight w:val="none"/>
        </w:rPr>
        <w:t>售后服务要求</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（1）保修期起始日期从设备验收合格移交使用单位之日起算，保修期为：主机≥24个月，相关配件≥12个月，由乙方负责免费维护维修。</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（3）保修期内的开机率，保证开机率≥95%（按工作日计算）。因设备原因导致开机率＜95%时，每超过1天，免费保修期延长5天。</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（5）如配备软件系统，乙方应终身提供软件免费升级，升级必须适配原厂软件，且不得影响设备的质保。</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（7）具有专用的网址或公众号等，免费在线提供临床应用培训及产品操作指导等。</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（8）提供备件送达期限：＜4天。设备停产后的备件供应：保证十年。</w:t>
      </w: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5.4 04包</w:t>
      </w:r>
      <w:r>
        <w:rPr>
          <w:rFonts w:hint="eastAsia" w:ascii="宋体" w:hAnsi="宋体" w:eastAsia="宋体" w:cs="宋体"/>
          <w:b/>
          <w:bCs/>
          <w:color w:val="auto"/>
          <w:sz w:val="28"/>
          <w:szCs w:val="28"/>
          <w:highlight w:val="none"/>
        </w:rPr>
        <w:t>售后服务要求</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（1）保修期起始日期从设备验收合格移交使用单位之日起算，保修期为：主机≥12个月，相关配件≥12个月，由乙方负责免费维护维修。</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（3）保修期内的开机率，保证开机率≥95%（按工作日计算）。因设备原因导致开机率＜95%时，每超过1天，免费保修期延长5天。</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（5）如配备软件系统，乙方应终身提供软件免费升级，升级必须适配原厂软件，且不得影响设备的质保。</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（7）具有专用的网址或公众号等，在线提供临床应用直播及产品操作指导等。</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（8）若设备需链接医院网络信息系统，供应商应负责设备（含软件及相关服务）与使用医院网络端口链接的相关安装及费用。</w:t>
      </w:r>
    </w:p>
    <w:p>
      <w:pPr>
        <w:jc w:val="both"/>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（9）提供备件送达期限：＜4天。设备停产后的备件供应：保证十年。</w:t>
      </w:r>
    </w:p>
    <w:p>
      <w:pPr>
        <w:jc w:val="both"/>
        <w:rPr>
          <w:rFonts w:hint="eastAsia" w:ascii="宋体" w:hAnsi="宋体" w:eastAsia="宋体" w:cs="宋体"/>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5.5 05包</w:t>
      </w:r>
      <w:r>
        <w:rPr>
          <w:rFonts w:hint="eastAsia" w:ascii="宋体" w:hAnsi="宋体" w:eastAsia="宋体" w:cs="宋体"/>
          <w:b/>
          <w:bCs/>
          <w:color w:val="auto"/>
          <w:sz w:val="28"/>
          <w:szCs w:val="28"/>
          <w:highlight w:val="none"/>
        </w:rPr>
        <w:t>售后服务要求</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（1）保修期起始日期从设备验收合格移交使用单位之日起算，保修期为：主机≥36个月，相关配件≥36个月，由乙方负责免费维护维修。</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（3）保修期内的开机率，保证开机率≥95%（按工作日计算）。因设备原因导致开机率＜95%时，每超过1天，免费保修期延长5天。</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（5）如配备软件系统，乙方应终身提供软件免费升级，升级必须适配原厂软件，且不得影响设备的质保。</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（7）具有专用的网址或公众号等，在线提供临床应用直播及产品操作指导等。</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（8）若设备需链接医院网络信息系统，供应商应负责设备（含软件及相关服务）与使用医院网络端口链接的相关安装及费用。</w:t>
      </w:r>
    </w:p>
    <w:p>
      <w:pPr>
        <w:jc w:val="left"/>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（9）提供备件送达期限：＜4天。设备停产后的备件供应：保证十年。</w:t>
      </w: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5.6 06包</w:t>
      </w:r>
      <w:r>
        <w:rPr>
          <w:rFonts w:hint="eastAsia" w:ascii="宋体" w:hAnsi="宋体" w:eastAsia="宋体" w:cs="宋体"/>
          <w:b/>
          <w:bCs/>
          <w:color w:val="auto"/>
          <w:sz w:val="28"/>
          <w:szCs w:val="28"/>
          <w:highlight w:val="none"/>
        </w:rPr>
        <w:t>售后服务要求</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保修期起始日期从设备验收合格移交使用单位之日起算，保修期为：主机≥12个月，相关配件≥12个月，由乙方负责免费维护维修。</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保修期内的开机率，保证开机率≥95%（按工作日计算）。因设备原因导致开机率＜95%时，每超过1天，免费保修期延长5天。</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如配备软件系统，乙方应终身提供软件免费升级，升级必须适配原厂软件，且不得影响设备的质保。</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（6）</w:t>
      </w:r>
      <w:r>
        <w:rPr>
          <w:rFonts w:hint="eastAsia" w:ascii="宋体" w:hAnsi="宋体" w:eastAsia="宋体" w:cs="宋体"/>
          <w:b w:val="0"/>
          <w:bCs w:val="0"/>
          <w:color w:val="auto"/>
          <w:sz w:val="28"/>
          <w:szCs w:val="28"/>
          <w:highlight w:val="none"/>
          <w:lang w:val="en-US" w:eastAsia="zh-CN"/>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（7）</w:t>
      </w:r>
      <w:r>
        <w:rPr>
          <w:rFonts w:hint="eastAsia" w:ascii="宋体" w:hAnsi="宋体" w:eastAsia="宋体" w:cs="宋体"/>
          <w:b w:val="0"/>
          <w:bCs w:val="0"/>
          <w:color w:val="auto"/>
          <w:sz w:val="28"/>
          <w:szCs w:val="28"/>
          <w:highlight w:val="none"/>
          <w:lang w:val="en-US" w:eastAsia="zh-CN"/>
        </w:rPr>
        <w:t>具有专用的网址或公众号等，在线提供临床应用直播及产品操作指导等。</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（8）</w:t>
      </w:r>
      <w:r>
        <w:rPr>
          <w:rFonts w:hint="eastAsia" w:ascii="宋体" w:hAnsi="宋体" w:eastAsia="宋体" w:cs="宋体"/>
          <w:b w:val="0"/>
          <w:bCs w:val="0"/>
          <w:color w:val="auto"/>
          <w:sz w:val="28"/>
          <w:szCs w:val="28"/>
          <w:highlight w:val="none"/>
          <w:lang w:val="en-US" w:eastAsia="zh-CN"/>
        </w:rPr>
        <w:t>若设备需链接医院网络信息系统，供应商应负责设备（含软件及相关服务）与使用医院网络端口链接的相关安装及费用。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（9）</w:t>
      </w:r>
      <w:r>
        <w:rPr>
          <w:rFonts w:hint="eastAsia" w:ascii="宋体" w:hAnsi="宋体" w:eastAsia="宋体" w:cs="宋体"/>
          <w:b w:val="0"/>
          <w:bCs w:val="0"/>
          <w:color w:val="auto"/>
          <w:sz w:val="28"/>
          <w:szCs w:val="28"/>
          <w:highlight w:val="none"/>
          <w:lang w:val="en-US" w:eastAsia="zh-CN"/>
        </w:rPr>
        <w:t>提供备件送达期限：＜4天。设备停产后的备件供应：保证十年。</w:t>
      </w: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5.7 07包</w:t>
      </w:r>
      <w:r>
        <w:rPr>
          <w:rFonts w:hint="eastAsia" w:ascii="宋体" w:hAnsi="宋体" w:eastAsia="宋体" w:cs="宋体"/>
          <w:b/>
          <w:bCs/>
          <w:color w:val="auto"/>
          <w:sz w:val="28"/>
          <w:szCs w:val="28"/>
          <w:highlight w:val="none"/>
        </w:rPr>
        <w:t>售后服务要求</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保修期起始日期从设备验收合格移交使用单位之日起算，保修期为：主机≥60个月，相关配件≥60个月，由乙方负责免费维护维修。</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保修期内的开机率，保证开机率≥95%（按工作日计算）。因设备原因导致开机率＜95%时，每超过1天，免费保修期延长5天。</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如配备软件系统，乙方应终身提供软件免费升级，升级必须适配原厂软件，且不得影响设备的质保。</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（6）</w:t>
      </w:r>
      <w:r>
        <w:rPr>
          <w:rFonts w:hint="eastAsia" w:ascii="宋体" w:hAnsi="宋体" w:eastAsia="宋体" w:cs="宋体"/>
          <w:b w:val="0"/>
          <w:bCs w:val="0"/>
          <w:color w:val="auto"/>
          <w:sz w:val="28"/>
          <w:szCs w:val="28"/>
          <w:highlight w:val="none"/>
          <w:lang w:val="en-US" w:eastAsia="zh-CN"/>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（7）</w:t>
      </w:r>
      <w:r>
        <w:rPr>
          <w:rFonts w:hint="eastAsia" w:ascii="宋体" w:hAnsi="宋体" w:eastAsia="宋体" w:cs="宋体"/>
          <w:b w:val="0"/>
          <w:bCs w:val="0"/>
          <w:color w:val="auto"/>
          <w:sz w:val="28"/>
          <w:szCs w:val="28"/>
          <w:highlight w:val="none"/>
          <w:lang w:val="en-US" w:eastAsia="zh-CN"/>
        </w:rPr>
        <w:t>具有专用的网址或公众号等，在线提供临床应用直播及产品操作指导等。</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（8）</w:t>
      </w:r>
      <w:r>
        <w:rPr>
          <w:rFonts w:hint="eastAsia" w:ascii="宋体" w:hAnsi="宋体" w:eastAsia="宋体" w:cs="宋体"/>
          <w:b w:val="0"/>
          <w:bCs w:val="0"/>
          <w:color w:val="auto"/>
          <w:sz w:val="28"/>
          <w:szCs w:val="28"/>
          <w:highlight w:val="none"/>
          <w:lang w:val="en-US" w:eastAsia="zh-CN"/>
        </w:rPr>
        <w:t>若设备需链接医院网络信息系统，供应商应负责设备（含软件及相关服务）与使用医院网络端口链接的相关安装及费用。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（9）</w:t>
      </w:r>
      <w:r>
        <w:rPr>
          <w:rFonts w:hint="eastAsia" w:ascii="宋体" w:hAnsi="宋体" w:eastAsia="宋体" w:cs="宋体"/>
          <w:b w:val="0"/>
          <w:bCs w:val="0"/>
          <w:color w:val="auto"/>
          <w:sz w:val="28"/>
          <w:szCs w:val="28"/>
          <w:highlight w:val="none"/>
          <w:lang w:val="en-US" w:eastAsia="zh-CN"/>
        </w:rPr>
        <w:t>提供备件送达期限：＜4天。设备停产后的备件供应：保证十年。</w:t>
      </w: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5.8 08包</w:t>
      </w:r>
      <w:r>
        <w:rPr>
          <w:rFonts w:hint="eastAsia" w:ascii="宋体" w:hAnsi="宋体" w:eastAsia="宋体" w:cs="宋体"/>
          <w:b/>
          <w:bCs/>
          <w:color w:val="auto"/>
          <w:sz w:val="28"/>
          <w:szCs w:val="28"/>
          <w:highlight w:val="none"/>
        </w:rPr>
        <w:t>售后服务要求</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保修期起始日期从设备验收合格移交使用单位之日起算，保修期≥36个月，由乙方负责免费维护维修。</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保修期内的开机率，保证开机率≥95%（按工作日计算）。因设备原因导致开机率＜95%时，每超过1天，免费保修期延长5天。</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如配备软件系统，乙方应终身提供软件免费升级，升级必须适配原厂软件，且不得影响设备的质保。</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（6）</w:t>
      </w:r>
      <w:r>
        <w:rPr>
          <w:rFonts w:hint="eastAsia" w:ascii="宋体" w:hAnsi="宋体" w:eastAsia="宋体" w:cs="宋体"/>
          <w:b w:val="0"/>
          <w:bCs w:val="0"/>
          <w:color w:val="auto"/>
          <w:sz w:val="28"/>
          <w:szCs w:val="28"/>
          <w:highlight w:val="none"/>
          <w:lang w:val="en-US" w:eastAsia="zh-CN"/>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（7）</w:t>
      </w:r>
      <w:r>
        <w:rPr>
          <w:rFonts w:hint="eastAsia" w:ascii="宋体" w:hAnsi="宋体" w:eastAsia="宋体" w:cs="宋体"/>
          <w:b w:val="0"/>
          <w:bCs w:val="0"/>
          <w:color w:val="auto"/>
          <w:sz w:val="28"/>
          <w:szCs w:val="28"/>
          <w:highlight w:val="none"/>
          <w:lang w:val="en-US" w:eastAsia="zh-CN"/>
        </w:rPr>
        <w:t>具有专用的网址或公众号等，在线提供临床应用直播及产品操作指导等。</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（8）</w:t>
      </w:r>
      <w:r>
        <w:rPr>
          <w:rFonts w:hint="eastAsia" w:ascii="宋体" w:hAnsi="宋体" w:eastAsia="宋体" w:cs="宋体"/>
          <w:b w:val="0"/>
          <w:bCs w:val="0"/>
          <w:color w:val="auto"/>
          <w:sz w:val="28"/>
          <w:szCs w:val="28"/>
          <w:highlight w:val="none"/>
          <w:lang w:val="en-US" w:eastAsia="zh-CN"/>
        </w:rPr>
        <w:t>若设备需链接医院网络信息系统，供应商应负责设备（含软件及相关服务）与使用医院网络端口链接的相关安装及费用。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（9）</w:t>
      </w:r>
      <w:r>
        <w:rPr>
          <w:rFonts w:hint="eastAsia" w:ascii="宋体" w:hAnsi="宋体" w:eastAsia="宋体" w:cs="宋体"/>
          <w:b w:val="0"/>
          <w:bCs w:val="0"/>
          <w:color w:val="auto"/>
          <w:sz w:val="28"/>
          <w:szCs w:val="28"/>
          <w:highlight w:val="none"/>
          <w:lang w:val="en-US" w:eastAsia="zh-CN"/>
        </w:rPr>
        <w:t>提供备件送达期限：＜4天。设备停产后的备件供应：保证十年。</w:t>
      </w: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5.9 09包</w:t>
      </w:r>
      <w:r>
        <w:rPr>
          <w:rFonts w:hint="eastAsia" w:ascii="宋体" w:hAnsi="宋体" w:eastAsia="宋体" w:cs="宋体"/>
          <w:b/>
          <w:bCs/>
          <w:color w:val="auto"/>
          <w:sz w:val="28"/>
          <w:szCs w:val="28"/>
          <w:highlight w:val="none"/>
        </w:rPr>
        <w:t>售后服务要求</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保修期起始日期从设备验收合格移交使用单位之日起算，保修期≥60个月，由乙方负责免费维护维修。</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具有专用的网址或公众号等，在线提供临床应用直播及产品操作指导等。</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（6）</w:t>
      </w:r>
      <w:r>
        <w:rPr>
          <w:rFonts w:hint="eastAsia" w:ascii="宋体" w:hAnsi="宋体" w:eastAsia="宋体" w:cs="宋体"/>
          <w:b w:val="0"/>
          <w:bCs w:val="0"/>
          <w:color w:val="auto"/>
          <w:sz w:val="28"/>
          <w:szCs w:val="28"/>
          <w:highlight w:val="none"/>
          <w:lang w:val="en-US" w:eastAsia="zh-CN"/>
        </w:rPr>
        <w:t>若设备需链接医院网络信息系统，供应商应负责设备（含软件及相关服务）与使用医院网络端口链接的相关安装及费用。</w:t>
      </w:r>
    </w:p>
    <w:p>
      <w:pPr>
        <w:jc w:val="both"/>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（7）</w:t>
      </w:r>
      <w:r>
        <w:rPr>
          <w:rFonts w:hint="eastAsia" w:ascii="宋体" w:hAnsi="宋体" w:eastAsia="宋体" w:cs="宋体"/>
          <w:b w:val="0"/>
          <w:bCs w:val="0"/>
          <w:color w:val="auto"/>
          <w:sz w:val="28"/>
          <w:szCs w:val="28"/>
          <w:highlight w:val="none"/>
          <w:lang w:val="en-US" w:eastAsia="zh-CN"/>
        </w:rPr>
        <w:t>提供备件送达期限：＜4天。设备停产后的备件供应：保证十年。</w:t>
      </w: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5.9 10包</w:t>
      </w:r>
      <w:r>
        <w:rPr>
          <w:rFonts w:hint="eastAsia" w:ascii="宋体" w:hAnsi="宋体" w:eastAsia="宋体" w:cs="宋体"/>
          <w:b/>
          <w:bCs/>
          <w:color w:val="auto"/>
          <w:sz w:val="28"/>
          <w:szCs w:val="28"/>
          <w:highlight w:val="none"/>
        </w:rPr>
        <w:t>售后服务要求</w:t>
      </w:r>
    </w:p>
    <w:p>
      <w:pPr>
        <w:jc w:val="left"/>
        <w:rPr>
          <w:rFonts w:hint="eastAsia" w:ascii="宋体" w:hAnsi="宋体" w:eastAsia="宋体" w:cs="宋体"/>
          <w:b w:val="0"/>
          <w:bCs w:val="0"/>
          <w:color w:val="auto"/>
          <w:sz w:val="28"/>
          <w:szCs w:val="28"/>
          <w:highlight w:val="none"/>
          <w:lang w:val="en-US" w:eastAsia="zh-CN"/>
        </w:rPr>
      </w:pPr>
      <w:bookmarkStart w:id="27" w:name="_Toc3596"/>
      <w:bookmarkStart w:id="28" w:name="_Toc23837"/>
      <w:r>
        <w:rPr>
          <w:rFonts w:hint="eastAsia" w:ascii="宋体" w:hAnsi="宋体" w:eastAsia="宋体" w:cs="宋体"/>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保修期起始日期从设备验收合格移交使用单位之日起算，保修期≥12个月，由乙方负责免费维护维修。</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具有专用的网址或公众号等，在线提供临床应用直播及产品操作指导等。</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（6）</w:t>
      </w:r>
      <w:r>
        <w:rPr>
          <w:rFonts w:hint="eastAsia" w:ascii="宋体" w:hAnsi="宋体" w:eastAsia="宋体" w:cs="宋体"/>
          <w:b w:val="0"/>
          <w:bCs w:val="0"/>
          <w:color w:val="auto"/>
          <w:sz w:val="28"/>
          <w:szCs w:val="28"/>
          <w:highlight w:val="none"/>
          <w:lang w:val="en-US" w:eastAsia="zh-CN"/>
        </w:rPr>
        <w:t>若设备需链接医院网络信息系统，供应商应负责设备（含软件及相关服务）与使用医院网络端口链接的相关安装及费用。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（7）</w:t>
      </w:r>
      <w:r>
        <w:rPr>
          <w:rFonts w:hint="eastAsia" w:ascii="宋体" w:hAnsi="宋体" w:eastAsia="宋体" w:cs="宋体"/>
          <w:b w:val="0"/>
          <w:bCs w:val="0"/>
          <w:color w:val="auto"/>
          <w:sz w:val="28"/>
          <w:szCs w:val="28"/>
          <w:highlight w:val="none"/>
          <w:lang w:val="en-US" w:eastAsia="zh-CN"/>
        </w:rPr>
        <w:t>提供备件送达期限：＜4天。设备停产后的备件供应：保证十年。</w:t>
      </w: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5.10 11包</w:t>
      </w:r>
      <w:r>
        <w:rPr>
          <w:rFonts w:hint="eastAsia" w:ascii="宋体" w:hAnsi="宋体" w:eastAsia="宋体" w:cs="宋体"/>
          <w:b/>
          <w:bCs/>
          <w:color w:val="auto"/>
          <w:sz w:val="28"/>
          <w:szCs w:val="28"/>
          <w:highlight w:val="none"/>
        </w:rPr>
        <w:t>售后服务要求</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保修期起始日期从设备验收合格移交使用单位之日起算，保修期≥12个月，由乙方负责免费维护维修。</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具有专用的网址或公众号等，在线提供临床应用直播及产品操作指导等。</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（6）</w:t>
      </w:r>
      <w:r>
        <w:rPr>
          <w:rFonts w:hint="eastAsia" w:ascii="宋体" w:hAnsi="宋体" w:eastAsia="宋体" w:cs="宋体"/>
          <w:b w:val="0"/>
          <w:bCs w:val="0"/>
          <w:color w:val="auto"/>
          <w:sz w:val="28"/>
          <w:szCs w:val="28"/>
          <w:highlight w:val="none"/>
          <w:lang w:val="en-US" w:eastAsia="zh-CN"/>
        </w:rPr>
        <w:t>若设备需链接医院网络信息系统，供应商应负责设备（含软件及相关服务）与使用医院网络端口链接的相关安装及费用。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（7）</w:t>
      </w:r>
      <w:r>
        <w:rPr>
          <w:rFonts w:hint="eastAsia" w:ascii="宋体" w:hAnsi="宋体" w:eastAsia="宋体" w:cs="宋体"/>
          <w:b w:val="0"/>
          <w:bCs w:val="0"/>
          <w:color w:val="auto"/>
          <w:sz w:val="28"/>
          <w:szCs w:val="28"/>
          <w:highlight w:val="none"/>
          <w:lang w:val="en-US" w:eastAsia="zh-CN"/>
        </w:rPr>
        <w:t>提供备件送达期限：＜4天。设备停产后的备件供应：保证十年。</w:t>
      </w: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5.10 12包</w:t>
      </w:r>
      <w:r>
        <w:rPr>
          <w:rFonts w:hint="eastAsia" w:ascii="宋体" w:hAnsi="宋体" w:eastAsia="宋体" w:cs="宋体"/>
          <w:b/>
          <w:bCs/>
          <w:color w:val="auto"/>
          <w:sz w:val="28"/>
          <w:szCs w:val="28"/>
          <w:highlight w:val="none"/>
        </w:rPr>
        <w:t>售后服务要求</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保修期起始日期从设备验收合格移交使用单位之日起算，保修期≥60个月，由乙方负责免费维护维修。</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具有专用的网址或公众号等，在线提供临床应用直播及产品操作指导等。</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（6）</w:t>
      </w:r>
      <w:r>
        <w:rPr>
          <w:rFonts w:hint="eastAsia" w:ascii="宋体" w:hAnsi="宋体" w:eastAsia="宋体" w:cs="宋体"/>
          <w:b w:val="0"/>
          <w:bCs w:val="0"/>
          <w:color w:val="auto"/>
          <w:sz w:val="28"/>
          <w:szCs w:val="28"/>
          <w:highlight w:val="none"/>
          <w:lang w:val="en-US" w:eastAsia="zh-CN"/>
        </w:rPr>
        <w:t>若设备需链接医院网络信息系统，供应商应负责设备（含软件及相关服务）与使用医院网络端口链接的相关安装及费用。</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（7）</w:t>
      </w:r>
      <w:r>
        <w:rPr>
          <w:rFonts w:hint="eastAsia" w:ascii="宋体" w:hAnsi="宋体" w:eastAsia="宋体" w:cs="宋体"/>
          <w:b w:val="0"/>
          <w:bCs w:val="0"/>
          <w:color w:val="auto"/>
          <w:sz w:val="28"/>
          <w:szCs w:val="28"/>
          <w:highlight w:val="none"/>
          <w:lang w:val="en-US" w:eastAsia="zh-CN"/>
        </w:rPr>
        <w:t>提供备件送达期限：＜4天。设备停产后的备件供应：保证十年。</w:t>
      </w:r>
    </w:p>
    <w:p>
      <w:pPr>
        <w:spacing w:line="360" w:lineRule="auto"/>
        <w:jc w:val="left"/>
        <w:outlineLvl w:val="3"/>
        <w:rPr>
          <w:rFonts w:hint="eastAsia" w:ascii="宋体" w:hAnsi="宋体" w:eastAsia="宋体" w:cs="宋体"/>
          <w:b/>
          <w:bCs/>
          <w:color w:val="auto"/>
          <w:sz w:val="28"/>
          <w:szCs w:val="28"/>
          <w:highlight w:val="none"/>
          <w:lang w:val="en-US" w:eastAsia="zh-CN"/>
        </w:rPr>
      </w:pPr>
    </w:p>
    <w:p>
      <w:pPr>
        <w:spacing w:line="360" w:lineRule="auto"/>
        <w:jc w:val="left"/>
        <w:outlineLvl w:val="3"/>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5.10 13包</w:t>
      </w:r>
      <w:r>
        <w:rPr>
          <w:rFonts w:hint="eastAsia" w:ascii="宋体" w:hAnsi="宋体" w:eastAsia="宋体" w:cs="宋体"/>
          <w:b/>
          <w:bCs/>
          <w:color w:val="auto"/>
          <w:sz w:val="28"/>
          <w:szCs w:val="28"/>
          <w:highlight w:val="none"/>
        </w:rPr>
        <w:t>售后服务要求</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（1）</w:t>
      </w:r>
      <w:r>
        <w:rPr>
          <w:rFonts w:hint="eastAsia" w:ascii="宋体" w:hAnsi="宋体" w:eastAsia="宋体" w:cs="宋体"/>
          <w:b w:val="0"/>
          <w:bCs w:val="0"/>
          <w:color w:val="auto"/>
          <w:sz w:val="28"/>
          <w:szCs w:val="28"/>
          <w:highlight w:val="none"/>
          <w:lang w:val="en-US" w:eastAsia="zh-CN"/>
        </w:rPr>
        <w:t>保修期起始日期从设备验收合格移交使用单位之日起算，保修期≥60个月，由乙方负责免费维护维修。</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（2）</w:t>
      </w:r>
      <w:r>
        <w:rPr>
          <w:rFonts w:hint="eastAsia" w:ascii="宋体" w:hAnsi="宋体" w:eastAsia="宋体" w:cs="宋体"/>
          <w:b w:val="0"/>
          <w:bCs w:val="0"/>
          <w:color w:val="auto"/>
          <w:sz w:val="28"/>
          <w:szCs w:val="28"/>
          <w:highlight w:val="none"/>
          <w:lang w:val="en-US" w:eastAsia="zh-CN"/>
        </w:rPr>
        <w:t>在保修期内，乙方技术人员应至少每3个月上门对设备进行维护保养；接到各使用单位设备故障报修后乙方技术人员应在2小时内响应并解决问题，未解决则48小时内到达现场，如未到达现场，则按合同第七条第六款执行。免费保修期内如有故障停机，每停机1天，免费保修期将顺延5天。</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（3）</w:t>
      </w:r>
      <w:r>
        <w:rPr>
          <w:rFonts w:hint="eastAsia" w:ascii="宋体" w:hAnsi="宋体" w:eastAsia="宋体" w:cs="宋体"/>
          <w:b w:val="0"/>
          <w:bCs w:val="0"/>
          <w:color w:val="auto"/>
          <w:sz w:val="28"/>
          <w:szCs w:val="28"/>
          <w:highlight w:val="none"/>
          <w:lang w:val="en-US" w:eastAsia="zh-CN"/>
        </w:rPr>
        <w:t>在货物到达使用单位后，乙方应在7天内派工程技术人员到达现场，在使用单位技术人员在场的情况下开箱清点货物，组织安装调试，并承担因此发生的一切费用。 在送货、安装、调试、培训、维修运维操作中，乙方操作人员应严格遵守操作规程，并对自身人身财产安全负责。</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（4）</w:t>
      </w:r>
      <w:r>
        <w:rPr>
          <w:rFonts w:hint="eastAsia" w:ascii="宋体" w:hAnsi="宋体" w:eastAsia="宋体" w:cs="宋体"/>
          <w:b w:val="0"/>
          <w:bCs w:val="0"/>
          <w:color w:val="auto"/>
          <w:sz w:val="28"/>
          <w:szCs w:val="28"/>
          <w:highlight w:val="none"/>
          <w:lang w:val="en-US" w:eastAsia="zh-CN"/>
        </w:rPr>
        <w:t>保修期内，乙方应无偿指导和培训各使用单位维修及使用人员，主要内容为设备的基本结构、性能、主要部件的构造及修理，日常使用保养与管理，常见故障的排除、紧急情况的处理等，培训地点主要在设备安装现场或由各使用单位安排。</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（5）</w:t>
      </w:r>
      <w:r>
        <w:rPr>
          <w:rFonts w:hint="eastAsia" w:ascii="宋体" w:hAnsi="宋体" w:eastAsia="宋体" w:cs="宋体"/>
          <w:b w:val="0"/>
          <w:bCs w:val="0"/>
          <w:color w:val="auto"/>
          <w:sz w:val="28"/>
          <w:szCs w:val="28"/>
          <w:highlight w:val="none"/>
          <w:lang w:val="en-US" w:eastAsia="zh-CN"/>
        </w:rPr>
        <w:t>具有专用的网址或公众号等，在线提供临床应用直播及产品操作指导等。</w:t>
      </w:r>
    </w:p>
    <w:p>
      <w:pPr>
        <w:jc w:val="left"/>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color w:val="auto"/>
          <w:sz w:val="28"/>
          <w:szCs w:val="28"/>
          <w:highlight w:val="none"/>
          <w:lang w:val="en-US" w:eastAsia="zh-CN"/>
        </w:rPr>
        <w:t>（6）</w:t>
      </w:r>
      <w:r>
        <w:rPr>
          <w:rFonts w:hint="eastAsia" w:ascii="宋体" w:hAnsi="宋体" w:eastAsia="宋体" w:cs="宋体"/>
          <w:b w:val="0"/>
          <w:bCs w:val="0"/>
          <w:color w:val="auto"/>
          <w:sz w:val="28"/>
          <w:szCs w:val="28"/>
          <w:highlight w:val="none"/>
          <w:lang w:val="en-US" w:eastAsia="zh-CN"/>
        </w:rPr>
        <w:t>若设备需链接医院网络信息系统，供应商应负责设备（含软件及相关服务）与使用医院网络端口链接的相关安装及费用。</w:t>
      </w:r>
    </w:p>
    <w:p>
      <w:pPr>
        <w:jc w:val="left"/>
        <w:rPr>
          <w:rFonts w:hint="eastAsia" w:ascii="宋体" w:hAnsi="宋体" w:eastAsia="宋体" w:cs="宋体"/>
          <w:b/>
          <w:bCs/>
          <w:color w:val="auto"/>
          <w:sz w:val="28"/>
          <w:szCs w:val="28"/>
          <w:highlight w:val="none"/>
          <w:lang w:val="en-US" w:eastAsia="zh-CN"/>
        </w:rPr>
      </w:pPr>
      <w:r>
        <w:rPr>
          <w:rFonts w:hint="eastAsia" w:ascii="宋体" w:hAnsi="宋体" w:eastAsia="宋体" w:cs="宋体"/>
          <w:color w:val="auto"/>
          <w:sz w:val="28"/>
          <w:szCs w:val="28"/>
          <w:highlight w:val="none"/>
          <w:lang w:val="en-US" w:eastAsia="zh-CN"/>
        </w:rPr>
        <w:t>（7）</w:t>
      </w:r>
      <w:r>
        <w:rPr>
          <w:rFonts w:hint="eastAsia" w:ascii="宋体" w:hAnsi="宋体" w:eastAsia="宋体" w:cs="宋体"/>
          <w:b w:val="0"/>
          <w:bCs w:val="0"/>
          <w:color w:val="auto"/>
          <w:sz w:val="28"/>
          <w:szCs w:val="28"/>
          <w:highlight w:val="none"/>
          <w:lang w:val="en-US" w:eastAsia="zh-CN"/>
        </w:rPr>
        <w:t>提供备件送达期限：＜4天。设备停产后的备件供应：保证十年。</w:t>
      </w:r>
    </w:p>
    <w:p>
      <w:pPr>
        <w:spacing w:line="360" w:lineRule="auto"/>
        <w:jc w:val="left"/>
        <w:outlineLvl w:val="1"/>
        <w:rPr>
          <w:rFonts w:hint="eastAsia" w:ascii="宋体" w:hAnsi="宋体" w:eastAsia="宋体" w:cs="宋体"/>
          <w:b/>
          <w:bCs/>
          <w:color w:val="auto"/>
          <w:sz w:val="28"/>
          <w:szCs w:val="28"/>
          <w:highlight w:val="none"/>
        </w:rPr>
      </w:pPr>
      <w:bookmarkStart w:id="29" w:name="_Toc19449"/>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、付款方式</w:t>
      </w:r>
      <w:bookmarkEnd w:id="27"/>
      <w:bookmarkEnd w:id="28"/>
      <w:bookmarkEnd w:id="29"/>
    </w:p>
    <w:p>
      <w:pPr>
        <w:spacing w:line="360" w:lineRule="auto"/>
        <w:jc w:val="left"/>
        <w:outlineLvl w:val="1"/>
        <w:rPr>
          <w:rFonts w:hint="eastAsia" w:ascii="宋体" w:hAnsi="宋体" w:eastAsia="宋体" w:cs="宋体"/>
          <w:b w:val="0"/>
          <w:bCs w:val="0"/>
          <w:color w:val="auto"/>
          <w:sz w:val="28"/>
          <w:szCs w:val="28"/>
          <w:highlight w:val="none"/>
          <w:lang w:val="en-US" w:eastAsia="zh-CN"/>
        </w:rPr>
      </w:pPr>
      <w:bookmarkStart w:id="30" w:name="_Toc2938"/>
      <w:bookmarkStart w:id="31" w:name="_Toc17178"/>
      <w:bookmarkStart w:id="32" w:name="_Toc5601"/>
      <w:r>
        <w:rPr>
          <w:rFonts w:hint="eastAsia" w:ascii="宋体" w:hAnsi="宋体" w:eastAsia="宋体" w:cs="宋体"/>
          <w:b w:val="0"/>
          <w:bCs w:val="0"/>
          <w:color w:val="auto"/>
          <w:sz w:val="28"/>
          <w:szCs w:val="28"/>
          <w:highlight w:val="none"/>
          <w:lang w:val="en-US" w:eastAsia="zh-CN"/>
        </w:rPr>
        <w:t>（1）合同签订后，设备到货且乙方提供有效的合同总价款的80%税务发票及丙方签字盖章的到货单等相关材料，甲方向乙方支付合同总价款的80%；设备通过验收合格后，乙方向丙方提交有效的合同总价款的20%税务发票、设备使用说明书、维修手册、合格证、保修单和安装验收报告等全部材料，且提交合同总价款5%的银行保函原件（期限为设备验收合格之日起一年）（如付款单位为甲方，则需提供有效的合同总价款的20%税务发票丙方签字盖章的验收报告，其余相关材料交付丙方），丙方（甲方）向乙方支付合同总价款的20%。（如使用单位为省级医疗机构则全部由甲方付款。）</w:t>
      </w:r>
    </w:p>
    <w:p>
      <w:pPr>
        <w:spacing w:line="360" w:lineRule="auto"/>
        <w:jc w:val="left"/>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（2）设备验收合格之日起一年后，经确认乙方所提供设备无任何产品质量、售后问题，丙方退还乙方合同总价款5%的银行保函原件。</w:t>
      </w:r>
    </w:p>
    <w:p>
      <w:pPr>
        <w:spacing w:line="360" w:lineRule="auto"/>
        <w:jc w:val="left"/>
        <w:outlineLvl w:val="1"/>
        <w:rPr>
          <w:rFonts w:hint="eastAsia" w:ascii="宋体" w:hAnsi="宋体" w:eastAsia="宋体" w:cs="宋体"/>
          <w:b w:val="0"/>
          <w:bCs w:val="0"/>
          <w:color w:val="auto"/>
          <w:sz w:val="28"/>
          <w:szCs w:val="28"/>
          <w:highlight w:val="none"/>
          <w:lang w:val="en-US" w:eastAsia="zh-CN"/>
        </w:rPr>
      </w:pPr>
      <w:r>
        <w:rPr>
          <w:rFonts w:hint="eastAsia" w:ascii="宋体" w:hAnsi="宋体" w:eastAsia="宋体" w:cs="宋体"/>
          <w:b w:val="0"/>
          <w:bCs w:val="0"/>
          <w:color w:val="auto"/>
          <w:sz w:val="28"/>
          <w:szCs w:val="28"/>
          <w:highlight w:val="none"/>
          <w:lang w:val="en-US" w:eastAsia="zh-CN"/>
        </w:rPr>
        <w:t>（3）见票付款，乙方应于付款前，按照甲方或丙方要求，提供正规的税务发票，付款单位收到发票后支付相应款项。乙方未提供发票的，付款单位有权暂时不予支付款项，且无需承担相应的违约责任。</w:t>
      </w:r>
    </w:p>
    <w:p>
      <w:pPr>
        <w:spacing w:line="360" w:lineRule="auto"/>
        <w:jc w:val="left"/>
        <w:outlineLvl w:val="1"/>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7、所投货物（第三章采购需求-一、采购清单-采购清单表中的设备）属于二、三类医疗器械产品的须具有医疗器械注册证、医疗器械生产许可证（除进口设备外），属于第一类医疗器械的须具有医疗器械备案凭证、医疗器械生产备案凭证。（提供证书复印件，加盖公章）。</w:t>
      </w:r>
      <w:bookmarkEnd w:id="30"/>
      <w:bookmarkEnd w:id="31"/>
      <w:bookmarkEnd w:id="32"/>
    </w:p>
    <w:p>
      <w:pPr>
        <w:spacing w:line="360" w:lineRule="auto"/>
        <w:jc w:val="left"/>
        <w:outlineLvl w:val="1"/>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8、2024年超长期特别国债“以旧换新”项目医疗设备集中采购项目整体采购预算金额为145343.00万元，投标企业及产品要符合《财政部关于在政府采购活动中对自欧盟进口的医疗器械采取相关措施的通知》（财库〔2025〕19号）要求。(投标人须提供承诺函加盖公章，格式自拟)（适用于所投货物含进口产品的采购包）</w:t>
      </w:r>
    </w:p>
    <w:p>
      <w:pPr>
        <w:spacing w:line="360" w:lineRule="auto"/>
        <w:jc w:val="left"/>
        <w:outlineLvl w:val="1"/>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具体详见附件：</w:t>
      </w:r>
    </w:p>
    <w:p>
      <w:pPr>
        <w:spacing w:line="360" w:lineRule="auto"/>
        <w:jc w:val="left"/>
        <w:outlineLvl w:val="1"/>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1.《财政部关于在政府采购活动中对自欧盟进口的医疗器械</w:t>
      </w:r>
    </w:p>
    <w:p>
      <w:pPr>
        <w:spacing w:line="360" w:lineRule="auto"/>
        <w:jc w:val="left"/>
        <w:outlineLvl w:val="1"/>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采取相关措施的通知》（财库〔2025〕19号）</w:t>
      </w:r>
    </w:p>
    <w:p>
      <w:pPr>
        <w:spacing w:line="360" w:lineRule="auto"/>
        <w:jc w:val="left"/>
        <w:outlineLvl w:val="1"/>
        <w:rPr>
          <w:rFonts w:hint="eastAsia" w:ascii="宋体" w:hAnsi="宋体" w:eastAsia="宋体" w:cs="宋体"/>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2.《关于在政府采购活动中对自欧盟进口的医疗器械采取相关措施的通知》政策问答</w:t>
      </w:r>
    </w:p>
    <w:p>
      <w:pPr>
        <w:rPr>
          <w:color w:val="auto"/>
        </w:rPr>
      </w:pPr>
    </w:p>
    <w:bookmarkEnd w:id="3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A42777"/>
    <w:rsid w:val="03D60954"/>
    <w:rsid w:val="1369556C"/>
    <w:rsid w:val="13DA7422"/>
    <w:rsid w:val="15283737"/>
    <w:rsid w:val="24A42777"/>
    <w:rsid w:val="27294A71"/>
    <w:rsid w:val="29E4170D"/>
    <w:rsid w:val="2B886128"/>
    <w:rsid w:val="316D3DF6"/>
    <w:rsid w:val="35B30245"/>
    <w:rsid w:val="36826685"/>
    <w:rsid w:val="45D31F99"/>
    <w:rsid w:val="466510E8"/>
    <w:rsid w:val="550A5C7C"/>
    <w:rsid w:val="57370CBD"/>
    <w:rsid w:val="57574A7D"/>
    <w:rsid w:val="5C1D0043"/>
    <w:rsid w:val="60D02220"/>
    <w:rsid w:val="6F0D3F47"/>
    <w:rsid w:val="778E7BEF"/>
    <w:rsid w:val="7885426F"/>
    <w:rsid w:val="7D9C1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Indent"/>
    <w:basedOn w:val="1"/>
    <w:next w:val="1"/>
    <w:qFormat/>
    <w:uiPriority w:val="0"/>
    <w:pPr>
      <w:widowControl/>
      <w:spacing w:line="360" w:lineRule="auto"/>
      <w:ind w:firstLine="420"/>
      <w:jc w:val="left"/>
    </w:pPr>
    <w:rPr>
      <w:rFonts w:ascii="宋体"/>
      <w:kern w:val="0"/>
      <w:szCs w:val="20"/>
    </w:rPr>
  </w:style>
  <w:style w:type="paragraph" w:customStyle="1" w:styleId="5">
    <w:name w:val="样式1"/>
    <w:basedOn w:val="1"/>
    <w:qFormat/>
    <w:uiPriority w:val="0"/>
    <w:rPr>
      <w:rFonts w:ascii="Calibri" w:hAnsi="Calibri" w:eastAsia="宋体" w:cs="Times New Roman"/>
      <w:sz w:val="44"/>
    </w:rPr>
  </w:style>
  <w:style w:type="character" w:customStyle="1" w:styleId="6">
    <w:name w:val="NormalCharacter"/>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16039</Words>
  <Characters>17731</Characters>
  <Lines>0</Lines>
  <Paragraphs>0</Paragraphs>
  <TotalTime>0</TotalTime>
  <ScaleCrop>false</ScaleCrop>
  <LinksUpToDate>false</LinksUpToDate>
  <CharactersWithSpaces>18419</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2025-07-21T01:58:00Z</dcterms:created>
  <dc:creator>Administrator</dc:creator>
  <cp:lastModifiedBy>Administrator</cp:lastModifiedBy>
  <dcterms:modified xsi:type="dcterms:W3CDTF">2025-08-06T09:34:20Z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KSOTemplateDocerSaveRecord">
    <vt:lpwstr>eyJoZGlkIjoiNTAzYjIyNjNmYWNmZGI4ZjVhMjMzNmFhMzQ5NDkyMDIiLCJ1c2VySWQiOiIyODc3MzE0MzgifQ==</vt:lpwstr>
  </property>
  <property fmtid="{D5CDD505-2E9C-101B-9397-08002B2CF9AE}" pid="4" name="ICV">
    <vt:lpwstr>830B7275A24040BC943BE4AC409126BD_12</vt:lpwstr>
  </property>
</Properties>
</file>