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海南大学基础实验教学仪器设备更新置换（第四批）-生命健康实验平台仪器设备更新(三次)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HD2025-1-005RR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海南大学基础实验教学仪器设备更新置换（第四批）-生命健康实验平台仪器设备更新(三次)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HD2025-1-005RR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海南大学基础实验教学仪器设备更新置换（第四批）-生命健康实验平台仪器设备更新(三次)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题可致电技术支持：4001691288。5.本项目具有演示环节，供应商如需演示请在开标前电话咨询招标代理机构现场开标人员电话：18976549203。</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采购需求中如有产品属于有关法律、法规和规章有强制性规定但招标文件未列明的情形（例如：节能产品、环境标志产品、3C认证等），则投标人应按照有关法律、法规和规章强制性规定执行。16.1、付款方式：涉及中小企业的，严格按照《保障中小企业款项支付条例》（国务院令802号）等上级文件中的款项支付相关规定执行。如遇到国家法定节假日、学校寒暑假、财政资金到位不及时或财政资金指标调整、不可抗力因素（如自然灾害）等情况，付款周期顺延，甲方不承担由于付款延迟产生的一切责任。本合同采用第_（一）_种付款方式。（一）采取预付款的（预付款金额为50万元含以上）：本合同生效后，乙方向甲方提供有效期至少涵盖本合同指定到货时间点的预付款等额银行保函或者保险保函后，甲方应在5个工作日内向乙方支付合同总金额的 70 %的预付款，即人民币 元； 甲方收到本合同约定的所有货物并验收合格，同时2026年省财政配套经费下拨至学校后，对于满足合同约定支付条件的，自收到乙方开具的合法有效的增值税专用发票后5个工作日内将资金支付到合同约定的账户。在每次付款前，乙方应根据甲方财务管理要求及时提供有效、完整支付材料。16.2、投标保证金将被没收的情形：①投标人在投标文件中提供虚假材料的；②投标人在投标活动中有违反法律、违反政策规定行为的； 16.3、履约保证金将被没收：①中标人擅自转包、转让的；②中标人在投标活动中有违反法律、违反政策规定行为的；③采购合同规定的其他情形。 16.4、投标无效情形：①如投标人在非开标现场上传的电子标书的IP地址相同，则IP地址相同的投标按无效标处理。②如投标人提交的投标文件为虚假材料的，按无效标处理。 16.5述标和/或产（样）品演（展）示：有 16.6是否接受进口产品投标：否 16.7采购需求：（1）采购需求（参考配置及技术要求为定制产品除外） 本项目所有产品均不接受定制产品投标，否则将作为无效投标处理。（2）采购标的物需按照国家相关标准、行业标准、地方标准或者其他标准、规范执行。 16.8委托代表人的资格条件：投标时须提供法定代表人授权委托书和被授权人身份证复印件。 16.9委托代表人的代理权限：委托代表人只能代表委托人处置投标活动中的一般事务。提出质疑、投诉等特殊事项，必须经法定代表人特别授权。 16.10是否允许选择性报价：不接受选择性报价 16.11本项目所属行业：根据《统计上大中小微型企业划分办法（2017）》，本项目所属行业为工业。 16.12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16.13充分、公平竞争保障措施：提供相同品牌产品处理：（1）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1.项目编号：HD2025-1-005RR</w:t>
      </w:r>
    </w:p>
    <w:p>
      <w:pPr>
        <w:pStyle w:val="null3"/>
        <w:jc w:val="both"/>
      </w:pPr>
      <w:r>
        <w:rPr>
          <w:rFonts w:ascii="仿宋_GB2312" w:hAnsi="仿宋_GB2312" w:cs="仿宋_GB2312" w:eastAsia="仿宋_GB2312"/>
          <w:sz w:val="21"/>
        </w:rPr>
        <w:t>2.项目名称：海南大学基础实验教学仪器设备更新置换（第四批）-生命健康实验平台仪器设</w:t>
      </w:r>
      <w:r>
        <w:rPr>
          <w:rFonts w:ascii="仿宋_GB2312" w:hAnsi="仿宋_GB2312" w:cs="仿宋_GB2312" w:eastAsia="仿宋_GB2312"/>
          <w:sz w:val="21"/>
        </w:rPr>
        <w:t>备更新(三次)</w:t>
      </w:r>
    </w:p>
    <w:p>
      <w:pPr>
        <w:pStyle w:val="null3"/>
        <w:jc w:val="both"/>
      </w:pPr>
      <w:r>
        <w:rPr>
          <w:rFonts w:ascii="仿宋_GB2312" w:hAnsi="仿宋_GB2312" w:cs="仿宋_GB2312" w:eastAsia="仿宋_GB2312"/>
          <w:sz w:val="21"/>
        </w:rPr>
        <w:t>3.预算金额：人民币400万元。</w:t>
      </w:r>
    </w:p>
    <w:p>
      <w:pPr>
        <w:pStyle w:val="null3"/>
        <w:jc w:val="both"/>
      </w:pPr>
      <w:r>
        <w:rPr>
          <w:rFonts w:ascii="仿宋_GB2312" w:hAnsi="仿宋_GB2312" w:cs="仿宋_GB2312" w:eastAsia="仿宋_GB2312"/>
          <w:sz w:val="21"/>
        </w:rPr>
        <w:t>4.最高限价：人民币400万元。（报价超过最高限价，按无效响应文件处理）</w:t>
      </w:r>
    </w:p>
    <w:p>
      <w:pPr>
        <w:pStyle w:val="null3"/>
        <w:jc w:val="both"/>
      </w:pPr>
      <w:r>
        <w:rPr>
          <w:rFonts w:ascii="仿宋_GB2312" w:hAnsi="仿宋_GB2312" w:cs="仿宋_GB2312" w:eastAsia="仿宋_GB2312"/>
          <w:sz w:val="21"/>
        </w:rPr>
        <w:t>5.交货期：合同签订后60天内交货且安装调试完毕交付使用；</w:t>
      </w:r>
    </w:p>
    <w:p>
      <w:pPr>
        <w:pStyle w:val="null3"/>
        <w:jc w:val="both"/>
      </w:pPr>
      <w:r>
        <w:rPr>
          <w:rFonts w:ascii="仿宋_GB2312" w:hAnsi="仿宋_GB2312" w:cs="仿宋_GB2312" w:eastAsia="仿宋_GB2312"/>
          <w:sz w:val="21"/>
        </w:rPr>
        <w:t>项目概况（采购标的）核心产品：</w:t>
      </w:r>
    </w:p>
    <w:p>
      <w:pPr>
        <w:pStyle w:val="null3"/>
        <w:jc w:val="left"/>
      </w:pPr>
      <w:r>
        <w:rPr>
          <w:rFonts w:ascii="仿宋_GB2312" w:hAnsi="仿宋_GB2312" w:cs="仿宋_GB2312" w:eastAsia="仿宋_GB2312"/>
          <w:sz w:val="28"/>
          <w:b/>
          <w:color w:val="000000"/>
        </w:rPr>
        <w:t>二、采购需求一览表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948"/>
        <w:gridCol w:w="2094"/>
        <w:gridCol w:w="1018"/>
        <w:gridCol w:w="891"/>
        <w:gridCol w:w="2730"/>
        <w:gridCol w:w="2037"/>
        <w:gridCol w:w="1697"/>
        <w:gridCol w:w="990"/>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采购品目名称</w:t>
            </w:r>
          </w:p>
        </w:tc>
        <w:tc>
          <w:tcPr>
            <w:tcW w:type="dxa" w:w="10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预算单价</w:t>
            </w:r>
          </w:p>
          <w:p>
            <w:pPr>
              <w:pStyle w:val="null3"/>
              <w:jc w:val="center"/>
            </w:pPr>
            <w:r>
              <w:rPr>
                <w:rFonts w:ascii="仿宋_GB2312" w:hAnsi="仿宋_GB2312" w:cs="仿宋_GB2312" w:eastAsia="仿宋_GB2312"/>
                <w:sz w:val="21"/>
                <w:color w:val="000000"/>
              </w:rPr>
              <w:t>（单价限价）</w:t>
            </w:r>
          </w:p>
          <w:p>
            <w:pPr>
              <w:pStyle w:val="null3"/>
              <w:jc w:val="center"/>
            </w:pPr>
            <w:r>
              <w:rPr>
                <w:rFonts w:ascii="仿宋_GB2312" w:hAnsi="仿宋_GB2312" w:cs="仿宋_GB2312" w:eastAsia="仿宋_GB2312"/>
                <w:sz w:val="21"/>
                <w:color w:val="000000"/>
              </w:rPr>
              <w:t>（元）</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是否允许进口产品投标</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是否核心产品</w:t>
            </w:r>
            <w:r>
              <w:rPr>
                <w:rFonts w:ascii="仿宋_GB2312" w:hAnsi="仿宋_GB2312" w:cs="仿宋_GB2312" w:eastAsia="仿宋_GB2312"/>
                <w:sz w:val="21"/>
                <w:color w:val="000000"/>
              </w:rPr>
              <w:t xml:space="preserve">  </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生物组织冷冻包埋机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生物组织摊片烤片机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冷冻切片机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数码生物显微系统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切片机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62000.00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自动组织脱水机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倒置荧光显微镜</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正置显微镜</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倒置显微镜</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体式显微镜</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7750.00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人体生理实验系统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人体生理实验大屏辅助教学系统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除颤器</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粪便尿液分离代谢笼</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肺功能测定仪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动物跑步机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信息化集成化信号采集与处理系统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机能实验辅助教学系统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全自动无创血压测量系统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62000.00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离体组织器官恒温灌流系统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83000.00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恒温平滑肌实验系统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跳台实验视频分析系统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41000.00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离体心脏灌流装置</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23800.00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小鼠</w:t>
            </w:r>
            <w:r>
              <w:rPr>
                <w:rFonts w:ascii="仿宋_GB2312" w:hAnsi="仿宋_GB2312" w:cs="仿宋_GB2312" w:eastAsia="仿宋_GB2312"/>
                <w:sz w:val="20"/>
                <w:b/>
                <w:color w:val="000000"/>
              </w:rPr>
              <w:t>Y形迷宫</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39800.00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旷场实验系统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49800.00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实验性缺氧实验系统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群体动态心电记录仪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无影灯</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二氧化碳培养箱</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52000.00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智能多媒体一体机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39000.00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凝胶成像系统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酶标仪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垂直电泳系统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紫外可见分光光度计</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超声波细胞破碎仪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水平电泳系统</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超微量分光光度计</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基因扩增仪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脱色摇床</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可见光分光光度计</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台式高速冷冻离心机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56000.00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低速离心机</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高压灭菌器</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56000.00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全温摇床</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32000.00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超净工作台</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17500.00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智能热板仪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15800.00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恒温振荡培养箱</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电子分析天平</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电热恒温鼓风干燥箱</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7500.00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生化培养箱</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冰箱</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电子天平</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疲劳转棒仪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足趾容积测量仪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脑定位仪</w:t>
            </w:r>
          </w:p>
        </w:tc>
        <w:tc>
          <w:tcPr>
            <w:tcW w:type="dxa" w:w="10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23100.00</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海南大学基础实验教学仪器设备更新置换（第四批）-生命健康实验平台仪器设备更新(三次）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海南大学基础实验教学仪器设备更新置换（第四批）-生命健康实验平台仪器设备更新（三次）</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标的名称：海南大学基础实验教学仪器设备更新置换（第四批）-生命健康实验平台仪器设备更新(三次）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生物组织冷冻包埋机（1台）：1.主蜡缸容积≥9.0升，一次可连续包埋至少3200个组织，可多次加温增加蜡韧性；双保温缸，一次可以处理大量的包埋盒,尺寸（mm）≥270*225mm；可推拉折叠的缸盖；蜡缸温度范围：0～99℃；保温盒温度范围：0～99℃；工作台温度范围：0～99℃；冷冻台温度：0～－40℃设置；配导蜡槽，可独立加温，残蜡可自动流入保温盒。配置防冷凝水溢出的分体大冷台，出蜡口旁配置双制冷器、双风扇制冷小冷台，小冷台制冷面积（cm²）≥8*9；分体冷冻台制冷面积（mm）≥330×320，可放置80个包埋盒；不锈钢台面，智能化软件控系统，全中文，≥4.3寸彩色触摸液晶显示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▲2.具有智能键功能（可不看屏盲操作），在显示屏无显示和触摸功能损坏时，包埋机的主要功能可正常操作。（投标时须提供满足该项功能要求视频现场演示，演示时长不超过1分钟）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生物组织摊片烤片机（1台）：1.全中文液晶显示；具定时开机和关机功能；集摊漂.烘.烤于一体，热风循环设计；具有摊片、烘片、烤片3路温度控制系统；烤片烘片可双定时；摊片温度：室温～99℃可调；烤片温度：室温～99℃可调；烘片温度：室温～99℃可调；可同时烤片不少于150张玻片。</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3.冷冻切片机（1台）：1.冷冻室控温范围：0℃ - -50℃；冷冻台控温范围：0℃ - -60℃；样本夹头控温范围：0℃ - -50℃；冷冻台附加半导体制冷温度可达：-60℃；无霜冷冻台样本冷冻点位≥24个；冷冻台附加半导体制冷点位≥ 2个；半导体快速制冷工作时间≤15分钟；</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数码生物显微系统（1套）：1.CFI无限远光学系统，可进行明场观察方式；放大倍数：40х—1000х；三目镜筒：倾斜角30º，双目瞳距：50mm—75mm。视点高度可调节，分光50/50，可实现显微镜和摄像系统同时观察；目镜：10X目镜，视场≥20mm，双目镜带屈光度调节；照明系统：白光LED照明。主机内置“复眼光学透镜”，在任何放大倍率下在视野边缘处也可实现均匀明亮的照明；</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物镜：平场消色差物镜4х，NA≥0.10，WD≥25mm;平场消色差物镜10х，NA≥0.25，WD≥6.7mm;平场消色差物镜40х，NA≥0.65，WD≥0.6mm;平场消色差物镜100х，NA≥1.25，WD≥0.14mm；聚光镜：阿贝式聚光镜NA≥1.25，叶片式孔径光栏，有对应于每个物镜位置的颜色标记；转换器：内定位四孔转换器；镜体采用一体化结构,机械筒长≥160 mm；载物台：带样品架，带游标校准，行程（mm）≥76х30；调焦：共轴粗微调，采用交叉滚子导轨机构;调焦行程：向上2mm,向下13mm，粗调：37.7mm/转，微调：0.2mm/转；粗调带有调焦旋钮扭矩调节环，可调节粗调松紧；带有载物台移动限位器；阻尼式切片夹。具有自动限位装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3.数码相机≥1800万像素彩色CMOS，靶面尺寸：≥1/1.8（7.37x4.92），帧率：17@4880x3720，40@2448x1836，50@1728x1296，曝光时间：0.02ms~15s，灵敏度：505mv with 1/30s，暗电流：0.1mv with 1/30s ，相机接口：C型接口，数据传输/供电方式：USB3.0；配套图像分析软件：具备多色合成.图像采集.景深拓展.大图拼接.图像测量等功能；</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4.配置：主机一套（三目观察头一个、10X目镜一对、阿贝聚光器一个、平场消色差物镜一组（四颗，4X，10X， 40X，100X））；数码相机一台（含图像分析软件）；台式电脑一台（台式电脑配置：性能不低于i3处理器，≥8G内存，≥1T硬盘，≥27英寸显示器，USB3.0接口，windows11操作系统）；</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5.为保证售后服务和产品质量，投标时，须提供产品为合法来源产品及原厂技术支持售后服务承诺函（承诺提供不少于5年质保及每年不少于两次巡检维护（巡检维护时间间隔为6个月），格式自拟。</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切片机（1台）：1.≥4.3寸彩色触摸显示屏，实时显示；可自动修片，可在液晶屏上设置复位停留点，自动复位；具有智能键功能（可不看屏盲操作），在显示屏无显示或触摸功能损坏时可正常使用；液晶屏显示石蜡夹头位置、切片计数、切片厚度，一键直达任意设定位置；切片厚度可达到≤0.5μm，有0位指示的精准定位系统；具修片功能，及标本回缩功能；刀片角度：0--10度可调；石蜡夹头上下移动距离≥60mm；前后移动距离≥20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6.自动组织脱水机（1台）：1.液晶显示屏，全中文菜单；.精铸内铸式双重保护干式加温，无需频繁加水； 采用独立双系统双温控，一套系统出现故障时，可切换到另一套使用；开放式、可任意设置吊篮停留滤液时间和吊篮振荡次数的起缸滤液设计，避免前一缸试剂带入后一缸造成混液；运行中可随时添加小标本；缸数量≥12个（9个脱水缸.3个蜡虹）；单缸容积≥1500ml ；单缸处理时间：0～99小时可调；单次处理标准组织盒≥75个。缸数量≥12个（9个脱水缸.3个蜡虹）；单缸容积≥1500ml ；单缸处理时间：0～99小时可调；单次处理标准组织盒≥75个。</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7.倒置荧光显微镜（1套）：一、主机参数：▲1.光学系统：CFI60无限远光学系统，齐焦距离为不低于60mm。放大倍数40-400倍；（投标时须提供能满足该项功能要求的产品官方网站彩页截图）</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观察方法：明场，相差，荧光；照明：高发光白光LED照明，内置复眼照明，确保任何倍率下亮度完全一致；目镜筒：倾角:45度,瞳孔距离:50-75毫米；目镜：10倍目镜，视野：22mm，两个目镜都可以调节曲光度；调焦：通过物镜向上/向下运动,行程(手动):向上7毫米向下1.5毫米粗调:37.7毫米/每转,微调:0.2毫米/每转,粗调扭矩可调；五孔物镜转换器；聚光镜：长工作距离聚光镜（75mm工作距离，可以延伸到190mm）；物镜：切趾相差技术，能保证最佳的相差衬比，能消除通常相差观察中的晕圈等干扰现象。配置四颗平场荧光相差物镜：四倍平场荧光相差物镜N.A. ≥ 0.13, W.D. ≥16.5 mm；十倍平场荧光相差物镜N.A. ≥0.30, W.D. ≥15.2 mm；二十倍平场荧光相差物镜N.A. ≥ 0.45, W.D. 8.2-6.9mm；四十倍相差物镜N.A. ≥0.55, W.D. ≥ 2.1mm；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二、荧光照明系统：3.主机内置荧光转盘，最多可安装三个滤色激发块，附加位置用于明场照明，所有明场通道不与荧光通道共用通道；荧光照明光源配：LED 照明器，内置复眼透镜，可以配置3种不同的荧光LED单元;可用波长:385nm，455nm，470nm，505nm，525nm，590nm，625nm；现配置470nm，560nm两个波长的激发光LED模块；滤色激发块：带通型蓝色激发荧光块一个EX 455-485 nm，DM 500 nm，BA505-555 nm；带通型绿色激发荧光块一个EX 545-575 nm，DM 585 nm，BA595-665 nm；转盘配置“噪声终结”装置。</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▲4.高强度单色LED荧光光源，寿命≥10,000 小时，内置复眼镜片，保证视野亮度均匀；具备照明强度记忆功能；（投标时须提供能满足该项功能要求的产品官方网站彩页截图）</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三、数码相机参数 5.像素≥900 万像素；芯片：彩色 CMOS 芯片，靶面尺寸≥1英寸。像素大小≥3.45μmx3.45μm；帧率≥34@4096x2160.60@2048x1080；曝光时间：0.1ms~15s 。图像分析软件：具备多色合成.图像采集.景深拓展.大图拼接.图像测量等功能。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配置：主机一套（目镜一对、载物台移动尺一个、超长工作距离聚光镜一个、预定中心相差滑板一个、四倍平场荧光相差物镜一个、十倍平场荧光相差物镜一个、二十倍平场荧光相差物镜一个、四十倍相差物镜一个）、荧光光源（385nmLED荧光光源一个、470nmLED荧光光源一个、560nmLED荧光光源一个、带通型高级荧光滤色块一组（两通道， FITC.TEXAS RED））；彩色数码CCD一个；台式电脑一台（性能不低于i5处理器，≥8G内存，≥1T硬盘，≥27英寸显示器，USB3.0接口，windows11操作系统）；</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▲7.为保证售后服务和产品质量，投标时，须提供产品为合法来源产品及原厂技术支持售后服务承诺函（承诺提供不少于5年质保及每年不少于两次巡检维护（巡检维护时间间隔为6个月），格式自拟。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8.正置显微镜（2台）：1.CFI无限远光学系统，可进行明场观察方式；照明系统：高亮白光LED照明。主机内置“复眼光学透镜”，在任何放大倍率下在视野边缘处也可实现均匀明亮的照明；</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放大倍数：40х—1000х；目镜：10X目镜，视场≥20mm，双目镜带屈光度调节；物镜：平场消色差物镜4х，NA≥0.10，WD≥25mm;平场消色差物镜10х，NA≥0.25，WD≥6.7mm;平场消色差物镜40х，NA≥0.65，WD≥0.6mm;平场消色差物镜100х，NA≥1.25，WD≥0.14mm；三目镜筒：倾斜角30º，双目瞳距：50mm—75mm。视点高度可调节。分光50/50，可实现显微镜和摄像系统同时观察；聚光镜：阿贝式聚光镜NA≥1.25，叶片式孔径光栏，有对应于每个物镜位置的颜色标记；4.转换器：内定位四孔转换器；镜体采用一体化结构,机械筒长≥160 mm；载物台：带有样品架，带游标校准，行程（mm）≥76х30；调焦：共轴粗微调，采用交叉滚子导轨机构;调焦行程：向上2mm,向下13mm，粗调：37.7mm/转，微调：0.2mm/转；粗调带有调焦旋钮扭矩调节环，可调节粗调松紧；带有载物台移动限位器；阻尼式切片夹。具有独特的自动限位装置；</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3.配置：主机一套（三目观察头一个、10X目镜一对、阿贝聚光器一个、平场消色差物镜一组（四颗，4X，10X， 40X，100X））；</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4.为保证售后服务和产品质量，投标时，须提供产品为合法来源产品及原厂技术支持售后服务承诺函（承诺提供不少于5年质保及每年不少于两次巡检维护（巡检维护时间间隔为6个月），格式自拟。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9.倒置显微镜（2台）：1.光学系统：无限远光学系统，齐焦距离≥60mm；照明：高发光白光LED照明，内置复眼照明，确保视场内任何倍率下亮度完全一致；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观察方法：明场，相差；放大倍数100-400倍；目镜筒：倾角:45度,瞳孔距离:50 - 75毫米；目镜：10倍目镜，视野≥22mm，两个目镜都可以调节曲光度；双目观察筒，观察筒可接数码相机，0/100%、100%/0分光棱镜旋转式操作，双目筒可转动调节方向；调焦：通过物镜向上/向下运动,行程(手动):向上≥7毫米向下≥1.5毫米粗调≥37.7毫米/每转,微调≤ 0.2毫米/每转,粗调扭矩可调；五孔物镜转换器；载物台≥170*247mm，附带玻璃型载物台环；行程（mm）≥126 (X) x78 (Y) ，配置通用样本夹具一个；聚光镜：长工作距离聚光镜（工作距离≥75mm，可以延伸到≥190mm）；物镜：切趾相差物镜N.A. ≥0.25, W.D. ≥6.2mm；切趾相差物镜N.A. ≥ 0.4, W.D. ≥ 3.1mm；切趾相差物镜N.A. ≥0.55, W.D. ≥2.1mm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3.配置：主机一套（含目镜一对、载物台移动尺一个、培养皿托板一个、预定中心相差滑板一个、十倍切趾相差物镜一个、二十倍切趾相差物镜一个、四十倍切趾相差物镜一个）；</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4.为保证售后服务和产品质量，投标时，须提供产品为合法来源产品及原厂技术支持售后服务承诺函（承诺提供不少于5年质保及每年不少于两次巡检维护（巡检维护时间间隔为6个月），格式自拟。</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10.体式显微镜（2台）：1.光学系统：内斜光路变焦系统；照明系统：LED透反照明；</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2.总放大倍数：根据所用目镜与物镜的组合不同，可以实现3.35-300×的总放大倍数;现有配置获得6.7-50的放大倍数；主机变倍范围：0.67×~5×；变焦比：7.5：1；瞳距调节范围：52~75 mm；工作距离≥115mm；目镜筒：三目镜筒，目镜筒为45º，集成0.55倍C型接口，可接数码相机；目镜：两个目镜带屈光度调节，视场数≥22mm；采用人机功能：密封设计（防尘、防油、防水）；防霉设计；防静电设计；彩色数码相机≥830万像素彩色 CMOS ，靶面尺寸：≥1/1.8”（7.37x4.92），相机接口：C 型接口，数据传输/供电方式：USB3.0；</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3.分析软件：具有多色合成功能；图像采集功能；视频采集功能；景深扩展功能；多图拼接功能；高动态 HDR功能；灰度测量功能；图像测量功能；</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4.配置：主机一台（10X目镜一对、透反射底座一个）；数码相机一台；台式电脑一台（台式电脑配置：性能不低于i3处理器，≥8G内存，≥1T硬盘，≥27英寸显示器，USB3.0接口，windows11操作系统）。</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5.为保证售后服务和产品质量，投标时，须提供产品为合法来源产品及原厂技术支持售后服务承诺函（承诺提供不少于5年质保及每年不少于两次巡检维护（巡检维护时间间隔为6个月），格式自拟。</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11.人体生理实验系统（1套）：一、硬件参数数 (一)人体生理实验工作台 1.工作台：集成化设计，尺寸（mm)≥ 1200×590×750（长×宽×高），底部带2只自锁式移动滑轮，整体可移动和固定；收纳抽屉≥ 2个，尺寸（mm)≥ 390×390×150mm（长×宽×高）；信号采集系统：内嵌于人体生理实验工作台内部，用于采集人体生理信号；数据处理工作站：用于接收各传感器所测数据，并进行处理、分析、生成实验报告等；</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二)信号采集仪器硬件（内置）技术参数：2.物理通道接口数≥4个；配置标准12导联全导联心电接口；物理通道接口扩展性：每个物理通道接口最多可扩展出8个采样通道；4个物理采样通道总共可扩展出32个采样通道；同时采样通道数≥16个；传感器类型与参数自动识别：识别到的传感器类型和参数在软件界面中呈现，当更换不同类型传感器时，软件界面上的传感器信息同时改变；量程：±50μV ~±1V；滤波器：同时具备硬件模拟滤波器、DSP 5阶贝塞尔滤波器、软件数字滤波器:（1）低通：1、2、 5、10、20、50、100、200、500、1k、2k、 5k、10k、20k、50k，合计15档 ；（2）高通（时间常数）：DC、5S、2s、1s、0.5s、0.2s、0.1s、0.05s、0.02s、0.01s、0.005s、0.002s、0.001s，合计13档 ；（3） 50Hz陷波：开、关两档可调；最大采样率≥800KHz；AD转换器：16位4通道同步采样；处理器：性能不低于浮点型DSP+ARM双核处理器；共模抑制比（CMMR）≥100dB;输入阻抗：10M@DC；信噪比≥100dB；等效输入噪声：电压峰峰值≤2.0μV；采样方式：支持连续采样、刺激触发采样、外部触发采样、程控采样；设备配置刺激器：波形：方波、模式：恒流输出方式、电流：0.5mA~20mA、时间步长：0.1ms~1m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(三) 人体生理学实验系统附件包参数 3.中枢神经/感官系统附件包：（1）脑电带：具有FPZ、POZ两位置脑电电极； （2）皮肤电阻传感器：记录人体因各种生理反应引起的皮肤电阻变化，测量范围：2.5uS-125uS，测量误差：±3%； （3）肌腱锤： 频率响应：0-10KHz； （4）位移换能器：采用加速度传感器，分辨率：≤1mg（60Hz），灵敏度&gt;≤200mV/g；能够捕捉微小的动作变化； （5）事件触发开关：合金材料制作，按钮响应； （6）指脉换能器：优质压电片式采集脉搏波； （7）信号输入线：双层屏蔽设计，内层电磁膜，外层金属网，有效抗电磁干扰；</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4.神经/肌肉系统附件包：(1) 握力换能器： ①测量范围：0~1200N； ②综合分辨率：≤0.2%F.S； ③非线性：≤0.1%F.S； ④输出电压：0~10mV； ⑤零点漂移：≤0.03%F.S； ⑥迟滞：≤0.05%F.S (2) 肌电肢夹：ABS医用工程塑料；黄铜导电，无干扰；外表镀镍； (3)人体刺激器：专用于人体神经肌肉类的电刺激实验。 ①安全防护设计：隔离输出，内部设有安全保护； ②刺激输出过程含同步声光提示； ③刺激器纹波：≤500mVpp； ④静息漏电：≤0.1Vrms； ⑤输出波宽保护：10毫秒； ⑥输出刺激电流：0.5~20mA； ⑦步进：0.1mA； ⑧皮肤电阻适应范围：1K~11K（@10mA）； (4) 刺激电极：配合人体神经肌肉刺激器，用于刺激神经。 ①刺激警示：声光提示； ②控制方式：一键式按键启停； ③固定方法：扣式绑带； (5) 指力传感器：采用高精度的测力传感器采集刺激神经时所引起的手指肌肉收缩力。 ①结构：符合人体工学的转向握球设计，方便采集任一手指力； ②固定方式：吸盘式，适用多种光滑桌面； ③传感器绕轴转动方向：0~360º； ④传感器上下移动范围：0~5cm； (6) 信号输入线：双层屏蔽设计，内层电磁膜，外层金属网，有效抗电磁干扰；</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5.循环系统-血压/心音附件包：(1) 人体血压换能器：表式血压计，采集测量血压过程中的压力数据。 ①测量范围0~300 mmHg； ②误差：≤6 mmHg； ③失真：≤1%； ④线性度：≥98%； ⑤零点漂移：≤3mmHg； (2)电子血压计：自动测量动脉血压。 ①收缩压量程：60～230 mmHg，舒张压量程：30～220 mmHg，脉搏数量程：30～200次/min； ②血压分辨率≤1mmHg； (3) 听诊器：钟式听头，适用于听诊低调杂音。 ①听头采用压模热锻而成，组织密度高，无沙孔，音质清晰； ②听头和盖圈采用CNC数控车床高精度加工，听诊时无杂音； (4) 指脉换能器：优质压电片式采集脉搏波。 ①频率响应：≥1500Hz； ②无源设计； (5) 心音换能器：用于测量心音、心尖搏动等信号。响应频率：10~1500Hz，灵敏度：≥20mV/F.S；</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6.循环系统-心电附件包：（1）全导联心电线：香蕉插头，支持心电吸球，心电夹，采用国际标准心电线，抗干扰能力强，接口标准15针； （2）心电肢夹：ABS医用工程塑料，镀镍四肢夹，金属均采用黄铜加工而成，外表镀镍，防止氧化，黄铜导电能力强，无干扰，适用于任何心电图机； （3）吸球电极：导电性优越，吸附性好，采集质量效果好； （4）心电输入线：卡扣式标准单通道导联心电信号输入线；</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7.呼吸系统附件包：（1）呼吸传感器：呼吸最大输入流速≥250L/min；采样率：100Hz；流动阻力：≤0.1 cmH2O/L/sec； （2）围带式呼吸换能器：最大延伸长度：≥100cm；适用胸围：76~120cm；频率响应：&gt;100Hz，量程：0~500mV，采样率：100Hz，分辨率：±10mV； （3）指脉换能器：优质压电片式采集脉搏波； （4）血氧传感器：血氧饱和度测量范围：30%～100%，血氧饱和度分辨率：≤1%； （5）气道阻塞模拟器：内腔直径≥6mm、17mm；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8.能量代谢系统附件包：（1）代谢仪：氧气测量范围：5%~30%，测量误差：±3%；二氧化测量范围：0%~15%，测量误差±5%，流速测量范围：0~100SLM，测量误差：±2%，能量代谢测量误差：±5%；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9.人体无线采集系统附件包：（1）无线人体生理信号采集系统接收器：传输距离≧10m；（2）无线人体生理信号采集系统发送器：体位分辨6个方向（俯卧、直立、倒立、平躺、右侧卧、左侧卧），无线传输距离10米（无遮挡），待机时间600天，电池续航能力24小时，文件存储容量16G，信号采集方式：离线、在线；（3）数据线：micro USB 长度1米；（4）充电器：输入：100~240V 50/60Hz，0.5A，输出：5V 2A；</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10.人体生理实验系统附件手推车：（1）塑料材质，白色，共四层，每层三个侧面有档杆（板），最上层一端有扶手； （2）底部带车轮，其中两个轮子带刹车；</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11.摆动测定系统附件包：（1）图像采集驱动软件； （2）数字图像采集硬件； （3）准确测量细胞的拍频，计算摆动的频率，幅度； （4）在样品中加入试剂后，短暂测量或定期记录长达24小时；</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12.动感单车附件包：（1）阻力调节：磁控阻力调节，档位：8档； （2）承重：约120kg； （3）单车重量：约25kg； （4）单车尺寸（mm）：约960 ×510 ×1280 mm（长宽高）； （5）显示屏：液晶显示屏幕，显示阻力、路程、速度、心率等内容；</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13.检查床附件包：（1）外形尺寸（mm）≥1790×590×460；可折叠收纳尺寸（mm）≥ 890×580×220； （2）重量＜33kg；承重≥100kg； （3）材质：碳钢+海绵+皮革；</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二、 软件参数 (一) 人体生理实验软件技术参数 14.软件显示通道数：1~64通道可变，同时采集并显示12导联心电波形；通道差异化采样率：不同通道可设置不同采样率进行数据采样、不同采样率的信号可同步记录及同步显示，差异化采样率在提高信号质量的同时减少存贮空间；硬件监听控制：可以通过软件控制信号采集仪器的监听功能，选择监听的通道号及音量；采样和反演同时进行：在信号实时采集过程中，可以同时打开以前记录的文件进行查看、对比、分析等操作；同时反演文件数≥4个；反演文件时可同步播放声音：可以在播放反演波形的同时播放信号声音，比如播放人体心音，便于学生从形态和声音两个方面理解生理信号；刺激器功能：可根据人体实验所需设置刺激器基本参数，如刺激强度、刺激频率和脉冲个数，也可设置高级参数，如强度增量、频率增量、脉冲增量、刺激脉宽。可在刺激参数调节区进行设置，也可从相应实验模块进行设置；通用数据处理：微分、积分、频率直方图、序列密度直方图、非序列密度直方图、频谱分析、平均血压、数字滤波分析以及基于包络算法的心率曲线分析等；心功能参数分析：PR、QT、QRS、ST、RR等间期分析，波段时程分析，波幅度分析，心电向量图，心音分析；肌电分析：积分肌电，均方根振幅，平均功率频率分析，中位频率分析，幅度分析，回归曲线分析；脑电分析：Alpha，Beta，Delta，Theta波分析；肺功能分析：肺活量分析，时间肺活量，最大肺活量，呼气流量（或流速）-容积曲线等分析；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代谢分析：基础代谢分析，能量代谢分析，自动计算呼吸商等；呼吸波为实时的真实波形；眼电分析：肌电分析、眼动幅度、眼动速度等；数据测量：单点测量、带Mark标记的两点测量、区间测量、实时测量，可测量出波形的最大、最小、平均值，时间、频率、面积等参数；软件实验模块内嵌web电子教材，包括：24.（1）实验原理：生动形象的视频动画或图片讲解实验原理， （2）实验项目：包含图文并茂的实验说明、实验步骤和实验报告，（3）发展历史：了解人体生理参数的研究历程， （4）临床应用：基础医学与临床病例想结合， （5）文献：列举本实验设计中的参考文献， （6）思考题：涵盖原理与实验步骤的问题思考， （7）小测试：对实验相关知识的进一步巩固； 内嵌动画引导的实验操作指南： （1）神经肌肉实验包含＞40个视频动画； （2）循环系统实验包含＞ 40个视频动画；人体生理实验模块：包含中枢神经系统实验、神经肌肉实验、运动生理实验、循环系统、呼吸实验、感觉器官等类别至少22个人体生理实验模块；</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(二) 实验模块：15.中枢神经系统实验、神经肌肉实验、循环系统、呼吸实验、感觉器官实验、代谢系统实验、人体运动生理实验、人体综合实验；</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 安全认证：16.内置信号采集仪器通过省级及以上医疗器械检验中心的注册检验或者获得CE认证；为保证系统用于人体实验的安全性，所投产品具备ISO27001信息安全管理体系认证证书和ISO2000信息技术服务管理体系认证证书。（投标时须提供相关证书复印件并加盖投标人公章）</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17.为保证售后服务和产品质量，投标时须提供产品为合法来源产品及原厂技术支持售后服务承诺函，格式自拟。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12.人体生理实验大屏辅助教学系统（1套）：1.显示屏尺寸≥86英寸液晶显示屏，物理分辨率≥3840x2160；刷新率≥60HZ，亮度≥330cd/㎡，对比度≥1200：1；显示屏防护≥4mm全钢化高防爆玻璃；触摸嵌入方式：内置一体式，非外挂式；红外感应识别触摸技术；书写方式：手指、触摸笔等不透光物体；多点触摸，触摸有效最小识别物2mm；喇叭：扬声器，自动音量控制，环绕声，均衡器；内置电脑参数：CPU型号性能不低于i7处理器，内存≥8G，存储≥240G以上硬盘；性能不低于Intel核芯显卡Intel HD Graphics； USB2.0、USB3.0、网络接口、MIC输入、HDMI输出、VGA输出、支持WiFi；Windows10操作系统、安卓系统可选；</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2.软件技术指标：电子白板：可以进行画笔设置，笔记与背景随意切换，笔记页面管理，撤销与恢复等功能；</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3．实验内容：1) 内置实验模块数：不少于26个内置人体生理实验模块； 2) 内置实验模块内容： 每个内置实验模块包括六部分内容：电子教材，教学PPT（中英文可切换），实验录像，微课，理论测验以及扩展知识； 3) 电子教材：电子教材要求图文并茂，可实现鼠标点击翻页功能； 4) 教学PPT：至少包括实验目的、原理、实验对象、药品器材、方法步骤、注意事项以及思考题等； 5) 实验录像：人体生理实验的全流程操作录像； 6) 微课：高清视频录像，至少包括实验目的、原理、实验对象、药品器材、方法步骤、实验结果、注意事项以及思考题等部分的讲解讲解老师要利用大屏幕同步展示讲解的内容； 7) 理论测试： 每个实验模块至少不少于五道理论测试题目； 8) 扩展知识：相关的临床知识以及文献介绍等； 9) 自定义实验模块：系统支持用户自定义实验模块，每个自定义实验模块可以包括：PPT，实验录像，微课，测验以及扩展知识等内容 10) 自定义实验模块与系统内置实验模块融为一体，自动添加在内置实验模块后面，便于用户管理和操作；</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13.除颤器（2套）：1.具备中文语音提示、LED指示灯可视性提示功能；双相截顶指数波，最大输出能量≤200J；充电时间：从开始分析到最高能量除颤放电准备好时间≤7秒；患者阻抗测量范围：20-200Ω；除颤脉冲最大电压≤1100V；非可电击心律识别率（无人为干预）≥98.8%；电池：待机时间≥5年，最大能量除颤次数≥250次。</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14.粪便尿液分离代谢笼（1套）：1.笼架规格(mm)≥1410*550*1550；2层*5*2=20笼，水冲式不锈钢架子；用材:SLS304不锈钢板，SUS304不锈钢管立柱(mm)≥24x37x10；笼子规格(mm)≥240*200*200，笼盒为悬挂式；配耐酸碱，无毒，聚丙烯 PP 塑料笼盒、304 不锈钢网盖；≥200mlPP饮水瓶；带不锈钢料盒、自动饮水器；304不锈钢丝；点焊抛光。</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15.肺功能测定仪（1套）：1.至少可测量参数：呼吸频率、每分通气量、最大呼气流量、最大吸气流量、EF50、呼气时间、吸气时间、潮气量、呼气末期暂停、吸气末期暂停、累计体积、Penh、Rpef、Ncou（咳嗽）；具有哮喘实验自动化实验功能，用户可设置自动化模板，自动进行数据统计分析；</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配置多通道大容量的干燥吸附塔，每通道容积≥450ml；.配备专业版咳嗽检测功能，可自动识别咳嗽事件，自动绘制咳嗽波形；数据可回放，一键绘制原始波形，至少需包含对比分析、趋势分析、咳嗽分析、单波分析、整体分析等功能；</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配置专用的光激活信号结合模块，且通道数量≥2通道，光激活信号和呼吸波形必须在同一界面显示，点位同步，时间同步；具有间接量热法测代谢测量模块，至少可测量耗氧量、二氧化碳产生量、RER、EE等（投标时须提供满足该项功能要求的系统原型现场演示，演示时长不超过3分钟)；</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内置微孔高频振荡气溶胶雾化头，给药的量和速度可以通过软件调节；体积描记器采用透明材质，方便观察。集成传感器和药物雾化输入口；流量调节方式：主机旋钮调节、软件调节；具有自动一键标定功能，整个标定持续时间≤2min；</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BP软件：软件可加密，能够进行权限管理设置，具有三级用户权限设置。权限分级分明，有稽查轨迹功能。具备电子签名和审核的管理；具有GLP要求的资料分级、电子签名和审核的管理软件。所有实验数据不可任意改动，修改的数据留有轨迹并根据需要可恢复。分析后的数据和更改后的数据另存为一个文件；软件可编程化自动控制外源气体；（投标人须提供国家认可的第三方检测机构出具CMA标识或CNAS标识的检测报告复印件并加盖投标人公章）；</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6.为保证售后服务和产品质量，投标时须提供产品为合法来源产品及原厂技术支持售后服务承诺函，格式自拟。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16.动物跑步机（2套）：1.外形尺寸(mm)≥940×550×250；跑道组件重量≤7.5kg；跑道尺寸(mm)≥440×100×63（大鼠）、≥440×58×50（小鼠)；通道数：大鼠3通道，小鼠6通道；速度设定范围：0~60.0 m/min，调节步长0.1 m/min；速度偏差≤1%；坡度设定范围：0~15°；电刺激：刺激区域(mm)≥110×60；刺激强度范围：0.3~7mA（恒电流，脉冲刺激）；刺激脉冲频率：1、2、3 Hz三档可调；记录数据：实验时间、动物信息、跑步时间、跑步率、跑步距离、落带次数、连续刺激次数等；控制方式≥7寸IPS高清彩色电容触屏，屏幕分辨率≥1024×600；实验数据存储空间≥8GB。</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17.信息化集成化信号采集与处理系统（3套）： 一、硬件参数 1.整机外形尺寸(mm)≤1680*740*2110（长*宽*高）；实验台操作面积(mm)≤1100*740（长*宽），实验台面离地高度：730-930mm，升降行程≥200mm；输液架离地面高度≤1970mm，输液架移动范围≤850mm（两侧）；实验台面材质：ABS工程塑料；实验台面下屏蔽层：不锈钢层，尺寸(mm)≤1050×730×0.4（长*宽*高）；移动滚轮：带锁式万向移动滚轮，整个操作平台可全方位移动；可伸缩固定支柱：带可伸缩平台固定支柱，保证实验平台的平稳固定；实验照明系统：4×10W，自然光LED灯，色温≥3000K，角度可调，通过软件无线控制多种灯光组合；</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2.内置信号采集与处理系统：用于生物信号采集和数据处理、分析、生成实验报告等；内置实验室环境监测模块：可测量温度（精度≤0.1℃）、湿度、大气压，可在信号采集面板和软件中显示并记录到数据文件中；内置小动物肛温测量模块：测量并进行显示（精度≤0.1℃），可在无线控制终端上进行显示，配专用小动物肛温传感器；内置小动物呼吸机：①潮气量范围：0.1～99.9ml可调，调节及显示精度≤0.1ml；②呼吸时比：1-5:1-5；③呼吸频率：1～200次/分；④有大鼠、小鼠及家兔呼吸参数一键设置功能；⑤进气口和出气口一致在水平方向上；⑥通过软件无线控制呼吸机动物类型、潮气量、频率、呼吸时比等；</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3.双显示系统：①上下各一个显示器，下显示器≥12.5寸，上显示器≥23.8寸；②上显示器调节：高度升降范围不小于235mm，左右旋转不小于55度（绕Z轴旋转），上下倾角不小于70度（绕Y轴旋转），可竖屏（绕X轴旋转）；</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4.氧气调压系统：调压范围0-0.4MPa，可锁定，耐压1.5MPa；氧气输入为快接接口，可接湿化瓶；全导联心电接口≥1个标准12导联的全导联心电接口；</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5.通用物理采样通道≥4个；物理采样通道扩展：任意一个物理采样通道可扩展至8个实际数据采样通道，总计可进行32通道数据同时采样，并可对各个通道参数进行调节。如在一个物理通道上连接无线人体生理信号仪，该物理通道可同时采集体位、心电、呼吸、肺活量、脉搏、血氧、收缩压、舒张压等8个信号；量程：±1V、±500mV、±200mV、±100mV、±50mV、±20mV、±10mV、±5mV、±2mV、±1mV、±500uV、±200uV、±100uV、±50uV、±20uV，共15档；</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6.滤波器：同时具备硬件模拟滤波器、DSP 5阶贝塞尔滤波器、软件数字滤波器：1）低通：1、2、5、10、20、50、100、200、500、1k、2k、5k、10k、20k、50k，合计15档；2）高通（时间常数）：DC、5S、2s、1s、0.5s、0.2s、0.1s、0.05s、0.02s、0.01s、0.005s、0.002s、0.001s，合计13档 ；3）50Hz陷波：开、关两档可调；最大采样率≥800KHz，每个物理通道可采用不同采样率同时进行采样；</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7.AD转换器：16位4通道同步采样；共模抑制比（CMMR）≥100dB;输入阻抗：10MΩ@DC；信噪比≥100dB；等效输入噪声：电压峰峰值 ≤ 2.0μV；</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8.设备内置高级程控刺激器，刺激器参数包括： 1）波形：三角波、方波、正负方波、正弦波、用户编辑任意波形； 2）模式：恒流、恒压两种输出方式； 3）电压：-110V~110V；4）电流：-150mA~+150mA；5）时间步长：0.05ms；</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▲9.支持人体无创连续血压仪连接及数据采集：无线传输，无振动无噪音，测量范围0~299mmHg，精度 ±1mmHg；支持微型植入压力测量传感器的数据采集：探头直径1mm，测量范围-20mmHg~200mmHg，直接植入动物体内，代替传统液体传动方式的血压测量；真实实时波形数据，非模拟波形数据；（投标时须提供满足该项功能要求的系统原型现场演示，演示时长不超过5分钟）</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二、软件参数：10.软件显示通道数：1~64通道可变，默认显示通道数为4通道，当同时采集12道全导联心电波形时软件界面上同时显示12道心电波形；同时打开反演文件数≥4个；实时采样和反演同时进行：在信号实时采样过程中，可在实时采样软件上同时打开以前记录的文件进行查看、对比、分析等操作；可播放反演文件声音：反演文件时，在波形反演同时可播放该波形声音，比如播放减压神经放电声音；通道差异化采样率设置：不同通道可设置不同采样率进行数据采样、不同采样率的信号波形可同步记录及同步显示；软件实验模块内嵌web电子教材：在一个实验模块页面内用生动形象的、图片、动图、视频讲解实验原理、目的、器材、步骤、操作过程。</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完全独立的中文版英文版操作软件，内含槲皮素抑制帕金森病小鼠多巴胺能神经元铁死亡课程，支持PC、手机等移动端全功能访问，课件设计符合手机横屏操作要求，载入和显示时间小于5秒。课件技术规范完全符合国际共享参考模型SCORM 1.2的标准格式，符合Scorm平台，方便获取学习成绩和过程记录等功能；（投标时须提供满足该项功能要求的系统原型现场演示，演示时长不超过5分钟）</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12.通用数据处理：微分、积分、频率直方图、序列密度直方图、非序列密度直方图、频谱分析、平均血压、记滴趋势分析以及基于包络算法的心率曲线分析等；专用数据处理：血流动力学实验参数分析、心肌细胞动作电位参数测量、心功能参数分析，突触后电位分析，心率变异分析，心电向量图分析等，提供这些分析的DEMO数据供用户演示和学习；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13.专业的LTP数据分析功能：分析LTP波形最大斜率、平均斜率、直线回归斜率、自动标记关键点坐标；包含范围测量、自动测量、叠加波形、查找标签（波序号、自定义）、导出测量表（范围测量、自动测量结果）、显示/隐藏刺激线、显示LTP波位置等功能；数据测量：单点测量、带Mark标记的两点测量、区间测量、实时测量，可测量出波形的最大、最小、平均值，时间、频率、面积等参数；实验模块：系统内置不低于50个预先设定参数的实验模块；</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14.具有AI实验操作和实验结果自动评价功能：系统可以对实时采样或反演的家兔动脉血压调节实验操作过程(视频）及实验结果实施自动评价。评价步骤包括：家兔捉拿、麻醉、绑定、备皮、气管插管以及动脉插管；（投标时须提供满足该项功能要求的系统原型现场演示，演示时长不超过5分钟）</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无线集中控制系统参数：▲15.具有嵌入一体机的无线平板控制终端，无需网络无需打开软件，直接通过平板对系统中各种集成设备；（投标时须提供满足该项功能要求的系统原型现场演示，演示时长不超过5分钟）</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16.图形化控制界面：所有设备控制都采用图形化界面进行操作；控制设备自动识别与连接：集中控制系统可自动识别平台上的集成电子设备并实现自动连接；</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17.照明灯光控制：可进行独立灯光控制或多种组合灯光控制；小动物呼吸机控制：呼吸机启停可控，动物类型可选，潮气量、呼吸时比和呼吸频率可调，肺部压力动态指示；肛温仪：测量和显示小动物肛温；（投标时须提供满足该项功能要求的系统原型现场演示，演示时长不超过5分钟）</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18.实验操作台升降控制：实验操作台面升降控制，控制模式包括：升至最高、降至最低、恢复、上升和下降单位高度，暂停升降等；（投标时须提供满足该项功能要求的系统原型现场演示，演示时长不超过5分钟）</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四、配套附件：19.生物信号采集与分析系统附件包；高级手术器械包；加热兔台；数字恒温控制器；配置可收纳输液架；兔台尾部废液收集槽；</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20.为保证售后服务和产品质量，投标时须提供产品为合法来源产品及原厂技术支持售后服务承诺函，格式自拟。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18.机能实验辅助教学系统（1台）：一、主机参数： 1.显示屏尺寸≥ 86英寸液晶显示屏，物理分辨率≥3840x2160；刷新率≥ 60HZ，亮度≥330 cd/㎡，对比度≥1200：1；显示屏防护≥ 4mm全钢化高防爆玻璃；触摸嵌入方式：内置一体式，非外挂式；触摸感应技术：红外感应识别触摸技术；响应时间：≤15ms；书写方式：手指、触摸笔等不透光物体；多点触摸；触摸有效最小识别物≤2mm；喇叭：扬声器，自动音量控制，环绕声，均衡器；内置电脑参数：2.CPU型号性能不低于i7处理器，内存≥8G，存储≥ 240G以上硬盘；性能不低于Intel核芯显卡Intel HD Graphics； USB2.0、USB3.0、网络接口、MIC输入、HDMI输出、VGA输出、支持WiFi； Windows 10操作系统、安卓系统可选；</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2.软件技术指标：电子白板：可以进行画笔设置，笔记与背景随意切换，笔记页面管理，撤销与恢复等功能；</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3．实验内容： 1) 内置实验模块数：60个内置机能学实验模块； 2) 内置实验模块内容：每个内置实验模块包括六部分内容：电子教材，教学PPT（中英文可以切换），实验录像，微课、理论测验，虚拟实验操作； 3) 电子教材：图文并茂，且支持鼠标点击进行页面放大/缩小、翻页、自动翻页、查看目录、略缩图等功能。 4) 教学PPT：内容至少包括实验目的、原理、实验对象、药品器材、方法步骤、注意事项以及思考题等。 5) 实验录像：高清视频实验动物手术操作录像，且支持暂停、快进、快退、停止播放、音量调节等功能。 6) 微课：高清视频录像，至少包括实验目的、原理、实验对象、药品器材、方法步骤、实验结果、注意事项以及思考题等部分的讲解，讲解老师要利用大屏幕同步展示讲解的内容。且支持暂停、快进、快退、停止播放、音量调节等功能。 7) 理论测试：每个实验模块至少不少于五道理论测试题目。且支持大屏端和手机扫二维码后答题成绩统计功能。 8) 虚拟实验：每个实验模块连接一个简单虚拟实验项目。 9) 扩展教学知识：基础机能学知识介绍，手术操作以及动物福利等 10) 自定义实验模块：系统支持用户自定义实验模块，每个自定义实验模块可以包括： PPT，电子教材，实验录像，微课，虚拟实验操作，测验等内容； 11) 自定义实验模块与系统内置实验模块融为一体，自动添加在内置实验模块后面，便于用户管理和操作； 12) 系统内置机能学实验教学模块列表；</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19.全自动无创血压测量系统（1套）：1.加热箱与信号采集系统集成一体，直接通过USB接口连接到计算机进行工作；测量原理：压力脉搏 + 血流容积变化；；计算机windows应用软件，具有全自动的无创血压测量及分析功；配套设施完善：配备阻断器、传感器、鼠笼、加热箱；鼠笼规格齐全，可适应不同体重的大鼠及小鼠；通道数≥1通道；自导向性弧形设计鼠尾脉搏传感器，适用于不同体重的大鼠及小鼠能；自动化实验控制功能，可自动进行参数设置；箱体加热温度：室温~40°C ，温度显示精度：≤0.1°C；具有箱体漏气检测功能，可精确分析漏气所属位置；放气速率：1~12mmHg/s可调；分析指标：心率HR（bpm）.收缩压SBP（mmHg）.舒张压DBP（mmHg）及平均动脉压MAP（mmHg）；血压测量范围：10~300mmHg；心率测量范围：0~1000bpm。</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20.离体组织器官恒温灌流系统（1套）：一、主机参数： 1.设备尺寸(cm)≥60×30×72 （长*宽*高）；加热方式：水浴循环加热，温度范围：环境温度至50°C；储液瓶：1个，容积≥1200ml，用于营养液的储存；蛇形加热器≥4个，单个容积≥30ml，与储液器及浴槽相连接，用于营养液的预热；浴槽≥4个；容积≥20ml，深度≥60mm，具有保温作用；张力换能器≥±5g；</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灌流方式：手动打开进液阀门，营养液由上至下进行灌流；排液方式：手动打开放液阀门，将营养液排出；供氧方式：外接氧气瓶；具有氧气压力表，量程0-15Kpa，实时监测当前压力值，具有过载保护功能；一维调节组件：(1) 数量≥4个；(2) 材料：合金铝、青铜、不锈钢；(3) 高度调节：可调节范围 0-30 mm；具有微调旋钮，可精确调节组织预张力；(4) 传感器夹持器：用于传感器的固定，接口直径≥8mm；(5) 氧气调节阀：手动调节阀门控制进气量，阀门工作压力≤10 Kpa(6) 挂钩：4套组织挂钩/血管环挂钩；</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3.恒温水浴技术参数： 1)提供了两路恒温水的外循环； 2) 容量≥5.5升； 3) 循环方式：内、外循环两种； 4) 外循环数量≥2路； 5) 外循环流量≥6L/min左右（硅胶管内径φ6mm，长度0.5m）； 6) 控温：温度调控分辨率≤0.1℃; 7) 温度波动＜0.05℃（室温＞25℃，水温37℃）；</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二、信息化生物信号采集与分析系统参数：(一) 4.硬件参数：采样通道接口：4个物理采样通道，1个12导联全导联心电接口；物理采样通道扩展功能：仅占用1个物理通道即可同时采集≥8道信号，扩展无线传感器，可无线采集人体体位、心电、呼吸、肺活量、脉搏、血氧、收缩压、舒张压等信号，对扩展传感器进行参数调节；</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5.滤波器：同时具备硬件模拟滤波器、DSP 5阶贝塞尔滤波器、软件数字滤波器：1）低通：1、2、5、10、20、50、100、200、500、1k、2k、 5k, 10k,20k, 50k，合计15档；2)高通（时间常数）：DC、5S、2s、1s、0.5s、0.2s、0.1s、0.05s、0.02s、0.01s、0.005s、0.002s、0.001s，合计13档；3）50Hz带阻：关，低，中，高4档可调；最大采样率≥800KHz （物理通道最大200ksps*4，12导联通道 2ksps*12）；AD转换器：≥16位4通道同步采样；处理器：浮点型DSP+ARM双核处理器；共模抑制比（CMMR）≥100DB;输入阻抗：10M@DC；等效输入噪声：电压峰峰值≤2.0μV，信噪比≥100dB；</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(二) 软件参数：6.软件显示通道数：1~64通道可变，同时采集并显示12导联心电波形；同时反演文件数≥4（可同时打开多个文件进行反演）；采样和反演同时进行：在信号实时采集过程中，可以同时打开以前记录的文件进行查看、对比、分析等操作；通道差异化采样率：不同通道可设置不同采样率进行数据采样、不同采样率的信号可同步记录及同步显示；</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7.为保证售后服务和产品质量，投标时须提供产品为合法来源产品及原厂技术支持售后服务承诺函，格式自拟。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21.恒温平滑肌实验系统（1套）：1.温度调节范围：室温～40℃;最大加热功率≥150W;温度调节方式：薄膜按键;控温精度：±0.1℃； 显示精度：≤0.1℃；温度调节精度：≤0.1℃；加热过冲：≤0.2℃。药桶≥20ml 有内置可开关光源90度垂直照射平滑肌平面，光源离平滑肌距离不超过1.5厘米；药桶刻度精度：≤1 ml;桶内气量大小可调,空气或者外接氧气，可随意切换；水域的搅拌方式：内置式；控温方式：微电脑自动控温。</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22.跳台实验视频分析系统（1套）：1.全视频跟踪方式，每个通道独立摄像头模式，可完成8只以上小鼠的跳台实验；测定参数：观察时间，潜伏期，错误次数，活动轨迹等；自动观测通道数≥ 8道；采样方式：8通道视频独立采样；采样率：≤30 fps；图像分辨率≥352×288（单道采集）；实验时间：5~60min 可调；实验箱尺寸(mm)≥658(L)×395(W)×450(H)；单室尺寸(mm)≥155 (L)×140 (W)×398 (H)；跳台尺寸(mm)≥45（直径）×45（高）。</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23.离体心脏灌流装置（1套）：1.设备尺寸（cm）≥33×34×125（长*宽*高）；操作台:尺寸（cm）≥14×14×10（长*宽*高）；注射器夹持规格（ml）≥5(直径14mm)。具有2路灌流支路，可同时使用两种不同药液进行实验；灌注方式:重力（恒压），量程：60-80cmHg；储液瓶容积≥1200ml；心脏保温腔容积≥185ml，可为心脏提供恒温环境；蛇形加热器容积≥40ml，与储液瓶及保温腔相连接，用于营养液预热；溢流杯容积≥10ml，溢流口可保持灌流液面处于恒定高度，维持一定的灌注压或者前负荷；加热方式：水浴循环加热；温度范围：环境温度至50°C；</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24.小鼠Y形迷宫（1套）：一、硬件参数 1.适用范围：分小鼠（YMT-200A小鼠版适用）、大鼠（YMT-200B大鼠版适用），不分黑白鼠；尺寸：小鼠单臂（mm）≥300(L)×60(W)×150(H)，大鼠单臂（mm）≥400(L)×100(W)×225(H)；食物槽：小鼠食物槽直径≥19mm，深度≥11mm；大鼠食物槽直径≥24mm，深度≥17mm；材质：医用ABS材质，无毒无异味，耐腐蚀，可水洗； 二、软件参数：2.自动观测通道数：8通道32只动物；分析模式：实时分析、离线分析、批量分析、极速分析；适用范围：大小鼠、黑白鼠通用；软件识别方式：减差法；染色要求：无需动物染色也能识别目标采样率：实时分析10Hz；图像分辨率≥1280×720；屏幕分辨率：最低支持800×600。</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25.旷场实验系统（1套）：一、硬件参数 （一）实验箱 1.适用范围：小鼠（OFT-200A小鼠版适用）和大鼠（OFT-200B大鼠版适用），不分黑白鼠；产品尺寸≥大鼠尺寸1000mm(L)×1000mm(W)×400mm(H)；小鼠尺寸≥500mm(L)×500mm(W)×400mm(H)；</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二）行为学实验站：2.外形尺寸（mm）≥1860（L）×1740（W）×2050（H）；控制方式≥7英寸IPS高清电容触摸屏，内嵌Linux操作系统，屏幕分辨率≥1024×600；环境数据监测：温度（测量范围：-40~85℃，精度1℃），湿度（测量范围：0-100%RH，精度3%RH），气压（测量范围：30-110kPa，精度≤0.1kPa）；摄像系统：超清红外广角免驱摄像头，≥1/2.7高级CMOS感光芯片，清晰度≥1920×1080，采样率≥30帧/s，拍摄视野≥110°超广角无畸变，支持黑暗环境拍摄，更加符合啮齿类动物生活习性；照明系统：LED灯×4，总功率≤36W，亮度≥10级可调（对应参考照度0Lux、30Lux、60Lux、90Lux、120Lux、150Lux、180Lux、210Lux、240Lux、270Lux和300Lux） ；漫反射白光光源，光照均匀稳定；</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二、软件参数：3.8通道自动观测，可同时观测32只动物；适用大小鼠、黑白鼠；减差法、取色法，默认减差法软件识别方式；无需动物染色也能识别目标； 可选择25宫格、9宫格、回字格和圆切方，默认25宫格；适配所有USB摄像头和网络摄像头，不限摄像头采样率和分辨率；软件内部可直接调用摄像头驱动程序，摄像头参数可调节等。</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26.实验性缺氧实验系统（2套）：一、低氧实验装置 1.实验舱容积：300mL、500mL；数据监测：“五合一”物理采样通道： 1）温度监测：2.0~60.0℃，分辨率≤0.1℃，0.5℃； 2）湿度监测：10~90%RH，分辨率≤1%，±5%RH； 3）CO2浓度监测：0.01~20.00%，精度±70ppm（±5%）； 4）O2浓度监测：0.1~25.0%，±1%； 5）呼吸波：0~±20pa，1kHz；</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二、一氧化碳实验装置：2.实验舱容积：300mL、500mL；带进出口；数据监测：“五合一”物理采样通道： 1）温度监测：2.0~60.0℃，分辨率≤0.1℃，0.5℃； 2）湿度监测：10~90%RH，分辨率≤1%，±5%RH； 3）CO浓度监测：量程0~1000ppm（标准版），准确性±2%F.S(25℃）； 4）O2浓度监测：0.1~25.0%，±1%； 5）呼吸波：0~±20pa，1kHz；</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三、生物信号采集与分析系统硬件：3.物理通道接口数≥4个；物理通道接口扩展性：每个物理通道接口最多可扩展出8个采样通道，即4个物理采样通道总共可扩展出32个采样通道；同时采样通道数≥16个；</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四、生物信号采集与分析系统软件：4.实验性缺氧实验模块：实验目的、实验动物、药品与器材、方法步骤；数据分析： 1）呼吸深度：0~20pa自动分析； 2）呼吸频率：20~500bpm自动分析； 3）耗氧量分析：自动实时耗氧量曲线； 4）耗氧率分析：自动实时耗氧率曲线，mL/(g•min)；</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五、小动物呼吸系统：5.主要用于生物机能实验。呼吸机适用于大白鼠、豚鼠、仓鼠、兔、猫、猴及狗等实验动物；潮气量： 1-300ml可调，调节过程中随时显示当前调节的潮气量值；呼吸时比：可设置多达18种不同的呼吸时比，常用设置包括：1 : 1、1.25 : 1等；呼吸频率：1-200次/分可调。</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27.群体动态心电记录仪（1套）：一、主机参数：1.最多可同时对16人进行心电监测；重量≤8Kg； 心电监测器、数据传输器、监测器充电座、移动终端及一次性心电电极等部件集于战术箱，便携移动设计；</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二、群体动态心电记录仪战术箱：2.外形尺寸（长×宽×高）≤475mm×380mm×125mm；重量≤4Kg；有密码锁扣；</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三、心电监测器：3.外形尺寸（mm）≤107×25×14（长×宽×高传输距离：空旷场地≥10米；）；重量≤20g；测量位置：左侧胸部采集；采集原理：生物电信号采集；输入阻抗≥10MΩ；定标电压：1mV±2%；抗极化电压：±300mV；共模抑制比≥90dB；A/D 转换：≥16bit；采样率≥256点/秒/通道；心电电极：兼容标准医用一次性心电电极贴；</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四、数据传输器：4.外形尺寸（长×宽×高）≤80mm×32.2mm×12.6mm；重量≤25g；可连接心电监测器数量≥16个；传输距离：空旷场地≥10米；</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五、软件参数5.测试项目：心功能评价、体能评价、心律失常评价、精神压力评价；测试模式：按国家标准测试要求，心功能和体能分别进行下蹲及踏阶两项运动进行动态测试；心律失常及精神压力评价根据静态心电波形进行数据分析；通道数量：可同时显示16个通道心电；分析指标：实时心率、最高心率、最低心率、平均心率、心功能指数计算、心功能等级分析、劳动心率分析、劳动强度分析、最大摄氧量分析、体能分析、心律失常智能分析、心律失常手动分析、心率变异性分析、散点图分析、RR波间期直方图分析、RR波间期速度图分析、RR波间期功率谱图分析；</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6.为保证售后服务和产品质量，投标时须提供产品为合法来源产品及原厂技术支持售后服务承诺函，格式自拟。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28.无影灯（2台）：1.采用LED冷光源，使用寿命≥50000小时；医生头部温升≤1℃，术野温升≤1℃； 色温≥3000K；双头无影灯，母灯灯珠≥60颗，子灯灯珠≥45颗。母灯灯头直径≥70cm，子灯灯头直径≥50cm；采用弹簧臂，灯臂关节数≥6个。关节臂配备触摸控制面板，具备亮度提示和调节功能；母灯最大光照强度≥120,000LUX，子灯最大光照强度≥80,000LUX ；聚焦光柱≥80CM；色彩还原指数≥80ra；洁净区人员可通过中置消毒手柄移动手术灯位置，中置手柄可耐受≥130°高温高压蒸汽灭菌；配备光斑调节功能，旋转手柄调节光斑大小，照度不随光斑大小改变而变化；可卸式手柄外套，可在135℃高温下消毒，可操作灯体的聚焦、位置及角度。</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29.二氧化碳培养箱（2台）:1.气套式加热系统，加热迅速，温度、湿度恢复速度快；具有玻璃门加热或外门加热功能，有效避免玻璃门上产生冷凝水；标配虹吸泵，清洁方便；</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2.内部容积≥188L；温度控制范围：室温+5℃～50℃；Pt1000温度传感器，温度控制精度（℃）：±0.1℃，带独立传感器的超温保护装置；CO2进气口配备HEPA高效过滤器，对粒径≥0.3μm颗粒物过滤效率为99.995％；</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3.140℃高温干热灭菌，有效杀死箱体内微生物，灭菌效果达到99.99%，定期预防污染；灭菌时间12小时，其中140℃维持时间不低于2小时；灭菌过程中，无需去除所有传感器；对高温灭菌全过程进行实时监控，并在屏幕上实时显示高温灭菌流程不同阶段的各种状态信息；</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4.CO2传感器：采用可耐不低于190℃高温的红外传感器（IR传感器），响应灵敏，精度高，寿命不小于5年，在腔室内实时监测CO2浓度变化，且高温干热灭菌时免拆卸保持原位；开机时自动复位检测；</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30.智能多媒体一体机(2台)：1.整机屏幕采用≥86英寸，UHD超高清LED液晶屏，显示比例16:9，屏幕图像分辨率≥3840*2160；内置非独立的高清摄像头支持输出4:3.16:9比例的图片和视频；整机摄像头支持人脸识别.快速点人数.随机抽人，支持同时显示标记不少于60人，并显示人脸标记；功能音响：输出额定功率≥ 2x15W；音箱灵敏度≥85dB，1W/1M；信噪比≥80dB ；全频喇叭单元尺寸≥5英寸；距离音箱10米处声压级≥75dB；麦克风：采样率≥48KHz，16bit；扩音增益≥15dB；声频响150Hz-16kHz，声信噪比≥60dB；配合一体化有源音箱，扩音延时≤35ms；.电续航时间≥7小时；</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设备需搭载总功率不低于60W的扩声系统，不低于2.2声道，扬声器位于设备上方，声音方向朝前，保证后排清晰，前排不震耳；整机内置非独立外扩展的8阵列麦克风；整机支持蓝牙功能；支持标准.听力.观影和AI空间感知音效模式，AI空间感知音效模式可通过内置麦克风采集教室物理环境声音，自动生成符合当前教室物理环境的频段、音量、音效；</w:t>
            </w:r>
          </w:p>
        </w:tc>
      </w:tr>
      <w:tr>
        <w:tc>
          <w:tcPr>
            <w:tcW w:type="dxa" w:w="2769"/>
          </w:tcPr>
          <w:p>
            <w:pPr>
              <w:pStyle w:val="null3"/>
              <w:jc w:val="left"/>
            </w:pPr>
            <w:r>
              <w:rPr>
                <w:rFonts w:ascii="仿宋_GB2312" w:hAnsi="仿宋_GB2312" w:cs="仿宋_GB2312" w:eastAsia="仿宋_GB2312"/>
              </w:rPr>
              <w:t>117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▲3.整机上边框内置非独式广角摄像头和智能拼接摄像头， 均支持 3D 降噪算法和数字宽动态范围成像WDR 技术，支持输出 MJPG. H.264 视频格式；（投标人须提供国家认可的第三方检测机构出具CMA标识或CNAS标识的检测报告复印件并加盖投标人公章）</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整机支持发出频率为18kHz-22kHz超声波信号，智能手机通过麦克风接收后，智能手机与整机无需在同一局域网内，可实现配对，一键投屏，无需手动输入投屏码或扫码获取投屏码；（投标人须提供国家认可的第三方检测机构出具CMA标识或CNAS标识的检测报告复印件并加盖投标人公章）</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5.配置清单：智慧黑板 1套、功能音响 1套、领夹扩声麦 2个；</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6. 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31.凝胶成像系统（1套）：1.摄像头:高分辨率低照度超高速相机；感光效率: QE≥65%；有效像数≥500 万像素 曝光时间1ms-3000ms；像数密度:16 bit（0-65535色）；像数尺寸≥3.45um×3.45um；像素合并:1×1；动态范围≥4.8个数量级；电动镜头≥2000万解析度自动聚焦镜头，全程聚焦速度≤5S；白光样品板≥25x25cm LED冷光带刻度折叠式样品台，折叠于机器内部；紫外样品台：开门式抽屉灯管无影低背景样品台，波长302nm.面积≥21×21cm；切胶装置：抽屉开放式，防护装置590nm光学滤镜 有效防紫外线99.99% 防护面积≥30*30cm；滤光片:标配590nm波长；软件功能：软件具有自动曝光功能，精准估算样品时间，无需人工估算曝光时间，且还能调控积分拍摄；软件具有一键拍摄：自动调整灯光以及镜头。一键提前预览实验结果；</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32.酶标仪（2台）：1.波长范围：190nm-1000nm；波长准确度≤±1.0nm；波长重复性：≤0.2nm；分辨率：≤0.001Abs（显示）≤0.000001Abs（内部计算）；光源：长寿命闪烁氙灯；开机无需预热，可直接检测；测定范围：0-3.0OD；可实现1~24比色皿检测；采用CMOS检测器，可实现全板UV-VIS全波长实时光谱扫描；整板单孔UV-VIS全波长扫描仅需1s；单孔实时输出紫外-可见全波长光谱图；自带孵育加热功能。孵育温度：(室温+2℃)至65℃；微孔板类型：标准96孔酶标板（其余可扩展定制）；微量板模块：使用特制的微量石英板，可直接检测核酸和蛋白的吸光度、浓度以及纯度；</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33.垂直电泳系统（2台）：1.多用途电泳电源技术参数：4组并联输出； 输出电压：6-600V (显示精度：≤0.1V )；输出电流：4-600mA （显示精度：≤0.1mA）；小型垂直电泳槽技术参数：凝胶数量：1-4；凝胶类型：手灌胶与预制胶；铂金电极：铂金丝直径≥0.26mm，纯度为99.95%玻板尺寸：厚玻板（mm）≥101 x 82 ；短玻板（mm）≥101 x 73 ；凝胶尺寸：手灌胶 （mm）≥83 x 73 ；预制胶（mm）≥86 x 68 ；样品梳：10.15齿，1.0mm厚；10.15齿，1.5mm厚（选配）；10.15齿，0.75mm厚（选配）；缓冲液容积：2块胶≥700 ml；4块胶≥1000 ml；运行时间：标准SDS-PAGE凝胶35-45分钟(恒压200V)；小型转印电泳槽技术参数：转印方式：湿转；转印面积（mm）≥75 ×100；转印数量≥2块；缓冲液容积≥450ml；铂金电极：铂金丝直径≥0.26mm，纯度≥99.95%铂金丝；横向间距≥40mm ；转印时间≤60 min；冷却方式： 蓝冰冰盒。</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34.紫外可见分光光度计（2台）：1.波长范围：190-1100nm；波长准确度≤±0.5nm；光度准确性：±0.3%T （0—100%T）；光度重复性：≤0.15%T（0—100%T）光度范围 ：0-200%T、-0.3-3A、0-9999C；光谱带宽≤2nm；杂散光 ≤0.05%T@360nm；基线漂移：±0.001A/h（500nm处）；基线平直度：±0.002A；噪声水平：±0.001A（500nm处）；显示系统：≥128*64位大屏幕LCD；光源：进口长寿命钨灯、氘灯；检测器：进口硅光二极管。</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35.超声波细胞破碎仪（2台）：1.频率:20-25 KHz；显示方式≥7寸触摸显示屏；功率（ W）≥650（1%-100%）；配有变幅杆:2、6mm各一支；破碎容量:100μl-500 ml；占空比:0.1-99.9 %；温度报警:0-99.9℃（防止样品过热）；细胞膜电阻测量系统参数：电压范围：±199.0 mV；电压分辨率：0.1 mV；电阻范围：0—20000Ω；电阻分辨率：1Ω。</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36.水平电泳系统（2台）：1.多用途电泳电源技术参数：4组并联输出；输出电压：6-600V (显示精度：≤0.1V )；输出电流：4-600mA （显示精度：≤0.1mA）；电泳槽技术参数：电极铂金丝直径≥0.3mm，纯度≥99.95%，电场稳定；凝胶板规格（mm） ≥60×60(L×W)，≥120×60(长胶)，≥60×120（宽胶)，≥120×120；样品梳：11+25齿(1.0mm厚)；6+13齿(1.5mm厚)；8+18齿(1.5mm厚)；2+3齿(2.0mm厚)。</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37.超微量分光光度计（1台）：1.光程：1mm.0.5mm.0.1mm.0.05mm.0.02mm，光程根据样品浓度自动匹配最佳光程，无需手动设置；光源：长寿命脉冲氙闪灯；微量样品体积要求：0.3～2µL；</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2.检测器：3864-元素线性硅化CCD阵列；波长范围：185～910nm，波长精度≤±1nm，波长分辨≤2nm (FWHM at Hg 546nm)；吸光率精确度≤0.002 Abs；吸光率准确度≤ 1% (0.76吸光率在350nm)；吸光率范围≤0.002～750 Abs,等效于10mm；核酸测量范围≤2～37500 ng/µl （dsDNA）；蛋白质测量范围≤1～1120mg/ml（BSA）；</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内置方法：核酸、蛋白质、定量试剂盒、全波长扫描、微阵列等；具有一键导出扫描检测结果的图谱功能；开机无需等待，即开即用，1~5秒即可完成185nm~1100nm波长的数据采集；数据存储方法：内置≥64GB存储空间，可直接存储检测结果数据与自定义方法，检测结果自动保存为电子表格式，USB输出或网络转存数据，可无限打印检测结果；</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▲4.内置win10≥系统，带高清显示屏，全触控操作，内置蓝牙、Wi-Fi可实现异地操作；（投标时须提供满足该项功能要求视频现场演示，演示时长不超过1分钟）</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5.为保证售后服务和产品质量，投标时须提供产品为合法来源产品及原厂技术支持售后服务承诺函，格式自拟。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38.基因扩增仪（2台）：1.反应模块：0.2ml×96孔反应模块，适合96孔板、8联管、单管等标准耗材；仪器冷却/加热技术（温控方式）：Peliter半导体；彩色触摸屏，水晶屏幕，无反光。标配为快速反应模块，其最大变温速率≥3.5℃/S,能提高工作效率；温度控制范围：3-99℃；控温准确性≤±0.1℃；控温均一性≤±0.2℃；带有温度梯度功能，可同时对8个以上不同的温度点进行反应条件优化；热盖温度≥105℃；热盖采用非固定的方式，其高度可调，适合各种不同的耗材使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39.脱色摇床（2台）：1.速度范围：40-200rpm；固定板面载重量≥8kg；定时范围：1分-99小时59分；运动方式:360°回旋；振荡幅度≥12mm；载物盘尺寸(mm)≥270*245；载物盘附件:专用器皿粘板。</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40.可见光分光光度计（1台）：1.波长范围：325-1000nm；光谱带宽：4nm；波长准确度：±2nm；波长重复性≤0.5nm；波长分辨率：0.1nm ；光度准确度：±0.5%T；光度重复性≤0.2%T；光度范围：0-200%T、-0.3-3A、0-9999C；杂散光≤0.2%T；稳定性：±0.002A/30min（500nm预热后）。</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41.台式高速冷冻离心机（2台）：1.最高转速≥18500r/min，转速精度≤±10r/min；最大相对离心力≥29300xg；最大容量：≥4×100ml，可选配不少于19款转子；温度设置范围：-20℃～+40℃，温度控制精度±1℃；整机噪音≤62dB(A)；定时范围：1s～99min59s、1min～99h59min；具有启动计时、到转速计时、连续计时三种计时模式；加/减速曲线：≥11档加速曲线、≥12档减速曲线、≥10档为自定义档位，保障最佳离心效果；控制系统≥7寸高清触摸屏控制；具有冷凝水槽防护功能，可避免冷凝水集聚，防止腐蚀，提高仪器使用寿命；</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2.可配备通过第三方认证的气密性角转子，有效防止气溶胶及液体外泄；</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3.配置要求：6*50ml尖底角转子 1个；24*1.5ml角转子 1个；12*10ml角转子1个；12*5ml适配器 1个；</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4.为保证售后服务和产品质量，投标时须提供产品为合法来源产品及原厂技术支持售后服务承诺函，格式自拟。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42.低速离心机（2台）：1.最高转速≥5500rpm，转速精度≤±20r/min；最大相对离心力≥4900×g；最大容量：≥4*250ml；离心腔直径(mm)≥φ380；噪音≤65dB (A)；定时范围：1min～99min；配置：15mL水平转子1个，96孔酶标板转子1个。</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43.高压灭菌器（2台）：1.灭菌室有效容积(L)≥80；灭菌腔材料：SUS304 不锈钢，厚度≥2.5mm，双层不锈钢网篮；拨杆式开合上盖，能够提高操作效率，避免接触传染因子；具有不小于七寸液晶触摸屏，安装操作系统，可便捷操控此设备；温度和压力: 工作温度105℃～138℃,设计压力 ≥0.3Mpa,设计温度≥140℃；温度显示精度≤0.1℃，温度均匀度≤±1℃；时间选择范围:灭菌时间:1-9999分钟，融化时间:1-9999分钟，保温时间:1-9999分钟；</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为保障实验室安全和试验人员的安全，所投产品厂家须具有特种设备（压力容器）制造（或生产）许可证，验收时所投高压灭菌器生产商与特种设备（压力容器）实际制造商一致；（投标时须提供相关证书复印件及国家政务服务平台或国家市场监督管理总局网站查询结果截图并加盖投标人公章）。</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44.全温摇床（2台）：1.LCD触摸屏，设置温度、转速、时间，实际温度、转速、剩余时间在同一界面显示，不用相互切换界面，观察更直观；可自由设定摇板正转或反转；自由设定强制对流的风扇常开、自动或关闭；振荡频率：10-400rpm ；温控范围：4-60℃；温度调节精度：±0.1℃ ；温度均匀度：±0.8；最大容量：250ml×30或500ml×20或1000ml×12或2000mlX6；内置导流式防水系统，机器内部腔体可以实现无死角防水冲洗，无须专用工具清理方便。</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45.超净工作台（3台）：1.适用人数：双人单面；外形尺寸（mm）≥1460×740×1620；工作区尺寸（mm）≥1300×700×520；净化效率≥100级；平均风速（m/s）：0.3~0.6；最大功耗（KW）≥0.8；平均菌落数≤0.5个/皿·时（φ90mm培养平皿）；照度≥300Lx；出风方向：垂直送风。噪声≤62dB（A）；振动半峰值≤3µm（X·Y·Z）；高效过滤器规格及数量≥1355×555×50×1；荧光灯规格及数量≥LED 28W×1；杀菌灯规格及数量≥28W×1。</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46.智能热板仪（1台）：1.温控范围：室温~80.0℃，调节精度≤0.1℃；升温时间：室温25~55℃，升温时间≤4分钟；控制方式≥7寸IPS高清彩色电容触屏，屏幕分辨率≥1024×600。记录信息：实验时间、动物信息、测量值（计次时间）。</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47.恒温振荡培养箱（3台）：1.振幅≤Φ26mm；振荡频率范围：30~300rpm；振荡频率精度≤±1rpm；显示方式≥7寸触摸式全彩操作屏；对流方式：强制对流；定时范围：0~9999min/h（可切换）温度参数：控温范围4~60℃，分辨率：0.1℃，温度波动度≤±0.3℃（37℃）；湿度范围：50~90%RH；控湿精度≤±3%RH。</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摇板可自由抽出，方便装卸摇瓶，防水托盘式设计，带有可移动储水盘，摇板可在5秒内直接取出，非常方便清洁；采用精密三通道气体冷热混匀循环风道设计，确保整个箱体的温度均匀性保证整个箱体温度均匀度≤±0.8℃。（投标时须提供满足该项功能要求视频现场演示，演示时长不超过1分钟）</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4、为保证售后服务和产品质量，投标时须提供产品为合法来源产品及原厂技术支持售后服务承诺函，格式自拟。</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48.电子分析天平（2台）：1.量程/精度：220g/0.1mg + 520g/1mg (双量程.双精度）；重复性(mg)≤±0.1/±1；线性误差(mg)≤±0.2/±2；称盘尺寸(mm)≥Φ90；高分辨率彩色不小于5英寸触摸屏/双量程、双精度；使用单体模块电磁力传感器；内置温度触发提示校准功能，自动使用内置砝码校准，无需手动操作。</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49.电热恒温鼓风干燥箱（2台）：1.控温范围：RT+5～300℃，分辨率≤0.1℃，温度波动度（150℃）≤±0.5℃（150℃）；均匀性（150℃）≤±1%（室温+5~105℃）≤±2%（105℃~300℃）；升温速率：20min（150℃）；体积(L)≥210；内胆尺寸(mm)≥600×500×700；外形尺寸(mm)≥820×700×980。</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50.生化培养箱（2台）：1.控温范围：0~80℃；温度分辨率≤0.1℃；温度波动度≤±0.3℃（加热），≤±0.5℃（制冷）；温度均匀度≤±0.8℃（25℃时）；输入功率≥1100W；定时范围：0~9999min/h（可切换）；编程控制：30段99周期；；容积（L)≥240；内胆尺寸≥510×450×1090mm，外形尺寸≥650×740×1726mm；标配载物托架≥4块。</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51.冰箱（4台）：1.搁架层数≥5；温度范围：2-8℃；有效容积（L)≥600；外部尺寸（宽*深*高)(mm) ≥680×747×1885；内部尺寸（宽*深*高)(mm) ≥580×613×1325；噪音级别≤55dB(A)；能效不高于一级，制冷方式为风冷。</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52.电子天平（4台）：1.称量范围(g)：0-3000；可读性/精度≤10mg；外形尺寸（mm）≥290*202*85；秤盘尺寸（mm）≥Ф130。</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53.疲劳转棒仪（1台）：1.小鼠转棒直径≥30mm；小鼠转棒长度≥62mm； 小鼠通道数≥6通道；转速范围：1~100转/圈；转速调整度：1转／分；初始速度运行时间：1~60000秒。</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54.足趾容积测量仪（1台）：1.外形尺寸（mm）≥330×330×220；测量范围：0~130mL，精度≤0.01mL；控制方式≥7寸IPS高清彩色电容触屏，屏幕分辨率≥1024×600。</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55.脑定位仪（1台）：1.角度调节范围：-90°~90°；X轴调节范围：0~80mm；Y轴调节范围：0~80mm；Z轴调节范围：0~80mm；调节精度≤0.01mm；Z轴旋转范围 -45°～+45°；材料：铝合金喷砂钝化处理；外形尺寸（mm）≥260*360*353。</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15" w:after="315"/>
              <w:jc w:val="both"/>
            </w:pPr>
            <w:r>
              <w:rPr>
                <w:rFonts w:ascii="仿宋_GB2312" w:hAnsi="仿宋_GB2312" w:cs="仿宋_GB2312" w:eastAsia="仿宋_GB2312"/>
                <w:sz w:val="24"/>
                <w:b/>
                <w:color w:val="000000"/>
              </w:rPr>
              <w:t>★</w:t>
            </w:r>
            <w:r>
              <w:rPr>
                <w:rFonts w:ascii="仿宋_GB2312" w:hAnsi="仿宋_GB2312" w:cs="仿宋_GB2312" w:eastAsia="仿宋_GB2312"/>
                <w:sz w:val="28"/>
                <w:b/>
                <w:color w:val="000000"/>
              </w:rPr>
              <w:t>三、商务要求</w:t>
            </w:r>
          </w:p>
          <w:p>
            <w:pPr>
              <w:pStyle w:val="null3"/>
              <w:spacing w:before="315" w:after="315"/>
              <w:jc w:val="both"/>
            </w:pPr>
            <w:r>
              <w:rPr>
                <w:rFonts w:ascii="仿宋_GB2312" w:hAnsi="仿宋_GB2312" w:cs="仿宋_GB2312" w:eastAsia="仿宋_GB2312"/>
                <w:sz w:val="28"/>
                <w:b/>
                <w:color w:val="000000"/>
              </w:rPr>
              <w:t>（一）设备的安装调试、试运行和验收标准要求</w:t>
            </w:r>
          </w:p>
          <w:p>
            <w:pPr>
              <w:pStyle w:val="null3"/>
              <w:ind w:firstLine="480"/>
              <w:jc w:val="both"/>
            </w:pPr>
            <w:r>
              <w:rPr>
                <w:rFonts w:ascii="仿宋_GB2312" w:hAnsi="仿宋_GB2312" w:cs="仿宋_GB2312" w:eastAsia="仿宋_GB2312"/>
                <w:sz w:val="24"/>
                <w:color w:val="000000"/>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3.所有产品经安装、调试、技术培训、验收合格后，双方在《海南省政府集中采购货物验收单》一式四份书面签字（盖章）验收。</w:t>
            </w:r>
          </w:p>
          <w:p>
            <w:pPr>
              <w:pStyle w:val="null3"/>
              <w:ind w:firstLine="480"/>
              <w:jc w:val="both"/>
            </w:pPr>
            <w:r>
              <w:rPr>
                <w:rFonts w:ascii="仿宋_GB2312" w:hAnsi="仿宋_GB2312" w:cs="仿宋_GB2312" w:eastAsia="仿宋_GB2312"/>
                <w:sz w:val="24"/>
                <w:color w:val="000000"/>
              </w:rPr>
              <w:t>4.交货期限:合同签订后60天内交货且安装调试完毕交付使用</w:t>
            </w:r>
          </w:p>
          <w:p>
            <w:pPr>
              <w:pStyle w:val="null3"/>
              <w:ind w:firstLine="480"/>
              <w:jc w:val="both"/>
            </w:pPr>
            <w:r>
              <w:rPr>
                <w:rFonts w:ascii="仿宋_GB2312" w:hAnsi="仿宋_GB2312" w:cs="仿宋_GB2312" w:eastAsia="仿宋_GB2312"/>
                <w:sz w:val="24"/>
                <w:color w:val="000000"/>
              </w:rPr>
              <w:t>5.交货地点：用户指定地点</w:t>
            </w:r>
          </w:p>
          <w:p>
            <w:pPr>
              <w:pStyle w:val="null3"/>
              <w:spacing w:before="315" w:after="315"/>
              <w:jc w:val="both"/>
            </w:pPr>
            <w:r>
              <w:rPr>
                <w:rFonts w:ascii="仿宋_GB2312" w:hAnsi="仿宋_GB2312" w:cs="仿宋_GB2312" w:eastAsia="仿宋_GB2312"/>
                <w:sz w:val="28"/>
                <w:b/>
                <w:color w:val="000000"/>
              </w:rPr>
              <w:t>（二）、技术资料及参数</w:t>
            </w:r>
          </w:p>
          <w:p>
            <w:pPr>
              <w:pStyle w:val="null3"/>
              <w:ind w:firstLine="480"/>
              <w:jc w:val="both"/>
            </w:pPr>
            <w:r>
              <w:rPr>
                <w:rFonts w:ascii="仿宋_GB2312" w:hAnsi="仿宋_GB2312" w:cs="仿宋_GB2312" w:eastAsia="仿宋_GB2312"/>
                <w:sz w:val="24"/>
                <w:color w:val="000000"/>
              </w:rPr>
              <w:t>1.投标人应保证所提交给招标人和招标代理机构的资料和数据是真实的，因提交的资料和数据不真实所引起的责任由投标人自行承担。</w:t>
            </w:r>
          </w:p>
          <w:p>
            <w:pPr>
              <w:pStyle w:val="null3"/>
              <w:ind w:firstLine="480"/>
              <w:jc w:val="both"/>
            </w:pPr>
            <w:r>
              <w:rPr>
                <w:rFonts w:ascii="仿宋_GB2312" w:hAnsi="仿宋_GB2312" w:cs="仿宋_GB2312" w:eastAsia="仿宋_GB2312"/>
                <w:sz w:val="24"/>
                <w:color w:val="000000"/>
              </w:rPr>
              <w:t>2.规格尺寸、重量类参数允许不超过±2%的偏差（上述技术参数已有要求的除外）</w:t>
            </w:r>
          </w:p>
          <w:p>
            <w:pPr>
              <w:pStyle w:val="null3"/>
              <w:ind w:firstLine="480"/>
              <w:jc w:val="both"/>
            </w:pPr>
            <w:r>
              <w:rPr>
                <w:rFonts w:ascii="仿宋_GB2312" w:hAnsi="仿宋_GB2312" w:cs="仿宋_GB2312" w:eastAsia="仿宋_GB2312"/>
                <w:sz w:val="24"/>
                <w:color w:val="000000"/>
              </w:rPr>
              <w:t>3.招标文件中所有的技术参数及其性能（配置）仅起参考作用，目的是为了满足采购人工作的基本要求，投标产品满足（实质相当于）或优于招标文件的采购需求均可。</w:t>
            </w:r>
          </w:p>
          <w:p>
            <w:pPr>
              <w:pStyle w:val="null3"/>
              <w:ind w:firstLine="480"/>
              <w:jc w:val="both"/>
            </w:pPr>
            <w:r>
              <w:rPr>
                <w:rFonts w:ascii="仿宋_GB2312" w:hAnsi="仿宋_GB2312" w:cs="仿宋_GB2312" w:eastAsia="仿宋_GB2312"/>
                <w:sz w:val="24"/>
                <w:color w:val="000000"/>
              </w:rPr>
              <w:t>4.供应商需对响应的“技术参数、规格、功能及其他要求”内容真实性负责，如虚假响应谋取成交资格，经核实发现，取消成交资格。</w:t>
            </w:r>
          </w:p>
          <w:p>
            <w:pPr>
              <w:pStyle w:val="null3"/>
              <w:ind w:firstLine="480"/>
              <w:jc w:val="both"/>
            </w:pPr>
            <w:r>
              <w:rPr>
                <w:rFonts w:ascii="仿宋_GB2312" w:hAnsi="仿宋_GB2312" w:cs="仿宋_GB2312" w:eastAsia="仿宋_GB2312"/>
                <w:sz w:val="24"/>
                <w:color w:val="000000"/>
              </w:rPr>
              <w:t>5.所有产品均为标准化仪器设备，不接受定制（特殊需求除外）。</w:t>
            </w:r>
          </w:p>
          <w:p>
            <w:pPr>
              <w:pStyle w:val="null3"/>
              <w:spacing w:before="315" w:after="315"/>
              <w:jc w:val="both"/>
            </w:pPr>
            <w:r>
              <w:rPr>
                <w:rFonts w:ascii="仿宋_GB2312" w:hAnsi="仿宋_GB2312" w:cs="仿宋_GB2312" w:eastAsia="仿宋_GB2312"/>
                <w:sz w:val="28"/>
                <w:b/>
                <w:color w:val="000000"/>
              </w:rPr>
              <w:t>（三）、工具</w:t>
            </w:r>
          </w:p>
          <w:p>
            <w:pPr>
              <w:pStyle w:val="null3"/>
              <w:ind w:firstLine="480"/>
              <w:jc w:val="both"/>
            </w:pPr>
            <w:r>
              <w:rPr>
                <w:rFonts w:ascii="仿宋_GB2312" w:hAnsi="仿宋_GB2312" w:cs="仿宋_GB2312" w:eastAsia="仿宋_GB2312"/>
                <w:sz w:val="24"/>
                <w:color w:val="000000"/>
              </w:rPr>
              <w:t>投标人提供产品设备所带专用工具清单，并标明其种类、用途和生产厂，并在货物到货时同时提供给业主，此价格应包含在投标价中。</w:t>
            </w:r>
          </w:p>
          <w:p>
            <w:pPr>
              <w:pStyle w:val="null3"/>
              <w:spacing w:before="315" w:after="315"/>
              <w:jc w:val="both"/>
            </w:pPr>
            <w:r>
              <w:rPr>
                <w:rFonts w:ascii="仿宋_GB2312" w:hAnsi="仿宋_GB2312" w:cs="仿宋_GB2312" w:eastAsia="仿宋_GB2312"/>
                <w:sz w:val="28"/>
                <w:b/>
                <w:color w:val="000000"/>
              </w:rPr>
              <w:t>（四）、备件</w:t>
            </w:r>
          </w:p>
          <w:p>
            <w:pPr>
              <w:pStyle w:val="null3"/>
              <w:spacing w:before="315" w:after="315"/>
              <w:jc w:val="both"/>
            </w:pPr>
            <w:r>
              <w:rPr>
                <w:rFonts w:ascii="仿宋_GB2312" w:hAnsi="仿宋_GB2312" w:cs="仿宋_GB2312" w:eastAsia="仿宋_GB2312"/>
                <w:sz w:val="24"/>
                <w:b/>
                <w:color w:val="000000"/>
              </w:rPr>
              <w:t>投标人可提供一个在正常情况使用下，保质期满后一年内可保证仪器设备正常使用的备件和材料清单，并标明其种类、生产厂、单价和总价，业主有权决定全部或有选择的购买。</w:t>
            </w:r>
          </w:p>
          <w:p>
            <w:pPr>
              <w:pStyle w:val="null3"/>
              <w:spacing w:before="315" w:after="315"/>
              <w:jc w:val="both"/>
            </w:pPr>
            <w:r>
              <w:rPr>
                <w:rFonts w:ascii="仿宋_GB2312" w:hAnsi="仿宋_GB2312" w:cs="仿宋_GB2312" w:eastAsia="仿宋_GB2312"/>
                <w:sz w:val="28"/>
                <w:b/>
                <w:color w:val="000000"/>
              </w:rPr>
              <w:t>（五）、易损件</w:t>
            </w:r>
          </w:p>
          <w:p>
            <w:pPr>
              <w:pStyle w:val="null3"/>
              <w:ind w:firstLine="480"/>
              <w:jc w:val="both"/>
            </w:pPr>
            <w:r>
              <w:rPr>
                <w:rFonts w:ascii="仿宋_GB2312" w:hAnsi="仿宋_GB2312" w:cs="仿宋_GB2312" w:eastAsia="仿宋_GB2312"/>
                <w:sz w:val="24"/>
                <w:color w:val="000000"/>
              </w:rPr>
              <w:t>投标人可提供一个易损、易耗件清单，并标明用途、生产厂、常规使用寿命和单价。</w:t>
            </w:r>
          </w:p>
          <w:p>
            <w:pPr>
              <w:pStyle w:val="null3"/>
              <w:spacing w:before="315" w:after="315"/>
              <w:jc w:val="both"/>
            </w:pPr>
            <w:r>
              <w:rPr>
                <w:rFonts w:ascii="仿宋_GB2312" w:hAnsi="仿宋_GB2312" w:cs="仿宋_GB2312" w:eastAsia="仿宋_GB2312"/>
                <w:sz w:val="28"/>
                <w:b/>
                <w:color w:val="000000"/>
              </w:rPr>
              <w:t>（六）、质量保质期</w:t>
            </w:r>
          </w:p>
          <w:p>
            <w:pPr>
              <w:pStyle w:val="null3"/>
              <w:ind w:firstLine="480"/>
              <w:jc w:val="both"/>
            </w:pPr>
            <w:r>
              <w:rPr>
                <w:rFonts w:ascii="仿宋_GB2312" w:hAnsi="仿宋_GB2312" w:cs="仿宋_GB2312" w:eastAsia="仿宋_GB2312"/>
                <w:sz w:val="24"/>
                <w:color w:val="000000"/>
              </w:rPr>
              <w:t>本项目的质保期最低为</w:t>
            </w:r>
            <w:r>
              <w:rPr>
                <w:rFonts w:ascii="仿宋_GB2312" w:hAnsi="仿宋_GB2312" w:cs="仿宋_GB2312" w:eastAsia="仿宋_GB2312"/>
                <w:sz w:val="24"/>
                <w:color w:val="000000"/>
              </w:rPr>
              <w:t>3年，质保期从整体验收合格之日起计算，免费上门服务。（采购清单中免费保修期有特殊要求的按照采购清单中的为准）。若厂家有超过期限免费保修期的按厂家方案执行。）</w:t>
            </w:r>
          </w:p>
          <w:p>
            <w:pPr>
              <w:pStyle w:val="null3"/>
              <w:spacing w:before="315" w:after="315"/>
              <w:jc w:val="both"/>
            </w:pPr>
            <w:r>
              <w:rPr>
                <w:rFonts w:ascii="仿宋_GB2312" w:hAnsi="仿宋_GB2312" w:cs="仿宋_GB2312" w:eastAsia="仿宋_GB2312"/>
                <w:sz w:val="28"/>
                <w:b/>
                <w:color w:val="000000"/>
              </w:rPr>
              <w:t>（七）、售后服务</w:t>
            </w:r>
          </w:p>
          <w:p>
            <w:pPr>
              <w:pStyle w:val="null3"/>
              <w:ind w:firstLine="456"/>
              <w:jc w:val="both"/>
            </w:pPr>
            <w:r>
              <w:rPr>
                <w:rFonts w:ascii="仿宋_GB2312" w:hAnsi="仿宋_GB2312" w:cs="仿宋_GB2312" w:eastAsia="仿宋_GB2312"/>
                <w:sz w:val="24"/>
                <w:color w:val="000000"/>
              </w:rPr>
              <w:t>1.供货方中标后需在项目所在地具有相应的技术支持及售后服务网点，确保设备使用的用户能够得到及时优质的售后服务。</w:t>
            </w:r>
          </w:p>
          <w:p>
            <w:pPr>
              <w:pStyle w:val="null3"/>
              <w:ind w:firstLine="456"/>
              <w:jc w:val="both"/>
            </w:pPr>
            <w:r>
              <w:rPr>
                <w:rFonts w:ascii="仿宋_GB2312" w:hAnsi="仿宋_GB2312" w:cs="仿宋_GB2312" w:eastAsia="仿宋_GB2312"/>
                <w:sz w:val="24"/>
                <w:color w:val="000000"/>
              </w:rPr>
              <w:t>2.在保质期以内，投标人在接到业主的维修通知后需及时响应，并派出有能力的维修人员赶到业主现场进行维修处理。产品的质保期为至少 年，质保期内，凡因正常使用出现质量问题，供应商应提供免费维修或咨询等服务，承担因此产生的一切费用。</w:t>
            </w:r>
          </w:p>
          <w:p>
            <w:pPr>
              <w:pStyle w:val="null3"/>
              <w:ind w:firstLine="456"/>
              <w:jc w:val="both"/>
            </w:pPr>
            <w:r>
              <w:rPr>
                <w:rFonts w:ascii="仿宋_GB2312" w:hAnsi="仿宋_GB2312" w:cs="仿宋_GB2312" w:eastAsia="仿宋_GB2312"/>
                <w:sz w:val="24"/>
                <w:color w:val="000000"/>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315" w:after="315"/>
              <w:jc w:val="both"/>
            </w:pPr>
            <w:r>
              <w:rPr>
                <w:rFonts w:ascii="仿宋_GB2312" w:hAnsi="仿宋_GB2312" w:cs="仿宋_GB2312" w:eastAsia="仿宋_GB2312"/>
                <w:sz w:val="28"/>
                <w:b/>
                <w:color w:val="000000"/>
              </w:rPr>
              <w:t>（八）、培训服务：</w:t>
            </w:r>
          </w:p>
          <w:p>
            <w:pPr>
              <w:pStyle w:val="null3"/>
              <w:ind w:firstLine="480"/>
              <w:jc w:val="both"/>
            </w:pPr>
            <w:r>
              <w:rPr>
                <w:rFonts w:ascii="仿宋_GB2312" w:hAnsi="仿宋_GB2312" w:cs="仿宋_GB2312" w:eastAsia="仿宋_GB2312"/>
                <w:sz w:val="24"/>
                <w:color w:val="000000"/>
              </w:rPr>
              <w:t>1.供应商应在采购人规定的时间内将全部产品安装、调试完毕，提供给采购人正常使用，并免费提供使用说明书及有关产品使用和管理的培训。</w:t>
            </w:r>
          </w:p>
          <w:p>
            <w:pPr>
              <w:pStyle w:val="null3"/>
              <w:ind w:firstLine="480"/>
              <w:jc w:val="both"/>
            </w:pPr>
            <w:r>
              <w:rPr>
                <w:rFonts w:ascii="仿宋_GB2312" w:hAnsi="仿宋_GB2312" w:cs="仿宋_GB2312" w:eastAsia="仿宋_GB2312"/>
                <w:sz w:val="24"/>
                <w:color w:val="000000"/>
              </w:rPr>
              <w:t>2.免费提供培训材料及所培训内容。</w:t>
            </w:r>
          </w:p>
          <w:p>
            <w:pPr>
              <w:pStyle w:val="null3"/>
              <w:ind w:firstLine="480"/>
              <w:jc w:val="both"/>
            </w:pPr>
            <w:r>
              <w:rPr>
                <w:rFonts w:ascii="仿宋_GB2312" w:hAnsi="仿宋_GB2312" w:cs="仿宋_GB2312" w:eastAsia="仿宋_GB2312"/>
                <w:sz w:val="24"/>
                <w:color w:val="000000"/>
              </w:rPr>
              <w:t>3.培训地点：采购人指定地点；</w:t>
            </w:r>
          </w:p>
          <w:p>
            <w:pPr>
              <w:pStyle w:val="null3"/>
              <w:ind w:firstLine="480"/>
              <w:jc w:val="both"/>
            </w:pPr>
            <w:r>
              <w:rPr>
                <w:rFonts w:ascii="仿宋_GB2312" w:hAnsi="仿宋_GB2312" w:cs="仿宋_GB2312" w:eastAsia="仿宋_GB2312"/>
                <w:sz w:val="24"/>
                <w:color w:val="000000"/>
              </w:rPr>
              <w:t>4.时间：至少5天；</w:t>
            </w:r>
          </w:p>
          <w:p>
            <w:pPr>
              <w:pStyle w:val="null3"/>
              <w:ind w:firstLine="480"/>
              <w:jc w:val="both"/>
            </w:pPr>
            <w:r>
              <w:rPr>
                <w:rFonts w:ascii="仿宋_GB2312" w:hAnsi="仿宋_GB2312" w:cs="仿宋_GB2312" w:eastAsia="仿宋_GB2312"/>
                <w:sz w:val="24"/>
                <w:color w:val="000000"/>
              </w:rPr>
              <w:t>5.内容：产品的基本原理、结构、基本操作及维护知识，并指导用户进行操作，直到用户方使用人员可独立进行操作为止。</w:t>
            </w:r>
          </w:p>
          <w:p>
            <w:pPr>
              <w:pStyle w:val="null3"/>
              <w:ind w:firstLine="480"/>
              <w:jc w:val="both"/>
            </w:pPr>
            <w:r>
              <w:rPr>
                <w:rFonts w:ascii="仿宋_GB2312" w:hAnsi="仿宋_GB2312" w:cs="仿宋_GB2312" w:eastAsia="仿宋_GB2312"/>
                <w:sz w:val="24"/>
                <w:color w:val="000000"/>
              </w:rPr>
              <w:t>6.产品包含一次免费搬家服务。</w:t>
            </w:r>
          </w:p>
          <w:p>
            <w:pPr>
              <w:pStyle w:val="null3"/>
              <w:spacing w:before="315" w:after="315"/>
              <w:jc w:val="both"/>
            </w:pPr>
            <w:r>
              <w:rPr>
                <w:rFonts w:ascii="仿宋_GB2312" w:hAnsi="仿宋_GB2312" w:cs="仿宋_GB2312" w:eastAsia="仿宋_GB2312"/>
                <w:sz w:val="28"/>
                <w:b/>
                <w:color w:val="000000"/>
              </w:rPr>
              <w:t>（九）、除招标文件明确外，未经业主同意，中标供应商不得以任何方式转包或分包本项目。</w:t>
            </w:r>
          </w:p>
          <w:p>
            <w:pPr>
              <w:pStyle w:val="null3"/>
              <w:spacing w:before="315" w:after="315"/>
              <w:jc w:val="both"/>
            </w:pPr>
            <w:r>
              <w:rPr>
                <w:rFonts w:ascii="仿宋_GB2312" w:hAnsi="仿宋_GB2312" w:cs="仿宋_GB2312" w:eastAsia="仿宋_GB2312"/>
                <w:sz w:val="28"/>
                <w:b/>
                <w:color w:val="000000"/>
              </w:rPr>
              <w:t>（十）、签订合同：中标供应商在收到《中标通知书》</w:t>
            </w:r>
            <w:r>
              <w:rPr>
                <w:rFonts w:ascii="仿宋_GB2312" w:hAnsi="仿宋_GB2312" w:cs="仿宋_GB2312" w:eastAsia="仿宋_GB2312"/>
                <w:sz w:val="28"/>
                <w:b/>
                <w:color w:val="000000"/>
              </w:rPr>
              <w:t>5个工作日与业主签订合同。</w:t>
            </w:r>
          </w:p>
          <w:p>
            <w:pPr>
              <w:pStyle w:val="null3"/>
              <w:spacing w:before="315" w:after="315"/>
              <w:jc w:val="both"/>
            </w:pPr>
            <w:r>
              <w:rPr>
                <w:rFonts w:ascii="仿宋_GB2312" w:hAnsi="仿宋_GB2312" w:cs="仿宋_GB2312" w:eastAsia="仿宋_GB2312"/>
                <w:sz w:val="28"/>
                <w:b/>
                <w:color w:val="000000"/>
              </w:rPr>
              <w:t>（十一）、其它注意事项</w:t>
            </w:r>
          </w:p>
          <w:p>
            <w:pPr>
              <w:pStyle w:val="null3"/>
              <w:ind w:firstLine="480"/>
              <w:jc w:val="both"/>
            </w:pPr>
            <w:r>
              <w:rPr>
                <w:rFonts w:ascii="仿宋_GB2312" w:hAnsi="仿宋_GB2312" w:cs="仿宋_GB2312" w:eastAsia="仿宋_GB2312"/>
                <w:sz w:val="24"/>
                <w:color w:val="000000"/>
              </w:rPr>
              <w:t>1.提供正常系统维护和免费提供软件系统升级。</w:t>
            </w:r>
          </w:p>
          <w:p>
            <w:pPr>
              <w:pStyle w:val="null3"/>
              <w:ind w:firstLine="480"/>
              <w:jc w:val="both"/>
            </w:pPr>
            <w:r>
              <w:rPr>
                <w:rFonts w:ascii="仿宋_GB2312" w:hAnsi="仿宋_GB2312" w:cs="仿宋_GB2312" w:eastAsia="仿宋_GB2312"/>
                <w:sz w:val="24"/>
                <w:color w:val="000000"/>
              </w:rPr>
              <w:t>2.中标方负责设备的安装、调试。</w:t>
            </w:r>
          </w:p>
          <w:p>
            <w:pPr>
              <w:pStyle w:val="null3"/>
              <w:ind w:firstLine="480"/>
              <w:jc w:val="both"/>
            </w:pPr>
            <w:r>
              <w:rPr>
                <w:rFonts w:ascii="仿宋_GB2312" w:hAnsi="仿宋_GB2312" w:cs="仿宋_GB2312" w:eastAsia="仿宋_GB2312"/>
                <w:sz w:val="24"/>
                <w:color w:val="000000"/>
              </w:rPr>
              <w:t>3.未尽事宜由双方商议解决。</w:t>
            </w:r>
          </w:p>
          <w:p>
            <w:pPr>
              <w:pStyle w:val="null3"/>
              <w:ind w:firstLine="480"/>
              <w:jc w:val="both"/>
            </w:pPr>
            <w:r>
              <w:rPr>
                <w:rFonts w:ascii="仿宋_GB2312" w:hAnsi="仿宋_GB2312" w:cs="仿宋_GB2312" w:eastAsia="仿宋_GB2312"/>
                <w:sz w:val="24"/>
                <w:color w:val="000000"/>
              </w:rPr>
              <w:t>4.本项目最高限价金额为4000000.00元，供应商的报价不得超过此最高限价，否则按无效投标处理。</w:t>
            </w:r>
          </w:p>
          <w:p>
            <w:pPr>
              <w:pStyle w:val="null3"/>
              <w:ind w:firstLine="480"/>
              <w:jc w:val="both"/>
            </w:pPr>
            <w:r>
              <w:rPr>
                <w:rFonts w:ascii="仿宋_GB2312" w:hAnsi="仿宋_GB2312" w:cs="仿宋_GB2312" w:eastAsia="仿宋_GB2312"/>
                <w:sz w:val="24"/>
                <w:color w:val="000000"/>
              </w:rPr>
              <w:t>5.安全标准：符合国家、地方和行业的相关政策、法规。</w:t>
            </w:r>
          </w:p>
          <w:p>
            <w:pPr>
              <w:pStyle w:val="null3"/>
              <w:ind w:firstLine="480"/>
              <w:jc w:val="both"/>
            </w:pPr>
            <w:r>
              <w:rPr>
                <w:rFonts w:ascii="仿宋_GB2312" w:hAnsi="仿宋_GB2312" w:cs="仿宋_GB2312" w:eastAsia="仿宋_GB2312"/>
                <w:sz w:val="24"/>
                <w:color w:val="000000"/>
              </w:rPr>
              <w:t>6.项目的实质性要求：按招标文件要求实施。</w:t>
            </w:r>
          </w:p>
          <w:p>
            <w:pPr>
              <w:pStyle w:val="null3"/>
              <w:ind w:firstLine="480"/>
              <w:jc w:val="both"/>
            </w:pPr>
            <w:r>
              <w:rPr>
                <w:rFonts w:ascii="仿宋_GB2312" w:hAnsi="仿宋_GB2312" w:cs="仿宋_GB2312" w:eastAsia="仿宋_GB2312"/>
                <w:sz w:val="24"/>
                <w:color w:val="00000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color w:val="000000"/>
              </w:rPr>
              <w:t>8.法律法规规定的强制性标准：无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（国产仪器设备合同）</w:t>
      </w:r>
    </w:p>
    <w:p>
      <w:pPr>
        <w:pStyle w:val="null3"/>
        <w:jc w:val="left"/>
        <w:outlineLvl w:val="1"/>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color w:val="000000"/>
        </w:rPr>
        <w:t>甲方：海南大学</w:t>
      </w:r>
    </w:p>
    <w:p>
      <w:pPr>
        <w:pStyle w:val="null3"/>
        <w:ind w:firstLine="480"/>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w:t>
      </w:r>
      <w:r>
        <w:rPr>
          <w:rFonts w:ascii="仿宋_GB2312" w:hAnsi="仿宋_GB2312" w:cs="仿宋_GB2312" w:eastAsia="仿宋_GB2312"/>
          <w:sz w:val="24"/>
          <w:color w:val="000000"/>
        </w:rPr>
        <w:t>响应表</w:t>
      </w:r>
      <w:r>
        <w:rPr>
          <w:rFonts w:ascii="仿宋_GB2312" w:hAnsi="仿宋_GB2312" w:cs="仿宋_GB2312" w:eastAsia="仿宋_GB2312"/>
          <w:sz w:val="24"/>
          <w:color w:val="000000"/>
        </w:rPr>
        <w:t>（必要）；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ind w:firstLine="480"/>
        <w:jc w:val="left"/>
      </w:pPr>
      <w:r>
        <w:rPr>
          <w:rFonts w:ascii="仿宋_GB2312" w:hAnsi="仿宋_GB2312" w:cs="仿宋_GB2312" w:eastAsia="仿宋_GB2312"/>
          <w:sz w:val="24"/>
          <w:color w:val="000000"/>
        </w:rPr>
        <w:t>货物其他技术参数指标要求，具体详见附件。</w:t>
      </w:r>
    </w:p>
    <w:p>
      <w:pPr>
        <w:pStyle w:val="null3"/>
        <w:ind w:firstLine="482"/>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w:t>
      </w:r>
      <w:r>
        <w:rPr>
          <w:rFonts w:ascii="仿宋_GB2312" w:hAnsi="仿宋_GB2312" w:cs="仿宋_GB2312" w:eastAsia="仿宋_GB2312"/>
          <w:sz w:val="24"/>
          <w:color w:val="000000"/>
        </w:rPr>
        <w:t>并完成</w:t>
      </w:r>
      <w:r>
        <w:rPr>
          <w:rFonts w:ascii="仿宋_GB2312" w:hAnsi="仿宋_GB2312" w:cs="仿宋_GB2312" w:eastAsia="仿宋_GB2312"/>
          <w:sz w:val="24"/>
          <w:color w:val="000000"/>
        </w:rPr>
        <w:t>安装调试，由甲方负责验收。设备运送产生的费用风险，由乙方负责。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八、付款方式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u w:val="single"/>
        </w:rPr>
        <w:t>_（一）_</w:t>
      </w:r>
      <w:r>
        <w:rPr>
          <w:rFonts w:ascii="仿宋_GB2312" w:hAnsi="仿宋_GB2312" w:cs="仿宋_GB2312" w:eastAsia="仿宋_GB2312"/>
          <w:sz w:val="24"/>
          <w:b/>
          <w:color w:val="000000"/>
        </w:rPr>
        <w:t>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u w:val="single"/>
        </w:rPr>
        <w:t xml:space="preserve"> 70 </w:t>
      </w:r>
      <w:r>
        <w:rPr>
          <w:rFonts w:ascii="仿宋_GB2312" w:hAnsi="仿宋_GB2312" w:cs="仿宋_GB2312" w:eastAsia="仿宋_GB2312"/>
          <w:sz w:val="24"/>
          <w:color w:val="000000"/>
        </w:rPr>
        <w:t>%的预付款，即人民币</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甲方收到本合同约定的所有货物并验收合格，同时2026年省财政配套经费下拨至学校后，对于满足合同约定支付条件的，自收到乙方开具的合法有效的增值税专用发票后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w:t>
      </w:r>
      <w:r>
        <w:rPr>
          <w:rFonts w:ascii="仿宋_GB2312" w:hAnsi="仿宋_GB2312" w:cs="仿宋_GB2312" w:eastAsia="仿宋_GB2312"/>
          <w:sz w:val="24"/>
        </w:rPr>
        <w:t>中标（成交）</w:t>
      </w:r>
      <w:r>
        <w:rPr>
          <w:rFonts w:ascii="仿宋_GB2312" w:hAnsi="仿宋_GB2312" w:cs="仿宋_GB2312" w:eastAsia="仿宋_GB2312"/>
          <w:sz w:val="24"/>
        </w:rPr>
        <w:t>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w:t>
      </w:r>
      <w:r>
        <w:rPr>
          <w:rFonts w:ascii="仿宋_GB2312" w:hAnsi="仿宋_GB2312" w:cs="仿宋_GB2312" w:eastAsia="仿宋_GB2312"/>
          <w:sz w:val="24"/>
          <w:color w:val="000000"/>
        </w:rPr>
        <w:t>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color w:val="000000"/>
        </w:rPr>
        <w:t>十四、</w:t>
      </w:r>
      <w:r>
        <w:rPr>
          <w:rFonts w:ascii="仿宋_GB2312" w:hAnsi="仿宋_GB2312" w:cs="仿宋_GB2312" w:eastAsia="仿宋_GB2312"/>
          <w:sz w:val="24"/>
          <w:b/>
          <w:color w:val="000000"/>
        </w:rPr>
        <w:t>其他</w:t>
      </w:r>
    </w:p>
    <w:p>
      <w:pPr>
        <w:pStyle w:val="null3"/>
        <w:ind w:firstLine="480"/>
        <w:jc w:val="left"/>
      </w:pPr>
      <w:r>
        <w:rPr>
          <w:rFonts w:ascii="仿宋_GB2312" w:hAnsi="仿宋_GB2312" w:cs="仿宋_GB2312" w:eastAsia="仿宋_GB2312"/>
          <w:sz w:val="24"/>
          <w:color w:val="000000"/>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color w:val="000000"/>
        </w:rPr>
        <w:t>2、双方确认，本合同中载明的地址为各方在本合同项下及与本合同相关的所有法律文件、通知、诉讼文书等的有效送达地址。向约定地址发送文件视为有效送达，因接收方提供的地址不准确、地址变更未及时通知</w:t>
      </w:r>
      <w:r>
        <w:rPr>
          <w:rFonts w:ascii="仿宋_GB2312" w:hAnsi="仿宋_GB2312" w:cs="仿宋_GB2312" w:eastAsia="仿宋_GB2312"/>
          <w:sz w:val="24"/>
          <w:color w:val="000000"/>
        </w:rPr>
        <w:t>或</w:t>
      </w:r>
      <w:r>
        <w:rPr>
          <w:rFonts w:ascii="仿宋_GB2312" w:hAnsi="仿宋_GB2312" w:cs="仿宋_GB2312" w:eastAsia="仿宋_GB2312"/>
          <w:sz w:val="24"/>
          <w:color w:val="000000"/>
        </w:rPr>
        <w:t>接收方拒收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无人签收等情形，导致文件未能实际接收的，均视为已按约定地址完成送达。任何一方变更通讯地址的，应提前【</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outlineLvl w:val="1"/>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b/>
        </w:rPr>
        <w:t>合同通用条款</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color w:val="000000"/>
        </w:rPr>
        <w:t>1．定义</w:t>
      </w:r>
    </w:p>
    <w:p>
      <w:pPr>
        <w:pStyle w:val="null3"/>
        <w:ind w:firstLine="480"/>
        <w:jc w:val="both"/>
      </w:pPr>
      <w:r>
        <w:rPr>
          <w:rFonts w:ascii="仿宋_GB2312" w:hAnsi="仿宋_GB2312" w:cs="仿宋_GB2312" w:eastAsia="仿宋_GB2312"/>
          <w:sz w:val="24"/>
          <w:color w:val="000000"/>
        </w:rPr>
        <w:t>本合同下列术语应解释为：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both"/>
      </w:pPr>
      <w:r>
        <w:rPr>
          <w:rFonts w:ascii="仿宋_GB2312" w:hAnsi="仿宋_GB2312" w:cs="仿宋_GB2312" w:eastAsia="仿宋_GB2312"/>
          <w:sz w:val="24"/>
          <w:b/>
          <w:color w:val="000000"/>
        </w:rPr>
        <w:t>2．技术规范</w:t>
      </w:r>
    </w:p>
    <w:p>
      <w:pPr>
        <w:pStyle w:val="null3"/>
        <w:ind w:firstLine="480"/>
        <w:jc w:val="both"/>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color w:val="000000"/>
        </w:rPr>
        <w:t>3．专利权</w:t>
      </w:r>
    </w:p>
    <w:p>
      <w:pPr>
        <w:pStyle w:val="null3"/>
        <w:ind w:firstLine="480"/>
        <w:jc w:val="both"/>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color w:val="000000"/>
        </w:rPr>
        <w:t>4．包装要求</w:t>
      </w:r>
    </w:p>
    <w:p>
      <w:pPr>
        <w:pStyle w:val="null3"/>
        <w:ind w:firstLine="480"/>
        <w:jc w:val="both"/>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color w:val="000000"/>
        </w:rPr>
        <w:t>4.2 每件包装箱内应附一份详细装箱单和质量合格证。</w:t>
      </w:r>
    </w:p>
    <w:p>
      <w:pPr>
        <w:pStyle w:val="null3"/>
        <w:ind w:firstLine="482"/>
        <w:jc w:val="both"/>
      </w:pPr>
      <w:r>
        <w:rPr>
          <w:rFonts w:ascii="仿宋_GB2312" w:hAnsi="仿宋_GB2312" w:cs="仿宋_GB2312" w:eastAsia="仿宋_GB2312"/>
          <w:sz w:val="24"/>
          <w:b/>
          <w:color w:val="000000"/>
        </w:rPr>
        <w:t>5．装运标志</w:t>
      </w:r>
    </w:p>
    <w:p>
      <w:pPr>
        <w:pStyle w:val="null3"/>
        <w:ind w:firstLine="480"/>
        <w:jc w:val="both"/>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both"/>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w:t>
      </w:r>
      <w:r>
        <w:rPr>
          <w:rFonts w:ascii="仿宋_GB2312" w:hAnsi="仿宋_GB2312" w:cs="仿宋_GB2312" w:eastAsia="仿宋_GB2312"/>
          <w:sz w:val="24"/>
          <w:color w:val="000000"/>
        </w:rPr>
        <w:t>防潮</w:t>
      </w:r>
      <w:r>
        <w:rPr>
          <w:rFonts w:ascii="仿宋_GB2312" w:hAnsi="仿宋_GB2312" w:cs="仿宋_GB2312" w:eastAsia="仿宋_GB2312"/>
          <w:sz w:val="24"/>
          <w:color w:val="000000"/>
        </w:rPr>
        <w:t>”等字样和其他适当的标记。</w:t>
      </w:r>
    </w:p>
    <w:p>
      <w:pPr>
        <w:pStyle w:val="null3"/>
        <w:ind w:firstLine="480"/>
        <w:jc w:val="both"/>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color w:val="000000"/>
        </w:rPr>
        <w:t>6．交货方式</w:t>
      </w:r>
    </w:p>
    <w:p>
      <w:pPr>
        <w:pStyle w:val="null3"/>
        <w:ind w:firstLine="480"/>
        <w:jc w:val="both"/>
      </w:pPr>
      <w:r>
        <w:rPr>
          <w:rFonts w:ascii="仿宋_GB2312" w:hAnsi="仿宋_GB2312" w:cs="仿宋_GB2312" w:eastAsia="仿宋_GB2312"/>
          <w:sz w:val="24"/>
          <w:color w:val="000000"/>
        </w:rPr>
        <w:t>6.l 交货方式一般为下列其中一种，具体在合同专用条款中规定。</w:t>
      </w:r>
    </w:p>
    <w:p>
      <w:pPr>
        <w:pStyle w:val="null3"/>
        <w:ind w:firstLine="480"/>
        <w:jc w:val="both"/>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color w:val="000000"/>
        </w:rPr>
        <w:t>7．装运通知</w:t>
      </w:r>
    </w:p>
    <w:p>
      <w:pPr>
        <w:pStyle w:val="null3"/>
        <w:ind w:firstLine="480"/>
        <w:jc w:val="both"/>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color w:val="000000"/>
        </w:rPr>
        <w:t>8．保险</w:t>
      </w:r>
    </w:p>
    <w:p>
      <w:pPr>
        <w:pStyle w:val="null3"/>
        <w:ind w:firstLine="480"/>
        <w:jc w:val="both"/>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color w:val="000000"/>
        </w:rPr>
        <w:t>9．支付</w:t>
      </w:r>
    </w:p>
    <w:p>
      <w:pPr>
        <w:pStyle w:val="null3"/>
        <w:ind w:firstLine="480"/>
        <w:jc w:val="both"/>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）。国产设备：甲方只接受国内合法有效的货物销售增值税专用发票。</w:t>
      </w:r>
    </w:p>
    <w:p>
      <w:pPr>
        <w:pStyle w:val="null3"/>
        <w:ind w:firstLine="482"/>
        <w:jc w:val="both"/>
      </w:pPr>
      <w:r>
        <w:rPr>
          <w:rFonts w:ascii="仿宋_GB2312" w:hAnsi="仿宋_GB2312" w:cs="仿宋_GB2312" w:eastAsia="仿宋_GB2312"/>
          <w:sz w:val="24"/>
          <w:b/>
          <w:color w:val="000000"/>
        </w:rPr>
        <w:t>10．技术资料</w:t>
      </w:r>
    </w:p>
    <w:p>
      <w:pPr>
        <w:pStyle w:val="null3"/>
        <w:ind w:firstLine="480"/>
        <w:jc w:val="both"/>
      </w:pPr>
      <w:r>
        <w:rPr>
          <w:rFonts w:ascii="仿宋_GB2312" w:hAnsi="仿宋_GB2312" w:cs="仿宋_GB2312" w:eastAsia="仿宋_GB2312"/>
          <w:sz w:val="24"/>
          <w:color w:val="000000"/>
        </w:rPr>
        <w:t>合同项下技术资料（除合同专用条款规定外）将以下列方式交付：</w:t>
      </w:r>
    </w:p>
    <w:p>
      <w:pPr>
        <w:pStyle w:val="null3"/>
        <w:ind w:firstLine="480"/>
        <w:jc w:val="both"/>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color w:val="000000"/>
        </w:rPr>
        <w:t>11．质量保证</w:t>
      </w:r>
    </w:p>
    <w:p>
      <w:pPr>
        <w:pStyle w:val="null3"/>
        <w:ind w:firstLine="480"/>
        <w:jc w:val="both"/>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color w:val="000000"/>
        </w:rPr>
        <w:t>12.检验及安装</w:t>
      </w:r>
    </w:p>
    <w:p>
      <w:pPr>
        <w:pStyle w:val="null3"/>
        <w:ind w:firstLine="480"/>
        <w:jc w:val="both"/>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color w:val="000000"/>
        </w:rPr>
        <w:t>12.6 货物（含软件及相关服务）的安装按甲方要求进行。</w:t>
      </w:r>
    </w:p>
    <w:p>
      <w:pPr>
        <w:pStyle w:val="null3"/>
        <w:ind w:firstLine="482"/>
        <w:jc w:val="both"/>
      </w:pPr>
      <w:r>
        <w:rPr>
          <w:rFonts w:ascii="仿宋_GB2312" w:hAnsi="仿宋_GB2312" w:cs="仿宋_GB2312" w:eastAsia="仿宋_GB2312"/>
          <w:sz w:val="24"/>
          <w:b/>
          <w:color w:val="000000"/>
        </w:rPr>
        <w:t>13．索赔</w:t>
      </w:r>
    </w:p>
    <w:p>
      <w:pPr>
        <w:pStyle w:val="null3"/>
        <w:ind w:firstLine="480"/>
        <w:jc w:val="both"/>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color w:val="000000"/>
        </w:rPr>
        <w:t>14．拖延交货</w:t>
      </w:r>
    </w:p>
    <w:p>
      <w:pPr>
        <w:pStyle w:val="null3"/>
        <w:ind w:firstLine="480"/>
        <w:jc w:val="both"/>
      </w:pPr>
      <w:r>
        <w:rPr>
          <w:rFonts w:ascii="仿宋_GB2312" w:hAnsi="仿宋_GB2312" w:cs="仿宋_GB2312" w:eastAsia="仿宋_GB2312"/>
          <w:sz w:val="24"/>
          <w:color w:val="000000"/>
        </w:rPr>
        <w:t>14.l 乙方应按照合同专用条款中规定的交货期交货和提供服务。</w:t>
      </w:r>
    </w:p>
    <w:p>
      <w:pPr>
        <w:pStyle w:val="null3"/>
        <w:ind w:firstLine="480"/>
        <w:jc w:val="both"/>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color w:val="000000"/>
        </w:rPr>
        <w:t>15．违约赔偿</w:t>
      </w:r>
    </w:p>
    <w:p>
      <w:pPr>
        <w:pStyle w:val="null3"/>
        <w:ind w:firstLine="480"/>
        <w:jc w:val="both"/>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color w:val="000000"/>
        </w:rPr>
        <w:t>16．不可抗力</w:t>
      </w:r>
    </w:p>
    <w:p>
      <w:pPr>
        <w:pStyle w:val="null3"/>
        <w:ind w:firstLine="480"/>
        <w:jc w:val="both"/>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color w:val="000000"/>
        </w:rPr>
        <w:t>17．税费</w:t>
      </w:r>
    </w:p>
    <w:p>
      <w:pPr>
        <w:pStyle w:val="null3"/>
        <w:ind w:firstLine="480"/>
        <w:jc w:val="both"/>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color w:val="000000"/>
        </w:rPr>
        <w:t>18．争议解决</w:t>
      </w:r>
    </w:p>
    <w:p>
      <w:pPr>
        <w:pStyle w:val="null3"/>
        <w:ind w:firstLine="480"/>
        <w:jc w:val="both"/>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both"/>
      </w:pPr>
      <w:r>
        <w:rPr>
          <w:rFonts w:ascii="仿宋_GB2312" w:hAnsi="仿宋_GB2312" w:cs="仿宋_GB2312" w:eastAsia="仿宋_GB2312"/>
          <w:sz w:val="24"/>
          <w:b/>
          <w:color w:val="000000"/>
        </w:rPr>
        <w:t>19．违约终止合同</w:t>
      </w:r>
    </w:p>
    <w:p>
      <w:pPr>
        <w:pStyle w:val="null3"/>
        <w:ind w:firstLine="480"/>
        <w:jc w:val="both"/>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both"/>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color w:val="000000"/>
        </w:rPr>
        <w:t>20．破产终止合同</w:t>
      </w:r>
    </w:p>
    <w:p>
      <w:pPr>
        <w:pStyle w:val="null3"/>
        <w:ind w:firstLine="480"/>
        <w:jc w:val="both"/>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color w:val="000000"/>
        </w:rPr>
        <w:t>21．转让与分包</w:t>
      </w:r>
    </w:p>
    <w:p>
      <w:pPr>
        <w:pStyle w:val="null3"/>
        <w:ind w:firstLine="420"/>
        <w:jc w:val="both"/>
      </w:pPr>
      <w:r>
        <w:rPr>
          <w:rFonts w:ascii="仿宋_GB2312" w:hAnsi="仿宋_GB2312" w:cs="仿宋_GB2312" w:eastAsia="仿宋_GB2312"/>
          <w:sz w:val="21"/>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1"/>
          <w:color w:val="000000"/>
        </w:rPr>
        <w:t>20%支付违约金。</w:t>
      </w:r>
    </w:p>
    <w:p>
      <w:pPr>
        <w:pStyle w:val="null3"/>
        <w:ind w:firstLine="482"/>
        <w:jc w:val="both"/>
      </w:pPr>
      <w:r>
        <w:rPr>
          <w:rFonts w:ascii="仿宋_GB2312" w:hAnsi="仿宋_GB2312" w:cs="仿宋_GB2312" w:eastAsia="仿宋_GB2312"/>
          <w:sz w:val="24"/>
          <w:b/>
          <w:color w:val="000000"/>
        </w:rPr>
        <w:t>22．适用法律</w:t>
      </w:r>
    </w:p>
    <w:p>
      <w:pPr>
        <w:pStyle w:val="null3"/>
        <w:ind w:firstLine="480"/>
        <w:jc w:val="both"/>
      </w:pPr>
      <w:r>
        <w:rPr>
          <w:rFonts w:ascii="仿宋_GB2312" w:hAnsi="仿宋_GB2312" w:cs="仿宋_GB2312" w:eastAsia="仿宋_GB2312"/>
          <w:sz w:val="24"/>
          <w:color w:val="000000"/>
        </w:rPr>
        <w:t>本合同应按中华人民共和国的法律进行解释。</w:t>
      </w:r>
    </w:p>
    <w:p>
      <w:pPr>
        <w:pStyle w:val="null3"/>
        <w:ind w:firstLine="482"/>
        <w:jc w:val="both"/>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both"/>
      </w:pPr>
      <w:r>
        <w:rPr>
          <w:rFonts w:ascii="仿宋_GB2312" w:hAnsi="仿宋_GB2312" w:cs="仿宋_GB2312" w:eastAsia="仿宋_GB2312"/>
          <w:sz w:val="24"/>
          <w:color w:val="000000"/>
        </w:rPr>
        <w:t>23.1 合同在双方签字盖章后生效。</w:t>
      </w:r>
    </w:p>
    <w:p>
      <w:pPr>
        <w:pStyle w:val="null3"/>
        <w:ind w:firstLine="480"/>
        <w:jc w:val="both"/>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color w:val="000000"/>
        </w:rPr>
        <w:t>24. 合同适用</w:t>
      </w:r>
    </w:p>
    <w:p>
      <w:pPr>
        <w:pStyle w:val="null3"/>
        <w:ind w:firstLine="480"/>
        <w:jc w:val="both"/>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8"/>
          <w:b/>
          <w:color w:val="000000"/>
        </w:rPr>
        <w:t>附件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 xml:space="preserve"> </w:t>
      </w:r>
    </w:p>
    <w:p>
      <w:pPr>
        <w:pStyle w:val="null3"/>
        <w:jc w:val="center"/>
      </w:pPr>
      <w:r>
        <w:rPr>
          <w:rFonts w:ascii="仿宋_GB2312" w:hAnsi="仿宋_GB2312" w:cs="仿宋_GB2312" w:eastAsia="仿宋_GB2312"/>
          <w:sz w:val="28"/>
          <w:b/>
          <w:color w:val="000000"/>
        </w:rPr>
        <w:t>廉洁责任书</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outlineLvl w:val="1"/>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16.14其他要求：一、本项目中要求提供的有关证书、文件等证明材料均以扫描件加盖公章为准，如涉及的证书、证件正在办理延期、换证、变更和年审等无法提供的，应提供相关部门办理事项的证明材料。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生物组织冷冻包埋机（1台）：1.主蜡缸容积≥9.0升，一次可连续包埋至少3200个组织，可多次加温增加蜡韧性；双保温缸，一次可以处理大量的包埋盒,尺寸（mm）≥270*225mm；可推拉折叠的缸盖；蜡缸温度范围：0～99℃；保温盒温度范围：0～99℃；工作台温度范围：0～99℃；冷冻台温度：0～－40℃设置；配导蜡槽，可独立加温，残蜡可自动流入保温盒。配置防冷凝水溢出的分体大冷台，出蜡口旁配置双制冷器、双风扇制冷小冷台，小冷台制冷面积（cm²）≥8*9；分体冷冻台制冷面积（mm）≥330×320，可放置80个包埋盒；不锈钢台面，智能化软件控系统，全中文，≥4.3寸彩色触摸液晶显示器；</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▲2.具有智能键功能（可不看屏盲操作），在显示屏无显示和触摸功能损坏时，包埋机的主要功能可正常操作。（投标时须提供满足该项功能要求视频现场演示，演示时长不超过1分钟）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生物组织摊片烤片机（1台）：1.全中文液晶显示；具定时开机和关机功能；集摊漂.烘.烤于一体，热风循环设计；具有摊片、烘片、烤片3路温度控制系统；烤片烘片可双定时；摊片温度：室温～99℃可调；烤片温度：室温～99℃可调；烘片温度：室温～99℃可调；可同时烤片不少于150张玻片。</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3.冷冻切片机（1台）：1.冷冻室控温范围：0℃ - -50℃；冷冻台控温范围：0℃ - -60℃；样本夹头控温范围：0℃ - -50℃；冷冻台附加半导体制冷温度可达：-60℃；无霜冷冻台样本冷冻点位≥24个；冷冻台附加半导体制冷点位≥ 2个；半导体快速制冷工作时间≤15分钟；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码生物显微系统（1套）：1.CFI无限远光学系统，可进行明场观察方式；放大倍数：40х—1000х；三目镜筒：倾斜角30º，双目瞳距：50mm—75mm。视点高度可调节，分光50/50，可实现显微镜和摄像系统同时观察；目镜：10X目镜，视场≥20mm，双目镜带屈光度调节；照明系统：白光LED照明。主机内置“复眼光学透镜”，在任何放大倍率下在视野边缘处也可实现均匀明亮的照明；</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物镜：平场消色差物镜4х，NA≥0.10，WD≥25mm;平场消色差物镜10х，NA≥0.25，WD≥6.7mm;平场消色差物镜40х，NA≥0.65，WD≥0.6mm;平场消色差物镜100х，NA≥1.25，WD≥0.14mm；聚光镜：阿贝式聚光镜NA≥1.25，叶片式孔径光栏，有对应于每个物镜位置的颜色标记；转换器：内定位四孔转换器；镜体采用一体化结构,机械筒长≥160 mm；载物台：带样品架，带游标校准，行程（mm）≥76х30；调焦：共轴粗微调，采用交叉滚子导轨机构;调焦行程：向上2mm,向下13mm，粗调：37.7mm/转，微调：0.2mm/转；粗调带有调焦旋钮扭矩调节环，可调节粗调松紧；带有载物台移动限位器；阻尼式切片夹。具有自动限位装置；</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3.数码相机≥1800万像素彩色CMOS，靶面尺寸：≥1/1.8（7.37x4.92），帧率：17@4880x3720，40@2448x1836，50@1728x1296，曝光时间：0.02ms~15s，灵敏度：505mv with 1/30s，暗电流：0.1mv with 1/30s ，相机接口：C型接口，数据传输/供电方式：USB3.0；配套图像分析软件：具备多色合成.图像采集.景深拓展.大图拼接.图像测量等功能；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4.配置：主机一套（三目观察头一个、10X目镜一对、阿贝聚光器一个、平场消色差物镜一组（四颗，4X，10X， 40X，100X））；数码相机一台（含图像分析软件）；台式电脑一台（台式电脑配置：性能不低于i3处理器，≥8G内存，≥1T硬盘，≥27英寸显示器，USB3.0接口，windows11操作系统）；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5.为保证售后服务和产品质量，投标时，须提供产品为合法来源产品及原厂技术支持售后服务承诺函（承诺提供不少于5年质保及每年不少于两次巡检维护（巡检维护时间间隔为6个月），格式自拟。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切片机（1台）：1.≥4.3寸彩色触摸显示屏，实时显示；可自动修片，可在液晶屏上设置复位停留点，自动复位；具有智能键功能（可不看屏盲操作），在显示屏无显示或触摸功能损坏时可正常使用；液晶屏显示石蜡夹头位置、切片计数、切片厚度，一键直达任意设定位置；切片厚度可达到≤0.5μm，有0位指示的精准定位系统；具修片功能，及标本回缩功能；刀片角度：0--10度可调；石蜡夹头上下移动距离≥60mm；前后移动距离≥20mm。</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6.自动组织脱水机（1台）：1.液晶显示屏，全中文菜单；.精铸内铸式双重保护干式加温，无需频繁加水； 采用独立双系统双温控，一套系统出现故障时，可切换到另一套使用；开放式、可任意设置吊篮停留滤液时间和吊篮振荡次数的起缸滤液设计，避免前一缸试剂带入后一缸造成混液；运行中可随时添加小标本；缸数量≥12个（9个脱水缸.3个蜡虹）；单缸容积≥1500ml ；单缸处理时间：0～99小时可调；单次处理标准组织盒≥75个。缸数量≥12个（9个脱水缸.3个蜡虹）；单缸容积≥1500ml ；单缸处理时间：0～99小时可调；单次处理标准组织盒≥75个。</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7.倒置荧光显微镜（1套）：一、主机参数：▲1.光学系统：CFI60无限远光学系统，齐焦距离为不低于60mm。放大倍数40-400倍；（投标时须提供能满足该项功能要求的产品官方网站彩页截图）</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观察方法：明场，相差，荧光；照明：高发光白光LED照明，内置复眼照明，确保任何倍率下亮度完全一致；目镜筒：倾角:45度,瞳孔距离:50-75毫米；目镜：10倍目镜，视野：22mm，两个目镜都可以调节曲光度；调焦：通过物镜向上/向下运动,行程(手动):向上7毫米向下1.5毫米粗调:37.7毫米/每转,微调:0.2毫米/每转,粗调扭矩可调；五孔物镜转换器；聚光镜：长工作距离聚光镜（75mm工作距离，可以延伸到190mm）；物镜：切趾相差技术，能保证最佳的相差衬比，能消除通常相差观察中的晕圈等干扰现象。配置四颗平场荧光相差物镜：四倍平场荧光相差物镜N.A. ≥ 0.13, W.D. ≥16.5 mm；十倍平场荧光相差物镜N.A. ≥0.30, W.D. ≥15.2 mm；二十倍平场荧光相差物镜N.A. ≥ 0.45, W.D. 8.2-6.9mm；四十倍相差物镜N.A. ≥0.55, W.D. ≥ 2.1mm；</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二、荧光照明系统：3.主机内置荧光转盘，最多可安装三个滤色激发块，附加位置用于明场照明，所有明场通道不与荧光通道共用通道；荧光照明光源配：LED 照明器，内置复眼透镜，可以配置3种不同的荧光LED单元;可用波长:385nm，455nm，470nm，505nm，525nm，590nm，625nm；现配置470nm，560nm两个波长的激发光LED模块；滤色激发块：带通型蓝色激发荧光块一个EX 455-485 nm，DM 500 nm，BA505-555 nm；带通型绿色激发荧光块一个EX 545-575 nm，DM 585 nm，BA595-665 nm；转盘配置“噪声终结”装置。</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▲4.高强度单色LED荧光光源，寿命≥10,000 小时，内置复眼镜片，保证视野亮度均匀；具备照明强度记忆功能；（投标时须提供能满足该项功能要求的产品官方网站彩页截图）</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三、数码相机参数 5.像素≥900 万像素；芯片：彩色 CMOS 芯片，靶面尺寸≥1英寸。像素大小≥3.45μmx3.45μm；帧率≥34@4096x2160.60@2048x1080；曝光时间：0.1ms~15s 。图像分析软件：具备多色合成.图像采集.景深拓展.大图拼接.图像测量等功能。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配置：主机一套（目镜一对、载物台移动尺一个、超长工作距离聚光镜一个、预定中心相差滑板一个、四倍平场荧光相差物镜一个、十倍平场荧光相差物镜一个、二十倍平场荧光相差物镜一个、四十倍相差物镜一个）、荧光光源（385nmLED荧光光源一个、470nmLED荧光光源一个、560nmLED荧光光源一个、带通型高级荧光滤色块一组（两通道， FITC.TEXAS RED））；彩色数码CCD一个；台式电脑一台（性能不低于i5处理器，≥8G内存，≥1T硬盘，≥27英寸显示器，USB3.0接口，windows11操作系统）；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▲7.为保证售后服务和产品质量，投标时，须提供产品为合法来源产品及原厂技术支持售后服务承诺函（承诺提供不少于5年质保及每年不少于两次巡检维护（巡检维护时间间隔为6个月），格式自拟。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8.正置显微镜（2台）：1.CFI无限远光学系统，可进行明场观察方式；照明系统：高亮白光LED照明。主机内置“复眼光学透镜”，在任何放大倍率下在视野边缘处也可实现均匀明亮的照明；</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放大倍数：40х—1000х；目镜：10X目镜，视场≥20mm，双目镜带屈光度调节；物镜：平场消色差物镜4х，NA≥0.10，WD≥25mm;平场消色差物镜10х，NA≥0.25，WD≥6.7mm;平场消色差物镜40х，NA≥0.65，WD≥0.6mm;平场消色差物镜100х，NA≥1.25，WD≥0.14mm；三目镜筒：倾斜角30º，双目瞳距：50mm—75mm。视点高度可调节。分光50/50，可实现显微镜和摄像系统同时观察；聚光镜：阿贝式聚光镜NA≥1.25，叶片式孔径光栏，有对应于每个物镜位置的颜色标记；4.转换器：内定位四孔转换器；镜体采用一体化结构,机械筒长≥160 mm；载物台：带有样品架，带游标校准，行程（mm）≥76х30；调焦：共轴粗微调，采用交叉滚子导轨机构;调焦行程：向上2mm,向下13mm，粗调：37.7mm/转，微调：0.2mm/转；粗调带有调焦旋钮扭矩调节环，可调节粗调松紧；带有载物台移动限位器；阻尼式切片夹。具有独特的自动限位装置；</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3.配置：主机一套（三目观察头一个、10X目镜一对、阿贝聚光器一个、平场消色差物镜一组（四颗，4X，10X， 40X，100X））；</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4.为保证售后服务和产品质量，投标时，须提供产品为合法来源产品及原厂技术支持售后服务承诺函（承诺提供不少于5年质保及每年不少于两次巡检维护（巡检维护时间间隔为6个月），格式自拟。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9.倒置显微镜（2台）：1.光学系统：无限远光学系统，齐焦距离≥60mm；照明：高发光白光LED照明，内置复眼照明，确保视场内任何倍率下亮度完全一致；</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观察方法：明场，相差；放大倍数100-400倍；目镜筒：倾角:45度,瞳孔距离:50 - 75毫米；目镜：10倍目镜，视野≥22mm，两个目镜都可以调节曲光度；双目观察筒，观察筒可接数码相机，0/100%、100%/0分光棱镜旋转式操作，双目筒可转动调节方向；调焦：通过物镜向上/向下运动,行程(手动):向上≥7毫米向下≥1.5毫米粗调≥37.7毫米/每转,微调≤ 0.2毫米/每转,粗调扭矩可调；五孔物镜转换器；载物台≥170*247mm，附带玻璃型载物台环；行程（mm）≥126 (X) x78 (Y) ，配置通用样本夹具一个；聚光镜：长工作距离聚光镜（工作距离≥75mm，可以延伸到≥190mm）；物镜：切趾相差物镜N.A. ≥0.25, W.D. ≥6.2mm；切趾相差物镜N.A. ≥ 0.4, W.D. ≥ 3.1mm；切趾相差物镜N.A. ≥0.55, W.D. ≥2.1mm</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3.配置：主机一套（含目镜一对、载物台移动尺一个、培养皿托板一个、预定中心相差滑板一个、十倍切趾相差物镜一个、二十倍切趾相差物镜一个、四十倍切趾相差物镜一个）；</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4.为保证售后服务和产品质量，投标时，须提供产品为合法来源产品及原厂技术支持售后服务承诺函（承诺提供不少于5年质保及每年不少于两次巡检维护（巡检维护时间间隔为6个月），格式自拟。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10.体式显微镜（2台）：1.光学系统：内斜光路变焦系统；照明系统：LED透反照明；</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2.总放大倍数：根据所用目镜与物镜的组合不同，可以实现3.35-300×的总放大倍数;现有配置获得6.7-50的放大倍数；主机变倍范围：0.67×~5×；变焦比：7.5：1；瞳距调节范围：52~75 mm；工作距离≥115mm；目镜筒：三目镜筒，目镜筒为45º，集成0.55倍C型接口，可接数码相机；目镜：两个目镜带屈光度调节，视场数≥22mm；采用人机功能：密封设计（防尘、防油、防水）；防霉设计；防静电设计；彩色数码相机≥830万像素彩色 CMOS ，靶面尺寸：≥1/1.8”（7.37x4.92），相机接口：C 型接口，数据传输/供电方式：USB3.0；</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3.分析软件：具有多色合成功能；图像采集功能；视频采集功能；景深扩展功能；多图拼接功能；高动态 HDR功能；灰度测量功能；图像测量功能；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4.配置：主机一台（10X目镜一对、透反射底座一个）；数码相机一台；台式电脑一台（台式电脑配置：性能不低于i3处理器，≥8G内存，≥1T硬盘，≥27英寸显示器，USB3.0接口，windows11操作系统）。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5.为保证售后服务和产品质量，投标时，须提供产品为合法来源产品及原厂技术支持售后服务承诺函（承诺提供不少于5年质保及每年不少于两次巡检维护（巡检维护时间间隔为6个月），格式自拟。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11.人体生理实验系统（1套）：一、硬件参数数 (一)人体生理实验工作台 1.工作台：集成化设计，尺寸（mm)≥ 1200×590×750（长×宽×高），底部带2只自锁式移动滑轮，整体可移动和固定；收纳抽屉≥ 2个，尺寸（mm)≥ 390×390×150mm（长×宽×高）；信号采集系统：内嵌于人体生理实验工作台内部，用于采集人体生理信号；数据处理工作站：用于接收各传感器所测数据，并进行处理、分析、生成实验报告等；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信号采集仪器硬件（内置）技术参数：2.物理通道接口数≥4个；配置标准12导联全导联心电接口；物理通道接口扩展性：每个物理通道接口最多可扩展出8个采样通道；4个物理采样通道总共可扩展出32个采样通道；同时采样通道数≥16个；传感器类型与参数自动识别：识别到的传感器类型和参数在软件界面中呈现，当更换不同类型传感器时，软件界面上的传感器信息同时改变；量程：±50μV ~±1V；滤波器：同时具备硬件模拟滤波器、DSP 5阶贝塞尔滤波器、软件数字滤波器:（1）低通：1、2、 5、10、20、50、100、200、500、1k、2k、 5k、10k、20k、50k，合计15档 ；（2）高通（时间常数）：DC、5S、2s、1s、0.5s、0.2s、0.1s、0.05s、0.02s、0.01s、0.005s、0.002s、0.001s，合计13档 ；（3） 50Hz陷波：开、关两档可调；最大采样率≥800KHz；AD转换器：16位4通道同步采样；处理器：性能不低于浮点型DSP+ARM双核处理器；共模抑制比（CMMR）≥100dB;输入阻抗：10M@DC；信噪比≥100dB；等效输入噪声：电压峰峰值≤2.0μV；采样方式：支持连续采样、刺激触发采样、外部触发采样、程控采样；设备配置刺激器：波形：方波、模式：恒流输出方式、电流：0.5mA~20mA、时间步长：0.1ms~1ms；</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人体生理学实验系统附件包参数 3.中枢神经/感官系统附件包：（1）脑电带：具有FPZ、POZ两位置脑电电极； （2）皮肤电阻传感器：记录人体因各种生理反应引起的皮肤电阻变化，测量范围：2.5uS-125uS，测量误差：±3%； （3）肌腱锤： 频率响应：0-10KHz； （4）位移换能器：采用加速度传感器，分辨率：≤1mg（60Hz），灵敏度&gt;≤200mV/g；能够捕捉微小的动作变化； （5）事件触发开关：合金材料制作，按钮响应； （6）指脉换能器：优质压电片式采集脉搏波； （7）信号输入线：双层屏蔽设计，内层电磁膜，外层金属网，有效抗电磁干扰；</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4.神经/肌肉系统附件包：(1) 握力换能器： ①测量范围：0~1200N； ②综合分辨率：≤0.2%F.S； ③非线性：≤0.1%F.S； ④输出电压：0~10mV； ⑤零点漂移：≤0.03%F.S； ⑥迟滞：≤0.05%F.S (2) 肌电肢夹：ABS医用工程塑料；黄铜导电，无干扰；外表镀镍； (3)人体刺激器：专用于人体神经肌肉类的电刺激实验。 ①安全防护设计：隔离输出，内部设有安全保护； ②刺激输出过程含同步声光提示； ③刺激器纹波：≤500mVpp； ④静息漏电：≤0.1Vrms； ⑤输出波宽保护：10毫秒； ⑥输出刺激电流：0.5~20mA； ⑦步进：0.1mA； ⑧皮肤电阻适应范围：1K~11K（@10mA）； (4) 刺激电极：配合人体神经肌肉刺激器，用于刺激神经。 ①刺激警示：声光提示； ②控制方式：一键式按键启停； ③固定方法：扣式绑带； (5) 指力传感器：采用高精度的测力传感器采集刺激神经时所引起的手指肌肉收缩力。 ①结构：符合人体工学的转向握球设计，方便采集任一手指力； ②固定方式：吸盘式，适用多种光滑桌面； ③传感器绕轴转动方向：0~360º； ④传感器上下移动范围：0~5cm； (6) 信号输入线：双层屏蔽设计，内层电磁膜，外层金属网，有效抗电磁干扰；</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5.循环系统-血压/心音附件包：(1) 人体血压换能器：表式血压计，采集测量血压过程中的压力数据。 ①测量范围0~300 mmHg； ②误差：≤6 mmHg； ③失真：≤1%； ④线性度：≥98%； ⑤零点漂移：≤3mmHg； (2)电子血压计：自动测量动脉血压。 ①收缩压量程：60～230 mmHg，舒张压量程：30～220 mmHg，脉搏数量程：30～200次/min； ②血压分辨率≤1mmHg； (3) 听诊器：钟式听头，适用于听诊低调杂音。 ①听头采用压模热锻而成，组织密度高，无沙孔，音质清晰； ②听头和盖圈采用CNC数控车床高精度加工，听诊时无杂音； (4) 指脉换能器：优质压电片式采集脉搏波。 ①频率响应：≥1500Hz； ②无源设计； (5) 心音换能器：用于测量心音、心尖搏动等信号。响应频率：10~1500Hz，灵敏度：≥20mV/F.S；</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6.循环系统-心电附件包：（1）全导联心电线：香蕉插头，支持心电吸球，心电夹，采用国际标准心电线，抗干扰能力强，接口标准15针； （2）心电肢夹：ABS医用工程塑料，镀镍四肢夹，金属均采用黄铜加工而成，外表镀镍，防止氧化，黄铜导电能力强，无干扰，适用于任何心电图机； （3）吸球电极：导电性优越，吸附性好，采集质量效果好； （4）心电输入线：卡扣式标准单通道导联心电信号输入线；</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7.呼吸系统附件包：（1）呼吸传感器：呼吸最大输入流速≥250L/min；采样率：100Hz；流动阻力：≤0.1 cmH2O/L/sec； （2）围带式呼吸换能器：最大延伸长度：≥100cm；适用胸围：76~120cm；频率响应：&gt;100Hz，量程：0~500mV，采样率：100Hz，分辨率：±10mV； （3）指脉换能器：优质压电片式采集脉搏波； （4）血氧传感器：血氧饱和度测量范围：30%～100%，血氧饱和度分辨率：≤1%； （5）气道阻塞模拟器：内腔直径≥6mm、17mm；</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8.能量代谢系统附件包：（1）代谢仪：氧气测量范围：5%~30%，测量误差：±3%；二氧化测量范围：0%~15%，测量误差±5%，流速测量范围：0~100SLM，测量误差：±2%，能量代谢测量误差：±5%；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人体无线采集系统附件包：（1）无线人体生理信号采集系统接收器：传输距离≧10m；（2）无线人体生理信号采集系统发送器：体位分辨6个方向（俯卧、直立、倒立、平躺、右侧卧、左侧卧），无线传输距离10米（无遮挡），待机时间600天，电池续航能力24小时，文件存储容量16G，信号采集方式：离线、在线；（3）数据线：micro USB 长度1米；（4）充电器：输入：100~240V 50/60Hz，0.5A，输出：5V 2A；</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10.人体生理实验系统附件手推车：（1）塑料材质，白色，共四层，每层三个侧面有档杆（板），最上层一端有扶手； （2）底部带车轮，其中两个轮子带刹车；</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11.摆动测定系统附件包：（1）图像采集驱动软件； （2）数字图像采集硬件； （3）准确测量细胞的拍频，计算摆动的频率，幅度； （4）在样品中加入试剂后，短暂测量或定期记录长达24小时；</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12.动感单车附件包：（1）阻力调节：磁控阻力调节，档位：8档； （2）承重：约120kg； （3）单车重量：约25kg； （4）单车尺寸（mm）：约960 ×510 ×1280 mm（长宽高）； （5）显示屏：液晶显示屏幕，显示阻力、路程、速度、心率等内容；</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13.检查床附件包：（1）外形尺寸（mm）≥1790×590×460；可折叠收纳尺寸（mm）≥ 890×580×220； （2）重量＜33kg；承重≥100kg； （3）材质：碳钢+海绵+皮革；</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软件参数 (一) 人体生理实验软件技术参数 14.软件显示通道数：1~64通道可变，同时采集并显示12导联心电波形；通道差异化采样率：不同通道可设置不同采样率进行数据采样、不同采样率的信号可同步记录及同步显示，差异化采样率在提高信号质量的同时减少存贮空间；硬件监听控制：可以通过软件控制信号采集仪器的监听功能，选择监听的通道号及音量；采样和反演同时进行：在信号实时采集过程中，可以同时打开以前记录的文件进行查看、对比、分析等操作；同时反演文件数≥4个；反演文件时可同步播放声音：可以在播放反演波形的同时播放信号声音，比如播放人体心音，便于学生从形态和声音两个方面理解生理信号；刺激器功能：可根据人体实验所需设置刺激器基本参数，如刺激强度、刺激频率和脉冲个数，也可设置高级参数，如强度增量、频率增量、脉冲增量、刺激脉宽。可在刺激参数调节区进行设置，也可从相应实验模块进行设置；通用数据处理：微分、积分、频率直方图、序列密度直方图、非序列密度直方图、频谱分析、平均血压、数字滤波分析以及基于包络算法的心率曲线分析等；心功能参数分析：PR、QT、QRS、ST、RR等间期分析，波段时程分析，波幅度分析，心电向量图，心音分析；肌电分析：积分肌电，均方根振幅，平均功率频率分析，中位频率分析，幅度分析，回归曲线分析；脑电分析：Alpha，Beta，Delta，Theta波分析；肺功能分析：肺活量分析，时间肺活量，最大肺活量，呼气流量（或流速）-容积曲线等分析；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代谢分析：基础代谢分析，能量代谢分析，自动计算呼吸商等；呼吸波为实时的真实波形；眼电分析：肌电分析、眼动幅度、眼动速度等；数据测量：单点测量、带Mark标记的两点测量、区间测量、实时测量，可测量出波形的最大、最小、平均值，时间、频率、面积等参数；软件实验模块内嵌web电子教材，包括：24.（1）实验原理：生动形象的视频动画或图片讲解实验原理， （2）实验项目：包含图文并茂的实验说明、实验步骤和实验报告，（3）发展历史：了解人体生理参数的研究历程， （4）临床应用：基础医学与临床病例想结合， （5）文献：列举本实验设计中的参考文献， （6）思考题：涵盖原理与实验步骤的问题思考， （7）小测试：对实验相关知识的进一步巩固； 内嵌动画引导的实验操作指南： （1）神经肌肉实验包含＞40个视频动画； （2）循环系统实验包含＞ 40个视频动画；人体生理实验模块：包含中枢神经系统实验、神经肌肉实验、运动生理实验、循环系统、呼吸实验、感觉器官等类别至少22个人体生理实验模块；</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实验模块：15.中枢神经系统实验、神经肌肉实验、循环系统、呼吸实验、感觉器官实验、代谢系统实验、人体运动生理实验、人体综合实验；</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安全认证：16.内置信号采集仪器通过省级及以上医疗器械检验中心的注册检验或者获得CE认证；为保证系统用于人体实验的安全性，所投产品具备ISO27001信息安全管理体系认证证书和ISO2000信息技术服务管理体系认证证书。（投标时须提供相关证书复印件并加盖投标人公章）</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人体生理实验大屏辅助教学系统（1套）：1.显示屏尺寸≥86英寸液晶显示屏，物理分辨率≥3840x2160；刷新率≥60HZ，亮度≥330cd/㎡，对比度≥1200：1；显示屏防护≥4mm全钢化高防爆玻璃；触摸嵌入方式：内置一体式，非外挂式；红外感应识别触摸技术；书写方式：手指、触摸笔等不透光物体；多点触摸，触摸有效最小识别物2mm；喇叭：扬声器，自动音量控制，环绕声，均衡器；内置电脑参数：CPU型号性能不低于i7处理器，内存≥8G，存储≥240G以上硬盘；性能不低于Intel核芯显卡Intel HD Graphics； USB2.0、USB3.0、网络接口、MIC输入、HDMI输出、VGA输出、支持WiFi；Windows10操作系统、安卓系统可选；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2.软件技术指标：电子白板：可以进行画笔设置，笔记与背景随意切换，笔记页面管理，撤销与恢复等功能；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3．实验内容：1) 内置实验模块数：不少于26个内置人体生理实验模块； 2) 内置实验模块内容： 每个内置实验模块包括六部分内容：电子教材，教学PPT（中英文可切换），实验录像，微课，理论测验以及扩展知识； 3) 电子教材：电子教材要求图文并茂，可实现鼠标点击翻页功能； 4) 教学PPT：至少包括实验目的、原理、实验对象、药品器材、方法步骤、注意事项以及思考题等； 5) 实验录像：人体生理实验的全流程操作录像； 6) 微课：高清视频录像，至少包括实验目的、原理、实验对象、药品器材、方法步骤、实验结果、注意事项以及思考题等部分的讲解讲解老师要利用大屏幕同步展示讲解的内容； 7) 理论测试： 每个实验模块至少不少于五道理论测试题目； 8) 扩展知识：相关的临床知识以及文献介绍等； 9) 自定义实验模块：系统支持用户自定义实验模块，每个自定义实验模块可以包括：PPT，实验录像，微课，测验以及扩展知识等内容 10) 自定义实验模块与系统内置实验模块融为一体，自动添加在内置实验模块后面，便于用户管理和操作；</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除颤器（2套）：1.具备中文语音提示、LED指示灯可视性提示功能；双相截顶指数波，最大输出能量≤200J；充电时间：从开始分析到最高能量除颤放电准备好时间≤7秒；患者阻抗测量范围：20-200Ω；除颤脉冲最大电压≤1100V；非可电击心律识别率（无人为干预）≥98.8%；电池：待机时间≥5年，最大能量除颤次数≥250次。</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粪便尿液分离代谢笼（1套）：1.笼架规格(mm)≥1410*550*1550；2层*5*2=20笼，水冲式不锈钢架子；用材:SLS304不锈钢板，SUS304不锈钢管立柱(mm)≥24x37x10；笼子规格(mm)≥240*200*200，笼盒为悬挂式；配耐酸碱，无毒，聚丙烯 PP 塑料笼盒、304 不锈钢网盖；≥200mlPP饮水瓶；带不锈钢料盒、自动饮水器；304不锈钢丝；点焊抛光。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肺功能测定仪（1套）：1.至少可测量参数：呼吸频率、每分通气量、最大呼气流量、最大吸气流量、EF50、呼气时间、吸气时间、潮气量、呼气末期暂停、吸气末期暂停、累计体积、Penh、Rpef、Ncou（咳嗽）；具有哮喘实验自动化实验功能，用户可设置自动化模板，自动进行数据统计分析；</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置多通道大容量的干燥吸附塔，每通道容积≥450ml；.配备专业版咳嗽检测功能，可自动识别咳嗽事件，自动绘制咳嗽波形；数据可回放，一键绘制原始波形，至少需包含对比分析、趋势分析、咳嗽分析、单波分析、整体分析等功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置专用的光激活信号结合模块，且通道数量≥2通道，光激活信号和呼吸波形必须在同一界面显示，点位同步，时间同步；具有间接量热法测代谢测量模块，至少可测量耗氧量、二氧化碳产生量、RER、EE等（投标时须提供满足该项功能要求的系统原型现场演示，演示时长不超过3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微孔高频振荡气溶胶雾化头，给药的量和速度可以通过软件调节；体积描记器采用透明材质，方便观察。集成传感器和药物雾化输入口；流量调节方式：主机旋钮调节、软件调节；具有自动一键标定功能，整个标定持续时间≤2min；</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WBP软件：软件可加密，能够进行权限管理设置，具有三级用户权限设置。权限分级分明，有稽查轨迹功能。具备电子签名和审核的管理；具有GLP要求的资料分级、电子签名和审核的管理软件。所有实验数据不可任意改动，修改的数据留有轨迹并根据需要可恢复。分析后的数据和更改后的数据另存为一个文件；软件可编程化自动控制外源气体；（投标人须提供国家认可的第三方检测机构出具CMA标识或CNAS标识的检测报告复印件并加盖投标人公章）；</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16.动物跑步机（2套）：1.外形尺寸(mm)≥940×550×250；跑道组件重量≤7.5kg；跑道尺寸(mm)≥440×100×63（大鼠）、≥440×58×50（小鼠)；通道数：大鼠3通道，小鼠6通道；速度设定范围：0~60.0 m/min，调节步长0.1 m/min；速度偏差≤1%；坡度设定范围：0~15°；电刺激：刺激区域(mm)≥110×60；刺激强度范围：0.3~7mA（恒电流，脉冲刺激）；刺激脉冲频率：1、2、3 Hz三档可调；记录数据：实验时间、动物信息、跑步时间、跑步率、跑步距离、落带次数、连续刺激次数等；控制方式≥7寸IPS高清彩色电容触屏，屏幕分辨率≥1024×600；实验数据存储空间≥8GB。</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17.信息化集成化信号采集与处理系统（3套）： 一、硬件参数 1.整机外形尺寸(mm)≤1680*740*2110（长*宽*高）；实验台操作面积(mm)≤1100*740（长*宽），实验台面离地高度：730-930mm，升降行程≥200mm；输液架离地面高度≤1970mm，输液架移动范围≤850mm（两侧）；实验台面材质：ABS工程塑料；实验台面下屏蔽层：不锈钢层，尺寸(mm)≤1050×730×0.4（长*宽*高）；移动滚轮：带锁式万向移动滚轮，整个操作平台可全方位移动；可伸缩固定支柱：带可伸缩平台固定支柱，保证实验平台的平稳固定；实验照明系统：4×10W，自然光LED灯，色温≥3000K，角度可调，通过软件无线控制多种灯光组合；</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置信号采集与处理系统：用于生物信号采集和数据处理、分析、生成实验报告等；内置实验室环境监测模块：可测量温度（精度≤0.1℃）、湿度、大气压，可在信号采集面板和软件中显示并记录到数据文件中；内置小动物肛温测量模块：测量并进行显示（精度≤0.1℃），可在无线控制终端上进行显示，配专用小动物肛温传感器；内置小动物呼吸机：①潮气量范围：0.1～99.9ml可调，调节及显示精度≤0.1ml；②呼吸时比：1-5:1-5；③呼吸频率：1～200次/分；④有大鼠、小鼠及家兔呼吸参数一键设置功能；⑤进气口和出气口一致在水平方向上；⑥通过软件无线控制呼吸机动物类型、潮气量、频率、呼吸时比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双显示系统：①上下各一个显示器，下显示器≥12.5寸，上显示器≥23.8寸；②上显示器调节：高度升降范围不小于235mm，左右旋转不小于55度（绕Z轴旋转），上下倾角不小于70度（绕Y轴旋转），可竖屏（绕X轴旋转）；</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4.氧气调压系统：调压范围0-0.4MPa，可锁定，耐压1.5MPa；氧气输入为快接接口，可接湿化瓶；全导联心电接口≥1个标准12导联的全导联心电接口；</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通用物理采样通道≥4个；物理采样通道扩展：任意一个物理采样通道可扩展至8个实际数据采样通道，总计可进行32通道数据同时采样，并可对各个通道参数进行调节。如在一个物理通道上连接无线人体生理信号仪，该物理通道可同时采集体位、心电、呼吸、肺活量、脉搏、血氧、收缩压、舒张压等8个信号；量程：±1V、±500mV、±200mV、±100mV、±50mV、±20mV、±10mV、±5mV、±2mV、±1mV、±500uV、±200uV、±100uV、±50uV、±20uV，共15档；</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6.滤波器：同时具备硬件模拟滤波器、DSP 5阶贝塞尔滤波器、软件数字滤波器：1）低通：1、2、5、10、20、50、100、200、500、1k、2k、5k、10k、20k、50k，合计15档；2）高通（时间常数）：DC、5S、2s、1s、0.5s、0.2s、0.1s、0.05s、0.02s、0.01s、0.005s、0.002s、0.001s，合计13档 ；3）50Hz陷波：开、关两档可调；最大采样率≥800KHz，每个物理通道可采用不同采样率同时进行采样；</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7.AD转换器：16位4通道同步采样；共模抑制比（CMMR）≥100dB;输入阻抗：10MΩ@DC；信噪比≥100dB；等效输入噪声：电压峰峰值 ≤ 2.0μV；</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8.设备内置高级程控刺激器，刺激器参数包括： 1）波形：三角波、方波、正负方波、正弦波、用户编辑任意波形； 2）模式：恒流、恒压两种输出方式； 3）电压：-110V~110V；4）电流：-150mA~+150mA；5）时间步长：0.05ms；</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▲9.支持人体无创连续血压仪连接及数据采集：无线传输，无振动无噪音，测量范围0~299mmHg，精度 ±1mmHg；支持微型植入压力测量传感器的数据采集：探头直径1mm，测量范围-20mmHg~200mmHg，直接植入动物体内，代替传统液体传动方式的血压测量；真实实时波形数据，非模拟波形数据；（投标时须提供满足该项功能要求的系统原型现场演示，演示时长不超过5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10.软件显示通道数：1~64通道可变，默认显示通道数为4通道，当同时采集12道全导联心电波形时软件界面上同时显示12道心电波形；同时打开反演文件数≥4个；实时采样和反演同时进行：在信号实时采样过程中，可在实时采样软件上同时打开以前记录的文件进行查看、对比、分析等操作；可播放反演文件声音：反演文件时，在波形反演同时可播放该波形声音，比如播放减压神经放电声音；通道差异化采样率设置：不同通道可设置不同采样率进行数据采样、不同采样率的信号波形可同步记录及同步显示；软件实验模块内嵌web电子教材：在一个实验模块页面内用生动形象的、图片、动图、视频讲解实验原理、目的、器材、步骤、操作过程。</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完全独立的中文版英文版操作软件，内含槲皮素抑制帕金森病小鼠多巴胺能神经元铁死亡课程，支持PC、手机等移动端全功能访问，课件设计符合手机横屏操作要求，载入和显示时间小于5秒。课件技术规范完全符合国际共享参考模型SCORM 1.2的标准格式，符合Scorm平台，方便获取学习成绩和过程记录等功能；（投标时须提供满足该项功能要求的系统原型现场演示，演示时长不超过5分钟）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通用数据处理：微分、积分、频率直方图、序列密度直方图、非序列密度直方图、频谱分析、平均血压、记滴趋势分析以及基于包络算法的心率曲线分析等；专用数据处理：血流动力学实验参数分析、心肌细胞动作电位参数测量、心功能参数分析，突触后电位分析，心率变异分析，心电向量图分析等，提供这些分析的DEMO数据供用户演示和学习；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专业的LTP数据分析功能：分析LTP波形最大斜率、平均斜率、直线回归斜率、自动标记关键点坐标；包含范围测量、自动测量、叠加波形、查找标签（波序号、自定义）、导出测量表（范围测量、自动测量结果）、显示/隐藏刺激线、显示LTP波位置等功能；数据测量：单点测量、带Mark标记的两点测量、区间测量、实时测量，可测量出波形的最大、最小、平均值，时间、频率、面积等参数；实验模块：系统内置不低于50个预先设定参数的实验模块；</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具有AI实验操作和实验结果自动评价功能：系统可以对实时采样或反演的家兔动脉血压调节实验操作过程(视频）及实验结果实施自动评价。评价步骤包括：家兔捉拿、麻醉、绑定、备皮、气管插管以及动脉插管；（投标时须提供满足该项功能要求的系统原型现场演示，演示时长不超过5分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无线集中控制系统参数：▲15.具有嵌入一体机的无线平板控制终端，无需网络无需打开软件，直接通过平板对系统中各种集成设备；（投标时须提供满足该项功能要求的系统原型现场演示，演示时长不超过5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16.图形化控制界面：所有设备控制都采用图形化界面进行操作；控制设备自动识别与连接：集中控制系统可自动识别平台上的集成电子设备并实现自动连接；</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照明灯光控制：可进行独立灯光控制或多种组合灯光控制；小动物呼吸机控制：呼吸机启停可控，动物类型可选，潮气量、呼吸时比和呼吸频率可调，肺部压力动态指示；肛温仪：测量和显示小动物肛温；（投标时须提供满足该项功能要求的系统原型现场演示，演示时长不超过5分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实验操作台升降控制：实验操作台面升降控制，控制模式包括：升至最高、降至最低、恢复、上升和下降单位高度，暂停升降等；（投标时须提供满足该项功能要求的系统原型现场演示，演示时长不超过5分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四、配套附件：19.生物信号采集与分析系统附件包；高级手术器械包；加热兔台；数字恒温控制器；配置可收纳输液架；兔台尾部废液收集槽；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18.机能实验辅助教学系统（1台）：一、主机参数： 1.显示屏尺寸≥ 86英寸液晶显示屏，物理分辨率≥3840x2160；刷新率≥ 60HZ，亮度≥330 cd/㎡，对比度≥1200：1；显示屏防护≥ 4mm全钢化高防爆玻璃；触摸嵌入方式：内置一体式，非外挂式；触摸感应技术：红外感应识别触摸技术；响应时间：≤15ms；书写方式：手指、触摸笔等不透光物体；多点触摸；触摸有效最小识别物≤2mm；喇叭：扬声器，自动音量控制，环绕声，均衡器；内置电脑参数：2.CPU型号性能不低于i7处理器，内存≥8G，存储≥ 240G以上硬盘；性能不低于Intel核芯显卡Intel HD Graphics； USB2.0、USB3.0、网络接口、MIC输入、HDMI输出、VGA输出、支持WiFi； Windows 10操作系统、安卓系统可选；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2.软件技术指标：电子白板：可以进行画笔设置，笔记与背景随意切换，笔记页面管理，撤销与恢复等功能；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3．实验内容： 1) 内置实验模块数：60个内置机能学实验模块； 2) 内置实验模块内容：每个内置实验模块包括六部分内容：电子教材，教学PPT（中英文可以切换），实验录像，微课、理论测验，虚拟实验操作； 3) 电子教材：图文并茂，且支持鼠标点击进行页面放大/缩小、翻页、自动翻页、查看目录、略缩图等功能。 4) 教学PPT：内容至少包括实验目的、原理、实验对象、药品器材、方法步骤、注意事项以及思考题等。 5) 实验录像：高清视频实验动物手术操作录像，且支持暂停、快进、快退、停止播放、音量调节等功能。 6) 微课：高清视频录像，至少包括实验目的、原理、实验对象、药品器材、方法步骤、实验结果、注意事项以及思考题等部分的讲解，讲解老师要利用大屏幕同步展示讲解的内容。且支持暂停、快进、快退、停止播放、音量调节等功能。 7) 理论测试：每个实验模块至少不少于五道理论测试题目。且支持大屏端和手机扫二维码后答题成绩统计功能。 8) 虚拟实验：每个实验模块连接一个简单虚拟实验项目。 9) 扩展教学知识：基础机能学知识介绍，手术操作以及动物福利等 10) 自定义实验模块：系统支持用户自定义实验模块，每个自定义实验模块可以包括： PPT，电子教材，实验录像，微课，虚拟实验操作，测验等内容； 11) 自定义实验模块与系统内置实验模块融为一体，自动添加在内置实验模块后面，便于用户管理和操作； 12) 系统内置机能学实验教学模块列表；</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19.全自动无创血压测量系统（1套）：1.加热箱与信号采集系统集成一体，直接通过USB接口连接到计算机进行工作；测量原理：压力脉搏 + 血流容积变化；；计算机windows应用软件，具有全自动的无创血压测量及分析功；配套设施完善：配备阻断器、传感器、鼠笼、加热箱；鼠笼规格齐全，可适应不同体重的大鼠及小鼠；通道数≥1通道；自导向性弧形设计鼠尾脉搏传感器，适用于不同体重的大鼠及小鼠能；自动化实验控制功能，可自动进行参数设置；箱体加热温度：室温~40°C ，温度显示精度：≤0.1°C；具有箱体漏气检测功能，可精确分析漏气所属位置；放气速率：1~12mmHg/s可调；分析指标：心率HR（bpm）.收缩压SBP（mmHg）.舒张压DBP（mmHg）及平均动脉压MAP（mmHg）；血压测量范围：10~300mmHg；心率测量范围：0~1000bpm。</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20.离体组织器官恒温灌流系统（1套）：一、主机参数： 1.设备尺寸(cm)≥60×30×72 （长*宽*高）；加热方式：水浴循环加热，温度范围：环境温度至50°C；储液瓶：1个，容积≥1200ml，用于营养液的储存；蛇形加热器≥4个，单个容积≥30ml，与储液器及浴槽相连接，用于营养液的预热；浴槽≥4个；容积≥20ml，深度≥60mm，具有保温作用；张力换能器≥±5g；</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灌流方式：手动打开进液阀门，营养液由上至下进行灌流；排液方式：手动打开放液阀门，将营养液排出；供氧方式：外接氧气瓶；具有氧气压力表，量程0-15Kpa，实时监测当前压力值，具有过载保护功能；一维调节组件：(1) 数量≥4个；(2) 材料：合金铝、青铜、不锈钢；(3) 高度调节：可调节范围 0-30 mm；具有微调旋钮，可精确调节组织预张力；(4) 传感器夹持器：用于传感器的固定，接口直径≥8mm；(5) 氧气调节阀：手动调节阀门控制进气量，阀门工作压力≤10 Kpa(6) 挂钩：4套组织挂钩/血管环挂钩；</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3.恒温水浴技术参数： 1)提供了两路恒温水的外循环； 2) 容量≥5.5升； 3) 循环方式：内、外循环两种； 4) 外循环数量≥2路； 5) 外循环流量≥6L/min左右（硅胶管内径φ6mm，长度0.5m）； 6) 控温：温度调控分辨率≤0.1℃; 7) 温度波动＜0.05℃（室温＞25℃，水温37℃）；</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二、信息化生物信号采集与分析系统参数：(一) 4.硬件参数：采样通道接口：4个物理采样通道，1个12导联全导联心电接口；物理采样通道扩展功能：仅占用1个物理通道即可同时采集≥8道信号，扩展无线传感器，可无线采集人体体位、心电、呼吸、肺活量、脉搏、血氧、收缩压、舒张压等信号，对扩展传感器进行参数调节；</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5.滤波器：同时具备硬件模拟滤波器、DSP 5阶贝塞尔滤波器、软件数字滤波器：1）低通：1、2、5、10、20、50、100、200、500、1k、2k、 5k, 10k,20k, 50k，合计15档；2)高通（时间常数）：DC、5S、2s、1s、0.5s、0.2s、0.1s、0.05s、0.02s、0.01s、0.005s、0.002s、0.001s，合计13档；3）50Hz带阻：关，低，中，高4档可调；最大采样率≥800KHz （物理通道最大200ksps*4，12导联通道 2ksps*12）；AD转换器：≥16位4通道同步采样；处理器：浮点型DSP+ARM双核处理器；共模抑制比（CMMR）≥100DB;输入阻抗：10M@DC；等效输入噪声：电压峰峰值≤2.0μV，信噪比≥100dB；</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软件参数：6.软件显示通道数：1~64通道可变，同时采集并显示12导联心电波形；同时反演文件数≥4（可同时打开多个文件进行反演）；采样和反演同时进行：在信号实时采集过程中，可以同时打开以前记录的文件进行查看、对比、分析等操作；通道差异化采样率：不同通道可设置不同采样率进行数据采样、不同采样率的信号可同步记录及同步显示；</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21.恒温平滑肌实验系统（1套）：1.温度调节范围：室温～40℃;最大加热功率≥150W;温度调节方式：薄膜按键;控温精度：±0.1℃； 显示精度：≤0.1℃；温度调节精度：≤0.1℃；加热过冲：≤0.2℃。药桶≥20ml 有内置可开关光源90度垂直照射平滑肌平面，光源离平滑肌距离不超过1.5厘米；药桶刻度精度：≤1 ml;桶内气量大小可调,空气或者外接氧气，可随意切换；水域的搅拌方式：内置式；控温方式：微电脑自动控温。</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22.跳台实验视频分析系统（1套）：1.全视频跟踪方式，每个通道独立摄像头模式，可完成8只以上小鼠的跳台实验；测定参数：观察时间，潜伏期，错误次数，活动轨迹等；自动观测通道数≥ 8道；采样方式：8通道视频独立采样；采样率：≤30 fps；图像分辨率≥352×288（单道采集）；实验时间：5~60min 可调；实验箱尺寸(mm)≥658(L)×395(W)×450(H)；单室尺寸(mm)≥155 (L)×140 (W)×398 (H)；跳台尺寸(mm)≥45（直径）×45（高）。</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离体心脏灌流装置（1套）：1.设备尺寸（cm）≥33×34×125（长*宽*高）；操作台:尺寸（cm）≥14×14×10（长*宽*高）；注射器夹持规格（ml）≥5(直径14mm)。具有2路灌流支路，可同时使用两种不同药液进行实验；灌注方式:重力（恒压），量程：60-80cmHg；储液瓶容积≥1200ml；心脏保温腔容积≥185ml，可为心脏提供恒温环境；蛇形加热器容积≥40ml，与储液瓶及保温腔相连接，用于营养液预热；溢流杯容积≥10ml，溢流口可保持灌流液面处于恒定高度，维持一定的灌注压或者前负荷；加热方式：水浴循环加热；温度范围：环境温度至50°C；</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24.小鼠Y形迷宫（1套）：一、硬件参数 1.适用范围：分小鼠（YMT-200A小鼠版适用）、大鼠（YMT-200B大鼠版适用），不分黑白鼠；尺寸：小鼠单臂（mm）≥300(L)×60(W)×150(H)，大鼠单臂（mm）≥400(L)×100(W)×225(H)；食物槽：小鼠食物槽直径≥19mm，深度≥11mm；大鼠食物槽直径≥24mm，深度≥17mm；材质：医用ABS材质，无毒无异味，耐腐蚀，可水洗； 二、软件参数：2.自动观测通道数：8通道32只动物；分析模式：实时分析、离线分析、批量分析、极速分析；适用范围：大小鼠、黑白鼠通用；软件识别方式：减差法；染色要求：无需动物染色也能识别目标采样率：实时分析10Hz；图像分辨率≥1280×720；屏幕分辨率：最低支持800×600。</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25.旷场实验系统（1套）：一、硬件参数 （一）实验箱 1.适用范围：小鼠（OFT-200A小鼠版适用）和大鼠（OFT-200B大鼠版适用），不分黑白鼠；产品尺寸≥大鼠尺寸1000mm(L)×1000mm(W)×400mm(H)；小鼠尺寸≥500mm(L)×500mm(W)×400mm(H)；</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行为学实验站：2.外形尺寸（mm）≥1860（L）×1740（W）×2050（H）；控制方式≥7英寸IPS高清电容触摸屏，内嵌Linux操作系统，屏幕分辨率≥1024×600；环境数据监测：温度（测量范围：-40~85℃，精度1℃），湿度（测量范围：0-100%RH，精度3%RH），气压（测量范围：30-110kPa，精度≤0.1kPa）；摄像系统：超清红外广角免驱摄像头，≥1/2.7高级CMOS感光芯片，清晰度≥1920×1080，采样率≥30帧/s，拍摄视野≥110°超广角无畸变，支持黑暗环境拍摄，更加符合啮齿类动物生活习性；照明系统：LED灯×4，总功率≤36W，亮度≥10级可调（对应参考照度0Lux、30Lux、60Lux、90Lux、120Lux、150Lux、180Lux、210Lux、240Lux、270Lux和300Lux） ；漫反射白光光源，光照均匀稳定；</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二、软件参数：3.8通道自动观测，可同时观测32只动物；适用大小鼠、黑白鼠；减差法、取色法，默认减差法软件识别方式；无需动物染色也能识别目标； 可选择25宫格、9宫格、回字格和圆切方，默认25宫格；适配所有USB摄像头和网络摄像头，不限摄像头采样率和分辨率；软件内部可直接调用摄像头驱动程序，摄像头参数可调节等。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26.实验性缺氧实验系统（2套）：一、低氧实验装置 1.实验舱容积：300mL、500mL；数据监测：“五合一”物理采样通道： 1）温度监测：2.0~60.0℃，分辨率≤0.1℃，0.5℃； 2）湿度监测：10~90%RH，分辨率≤1%，±5%RH； 3）CO2浓度监测：0.01~20.00%，精度±70ppm（±5%）； 4）O2浓度监测：0.1~25.0%，±1%； 5）呼吸波：0~±20pa，1kHz；</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二、一氧化碳实验装置：2.实验舱容积：300mL、500mL；带进出口；数据监测：“五合一”物理采样通道： 1）温度监测：2.0~60.0℃，分辨率≤0.1℃，0.5℃； 2）湿度监测：10~90%RH，分辨率≤1%，±5%RH； 3）CO浓度监测：量程0~1000ppm（标准版），准确性±2%F.S(25℃）； 4）O2浓度监测：0.1~25.0%，±1%； 5）呼吸波：0~±20pa，1kHz；</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三、生物信号采集与分析系统硬件：3.物理通道接口数≥4个；物理通道接口扩展性：每个物理通道接口最多可扩展出8个采样通道，即4个物理采样通道总共可扩展出32个采样通道；同时采样通道数≥16个；</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四、生物信号采集与分析系统软件：4.实验性缺氧实验模块：实验目的、实验动物、药品与器材、方法步骤；数据分析： 1）呼吸深度：0~20pa自动分析； 2）呼吸频率：20~500bpm自动分析； 3）耗氧量分析：自动实时耗氧量曲线； 4）耗氧率分析：自动实时耗氧率曲线，mL/(g•min)；</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五、小动物呼吸系统：5.主要用于生物机能实验。呼吸机适用于大白鼠、豚鼠、仓鼠、兔、猫、猴及狗等实验动物；潮气量： 1-300ml可调，调节过程中随时显示当前调节的潮气量值；呼吸时比：可设置多达18种不同的呼吸时比，常用设置包括：1 : 1、1.25 : 1等；呼吸频率：1-200次/分可调。</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27.群体动态心电记录仪（1套）：一、主机参数：1.最多可同时对16人进行心电监测；重量≤8Kg； 心电监测器、数据传输器、监测器充电座、移动终端及一次性心电电极等部件集于战术箱，便携移动设计；</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二、群体动态心电记录仪战术箱：2.外形尺寸（长×宽×高）≤475mm×380mm×125mm；重量≤4Kg；有密码锁扣；</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心电监测器：3.外形尺寸（mm）≤107×25×14（长×宽×高传输距离：空旷场地≥10米；）；重量≤20g；测量位置：左侧胸部采集；采集原理：生物电信号采集；输入阻抗≥10MΩ；定标电压：1mV±2%；抗极化电压：±300mV；共模抑制比≥90dB；A/D 转换：≥16bit；采样率≥256点/秒/通道；心电电极：兼容标准医用一次性心电电极贴；</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四、数据传输器：4.外形尺寸（长×宽×高）≤80mm×32.2mm×12.6mm；重量≤25g；可连接心电监测器数量≥16个；传输距离：空旷场地≥10米；</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软件参数5.测试项目：心功能评价、体能评价、心律失常评价、精神压力评价；测试模式：按国家标准测试要求，心功能和体能分别进行下蹲及踏阶两项运动进行动态测试；心律失常及精神压力评价根据静态心电波形进行数据分析；通道数量：可同时显示16个通道心电；分析指标：实时心率、最高心率、最低心率、平均心率、心功能指数计算、心功能等级分析、劳动心率分析、劳动强度分析、最大摄氧量分析、体能分析、心律失常智能分析、心律失常手动分析、心率变异性分析、散点图分析、RR波间期直方图分析、RR波间期速度图分析、RR波间期功率谱图分析；</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28.无影灯（2台）：1.采用LED冷光源，使用寿命≥50000小时；医生头部温升≤1℃，术野温升≤1℃； 色温≥3000K；双头无影灯，母灯灯珠≥60颗，子灯灯珠≥45颗。母灯灯头直径≥70cm，子灯灯头直径≥50cm；采用弹簧臂，灯臂关节数≥6个。关节臂配备触摸控制面板，具备亮度提示和调节功能；母灯最大光照强度≥120,000LUX，子灯最大光照强度≥80,000LUX ；聚焦光柱≥80CM；色彩还原指数≥80ra；洁净区人员可通过中置消毒手柄移动手术灯位置，中置手柄可耐受≥130°高温高压蒸汽灭菌；配备光斑调节功能，旋转手柄调节光斑大小，照度不随光斑大小改变而变化；可卸式手柄外套，可在135℃高温下消毒，可操作灯体的聚焦、位置及角度。</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29.二氧化碳培养箱（2台）:1.气套式加热系统，加热迅速，温度、湿度恢复速度快；具有玻璃门加热或外门加热功能，有效避免玻璃门上产生冷凝水；标配虹吸泵，清洁方便；</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2.内部容积≥188L；温度控制范围：室温+5℃～50℃；Pt1000温度传感器，温度控制精度（℃）：±0.1℃，带独立传感器的超温保护装置；CO2进气口配备HEPA高效过滤器，对粒径≥0.3μm颗粒物过滤效率为99.995％；</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3.140℃高温干热灭菌，有效杀死箱体内微生物，灭菌效果达到99.99%，定期预防污染；灭菌时间12小时，其中140℃维持时间不低于2小时；灭菌过程中，无需去除所有传感器；对高温灭菌全过程进行实时监控，并在屏幕上实时显示高温灭菌流程不同阶段的各种状态信息；</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4.CO2传感器：采用可耐不低于190℃高温的红外传感器（IR传感器），响应灵敏，精度高，寿命不小于5年，在腔室内实时监测CO2浓度变化，且高温干热灭菌时免拆卸保持原位；开机时自动复位检测；</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智能多媒体一体机(2台)：1.整机屏幕采用≥86英寸，UHD超高清LED液晶屏，显示比例16:9，屏幕图像分辨率≥3840*2160；内置非独立的高清摄像头支持输出4:3.16:9比例的图片和视频；整机摄像头支持人脸识别.快速点人数.随机抽人，支持同时显示标记不少于60人，并显示人脸标记；功能音响：输出额定功率≥ 2x15W；音箱灵敏度≥85dB，1W/1M；信噪比≥80dB ；全频喇叭单元尺寸≥5英寸；距离音箱10米处声压级≥75dB；麦克风：采样率≥48KHz，16bit；扩音增益≥15dB；声频响150Hz-16kHz，声信噪比≥60dB；配合一体化有源音箱，扩音延时≤35ms；.电续航时间≥7小时；</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设备需搭载总功率不低于60W的扩声系统，不低于2.2声道，扬声器位于设备上方，声音方向朝前，保证后排清晰，前排不震耳；整机内置非独立外扩展的8阵列麦克风；整机支持蓝牙功能；支持标准.听力.观影和AI空间感知音效模式，AI空间感知音效模式可通过内置麦克风采集教室物理环境声音，自动生成符合当前教室物理环境的频段、音量、音效；</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▲3.整机上边框内置非独式广角摄像头和智能拼接摄像头， 均支持 3D 降噪算法和数字宽动态范围成像WDR 技术，支持输出 MJPG. H.264 视频格式；（投标人须提供国家认可的第三方检测机构出具CMA标识或CNAS标识的检测报告复印件并加盖投标人公章）</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整机支持发出频率为18kHz-22kHz超声波信号，智能手机通过麦克风接收后，智能手机与整机无需在同一局域网内，可实现配对，一键投屏，无需手动输入投屏码或扫码获取投屏码；（投标人须提供国家认可的第三方检测机构出具CMA标识或CNAS标识的检测报告复印件并加盖投标人公章）</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5.配置清单：智慧黑板 1套、功能音响 1套、领夹扩声麦 2个；</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31.凝胶成像系统（1套）：1.摄像头:高分辨率低照度超高速相机；感光效率: QE≥65%；有效像数≥500 万像素 曝光时间1ms-3000ms；像数密度:16 bit（0-65535色）；像数尺寸≥3.45um×3.45um；像素合并:1×1；动态范围≥4.8个数量级；电动镜头≥2000万解析度自动聚焦镜头，全程聚焦速度≤5S；白光样品板≥25x25cm LED冷光带刻度折叠式样品台，折叠于机器内部；紫外样品台：开门式抽屉灯管无影低背景样品台，波长302nm.面积≥21×21cm；切胶装置：抽屉开放式，防护装置590nm光学滤镜 有效防紫外线99.99% 防护面积≥30*30cm；滤光片:标配590nm波长；软件功能：软件具有自动曝光功能，精准估算样品时间，无需人工估算曝光时间，且还能调控积分拍摄；软件具有一键拍摄：自动调整灯光以及镜头。一键提前预览实验结果；</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酶标仪（2台）：1.波长范围：190nm-1000nm；波长准确度≤±1.0nm；波长重复性：≤0.2nm；分辨率：≤0.001Abs（显示）≤0.000001Abs（内部计算）；光源：长寿命闪烁氙灯；开机无需预热，可直接检测；测定范围：0-3.0OD；可实现1~24比色皿检测；采用CMOS检测器，可实现全板UV-VIS全波长实时光谱扫描；整板单孔UV-VIS全波长扫描仅需1s；单孔实时输出紫外-可见全波长光谱图；自带孵育加热功能。孵育温度：(室温+2℃)至65℃；微孔板类型：标准96孔酶标板（其余可扩展定制）；微量板模块：使用特制的微量石英板，可直接检测核酸和蛋白的吸光度、浓度以及纯度；</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33.垂直电泳系统（2台）：1.多用途电泳电源技术参数：4组并联输出； 输出电压：6-600V (显示精度：≤0.1V )；输出电流：4-600mA （显示精度：≤0.1mA）；小型垂直电泳槽技术参数：凝胶数量：1-4；凝胶类型：手灌胶与预制胶；铂金电极：铂金丝直径≥0.26mm，纯度为99.95%玻板尺寸：厚玻板（mm）≥101 x 82 ；短玻板（mm）≥101 x 73 ；凝胶尺寸：手灌胶 （mm）≥83 x 73 ；预制胶（mm）≥86 x 68 ；样品梳：10.15齿，1.0mm厚；10.15齿，1.5mm厚（选配）；10.15齿，0.75mm厚（选配）；缓冲液容积：2块胶≥700 ml；4块胶≥1000 ml；运行时间：标准SDS-PAGE凝胶35-45分钟(恒压200V)；小型转印电泳槽技术参数：转印方式：湿转；转印面积（mm）≥75 ×100；转印数量≥2块；缓冲液容积≥450ml；铂金电极：铂金丝直径≥0.26mm，纯度≥99.95%铂金丝；横向间距≥40mm ；转印时间≤60 min；冷却方式： 蓝冰冰盒。</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34.紫外可见分光光度计（2台）：1.波长范围：190-1100nm；波长准确度≤±0.5nm；光度准确性：±0.3%T （0—100%T）；光度重复性：≤0.15%T（0—100%T）光度范围 ：0-200%T、-0.3-3A、0-9999C；光谱带宽≤2nm；杂散光 ≤0.05%T@360nm；基线漂移：±0.001A/h（500nm处）；基线平直度：±0.002A；噪声水平：±0.001A（500nm处）；显示系统：≥128*64位大屏幕LCD；光源：进口长寿命钨灯、氘灯；检测器：进口硅光二极管。</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35.超声波细胞破碎仪（2台）：1.频率:20-25 KHz；显示方式≥7寸触摸显示屏；功率（ W）≥650（1%-100%）；配有变幅杆:2、6mm各一支；破碎容量:100μl-500 ml；占空比:0.1-99.9 %；温度报警:0-99.9℃（防止样品过热）；细胞膜电阻测量系统参数：电压范围：±199.0 mV；电压分辨率：0.1 mV；电阻范围：0—20000Ω；电阻分辨率：1Ω。</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36.水平电泳系统（2台）：1.多用途电泳电源技术参数：4组并联输出；输出电压：6-600V (显示精度：≤0.1V )；输出电流：4-600mA （显示精度：≤0.1mA）；电泳槽技术参数：电极铂金丝直径≥0.3mm，纯度≥99.95%，电场稳定；凝胶板规格（mm） ≥60×60(L×W)，≥120×60(长胶)，≥60×120（宽胶)，≥120×120；样品梳：11+25齿(1.0mm厚)；6+13齿(1.5mm厚)；8+18齿(1.5mm厚)；2+3齿(2.0mm厚)。</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37.超微量分光光度计（1台）：1.光程：1mm.0.5mm.0.1mm.0.05mm.0.02mm，光程根据样品浓度自动匹配最佳光程，无需手动设置；光源：长寿命脉冲氙闪灯；微量样品体积要求：0.3～2µL；</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2.检测器：3864-元素线性硅化CCD阵列；波长范围：185～910nm，波长精度≤±1nm，波长分辨≤2nm (FWHM at Hg 546nm)；吸光率精确度≤0.002 Abs；吸光率准确度≤ 1% (0.76吸光率在350nm)；吸光率范围≤0.002～750 Abs,等效于10mm；核酸测量范围≤2～37500 ng/µl （dsDNA）；蛋白质测量范围≤1～1120mg/ml（BSA）；</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置方法：核酸、蛋白质、定量试剂盒、全波长扫描、微阵列等；具有一键导出扫描检测结果的图谱功能；开机无需等待，即开即用，1~5秒即可完成185nm~1100nm波长的数据采集；数据存储方法：内置≥64GB存储空间，可直接存储检测结果数据与自定义方法，检测结果自动保存为电子表格式，USB输出或网络转存数据，可无限打印检测结果；</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▲4.内置win10≥系统，带高清显示屏，全触控操作，内置蓝牙、Wi-Fi可实现异地操作；（投标时须提供满足该项功能要求视频现场演示，演示时长不超过1分钟）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基因扩增仪（2台）：1.反应模块：0.2ml×96孔反应模块，适合96孔板、8联管、单管等标准耗材；仪器冷却/加热技术（温控方式）：Peliter半导体；彩色触摸屏，水晶屏幕，无反光。标配为快速反应模块，其最大变温速率≥3.5℃/S,能提高工作效率；温度控制范围：3-99℃；控温准确性≤±0.1℃；控温均一性≤±0.2℃；带有温度梯度功能，可同时对8个以上不同的温度点进行反应条件优化；热盖温度≥105℃；热盖采用非固定的方式，其高度可调，适合各种不同的耗材使用；</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39.脱色摇床（2台）：1.速度范围：40-200rpm；固定板面载重量≥8kg；定时范围：1分-99小时59分；运动方式:360°回旋；振荡幅度≥12mm；载物盘尺寸(mm)≥270*245；载物盘附件:专用器皿粘板。</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40.可见光分光光度计（1台）：1.波长范围：325-1000nm；光谱带宽：4nm；波长准确度：±2nm；波长重复性≤0.5nm；波长分辨率：0.1nm ；光度准确度：±0.5%T；光度重复性≤0.2%T；光度范围：0-200%T、-0.3-3A、0-9999C；杂散光≤0.2%T；稳定性：±0.002A/30min（500nm预热后）。</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台式高速冷冻离心机（2台）：1.最高转速≥18500r/min，转速精度≤±10r/min；最大相对离心力≥29300xg；最大容量：≥4×100ml，可选配不少于19款转子；温度设置范围：-20℃～+40℃，温度控制精度±1℃；整机噪音≤62dB(A)；定时范围：1s～99min59s、1min～99h59min；具有启动计时、到转速计时、连续计时三种计时模式；加/减速曲线：≥11档加速曲线、≥12档减速曲线、≥10档为自定义档位，保障最佳离心效果；控制系统≥7寸高清触摸屏控制；具有冷凝水槽防护功能，可避免冷凝水集聚，防止腐蚀，提高仪器使用寿命；</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2.可配备通过第三方认证的气密性角转子，有效防止气溶胶及液体外泄；</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3.配置要求：6*50ml尖底角转子 1个；24*1.5ml角转子 1个；12*10ml角转子1个；12*5ml适配器 1个；</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42.低速离心机（2台）：1.最高转速≥5500rpm，转速精度≤±20r/min；最大相对离心力≥4900×g；最大容量：≥4*250ml；离心腔直径(mm)≥φ380；噪音≤65dB (A)；定时范围：1min～99min；配置：15mL水平转子1个，96孔酶标板转子1个。</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43.高压灭菌器（2台）：1.灭菌室有效容积(L)≥80；灭菌腔材料：SUS304 不锈钢，厚度≥2.5mm，双层不锈钢网篮；拨杆式开合上盖，能够提高操作效率，避免接触传染因子；具有不小于七寸液晶触摸屏，安装操作系统，可便捷操控此设备；温度和压力: 工作温度105℃～138℃,设计压力 ≥0.3Mpa,设计温度≥140℃；温度显示精度≤0.1℃，温度均匀度≤±1℃；时间选择范围:灭菌时间:1-9999分钟，融化时间:1-9999分钟，保温时间:1-9999分钟；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为保障实验室安全和试验人员的安全，所投产品厂家须具有特种设备（压力容器）制造（或生产）许可证，验收时所投高压灭菌器生产商与特种设备（压力容器）实际制造商一致；（投标时须提供相关证书复印件及国家政务服务平台或国家市场监督管理总局网站查询结果截图并加盖投标人公章）。</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全温摇床（2台）：1.LCD触摸屏，设置温度、转速、时间，实际温度、转速、剩余时间在同一界面显示，不用相互切换界面，观察更直观；可自由设定摇板正转或反转；自由设定强制对流的风扇常开、自动或关闭；振荡频率：10-400rpm ；温控范围：4-60℃；温度调节精度：±0.1℃ ；温度均匀度：±0.8；最大容量：250ml×30或500ml×20或1000ml×12或2000mlX6；内置导流式防水系统，机器内部腔体可以实现无死角防水冲洗，无须专用工具清理方便。</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超净工作台（3台）：1.适用人数：双人单面；外形尺寸（mm）≥1460×740×1620；工作区尺寸（mm）≥1300×700×520；净化效率≥100级；平均风速（m/s）：0.3~0.6；最大功耗（KW）≥0.8；平均菌落数≤0.5个/皿·时（φ90mm培养平皿）；照度≥300Lx；出风方向：垂直送风。噪声≤62dB（A）；振动半峰值≤3µm（X·Y·Z）；高效过滤器规格及数量≥1355×555×50×1；荧光灯规格及数量≥LED 28W×1；杀菌灯规格及数量≥28W×1。</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智能热板仪（1台）：1.温控范围：室温~80.0℃，调节精度≤0.1℃；升温时间：室温25~55℃，升温时间≤4分钟；控制方式≥7寸IPS高清彩色电容触屏，屏幕分辨率≥1024×600。记录信息：实验时间、动物信息、测量值（计次时间）。</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恒温振荡培养箱（3台）：1.振幅≤Φ26mm；振荡频率范围：30~300rpm；振荡频率精度≤±1rpm；显示方式≥7寸触摸式全彩操作屏；对流方式：强制对流；定时范围：0~9999min/h（可切换）温度参数：控温范围4~60℃，分辨率：0.1℃，温度波动度≤±0.3℃（37℃）；湿度范围：50~90%RH；控湿精度≤±3%RH。</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摇板可自由抽出，方便装卸摇瓶，防水托盘式设计，带有可移动储水盘，摇板可在5秒内直接取出，非常方便清洁；采用精密三通道气体冷热混匀循环风道设计，确保整个箱体的温度均匀性保证整个箱体温度均匀度≤±0.8℃。（投标时须提供满足该项功能要求视频现场演示，演示时长不超过1分钟）</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4、为保证售后服务和产品质量，投标时须提供产品为合法来源产品及原厂技术支持售后服务承诺函，格式自拟。</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48.电子分析天平（2台）：1.量程/精度：220g/0.1mg + 520g/1mg (双量程.双精度）；重复性(mg)≤±0.1/±1；线性误差(mg)≤±0.2/±2；称盘尺寸(mm)≥Φ90；高分辨率彩色不小于5英寸触摸屏/双量程、双精度；使用单体模块电磁力传感器；内置温度触发提示校准功能，自动使用内置砝码校准，无需手动操作。</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电热恒温鼓风干燥箱（2台）：1.控温范围：RT+5～300℃，分辨率≤0.1℃，温度波动度（150℃）≤±0.5℃（150℃）；均匀性（150℃）≤±1%（室温+5~105℃）≤±2%（105℃~300℃）；升温速率：20min（150℃）；体积(L)≥210；内胆尺寸(mm)≥600×500×700；外形尺寸(mm)≥820×700×980。</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50.生化培养箱（2台）：1.控温范围：0~80℃；温度分辨率≤0.1℃；温度波动度≤±0.3℃（加热），≤±0.5℃（制冷）；温度均匀度≤±0.8℃（25℃时）；输入功率≥1100W；定时范围：0~9999min/h（可切换）；编程控制：30段99周期；；容积（L)≥240；内胆尺寸≥510×450×1090mm，外形尺寸≥650×740×1726mm；标配载物托架≥4块。</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51.冰箱（4台）：1.搁架层数≥5；温度范围：2-8℃；有效容积（L)≥600；外部尺寸（宽*深*高)(mm) ≥680×747×1885；内部尺寸（宽*深*高)(mm) ≥580×613×1325；噪音级别≤55dB(A)；能效不高于一级，制冷方式为风冷。</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52.电子天平（4台）：1.称量范围(g)：0-3000；可读性/精度≤10mg；外形尺寸（mm）≥290*202*85；秤盘尺寸（mm）≥Ф130。</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53.疲劳转棒仪（1台）：1.小鼠转棒直径≥30mm；小鼠转棒长度≥62mm； 小鼠通道数≥6通道；转速范围：1~100转/圈；转速调整度：1转／分；初始速度运行时间：1~60000秒。</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54.足趾容积测量仪（1台）：1.外形尺寸（mm）≥330×330×220；测量范围：0~130mL，精度≤0.01mL；控制方式≥7寸IPS高清彩色电容触屏，屏幕分辨率≥1024×600。</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55.脑定位仪（1台）：1.角度调节范围：-90°~90°；X轴调节范围：0~80mm；Y轴调节范围：0~80mm；Z轴调节范围：0~80mm；调节精度≤0.01mm；Z轴旋转范围 -45°～+45°；材料：铝合金喷砂钝化处理；外形尺寸（mm）≥260*360*353。</w:t>
            </w:r>
          </w:p>
        </w:tc>
        <w:tc>
          <w:tcPr>
            <w:tcW w:type="dxa" w:w="831"/>
          </w:tcPr>
          <w:p>
            <w:pPr>
              <w:pStyle w:val="null3"/>
              <w:jc w:val="right"/>
            </w:pPr>
            <w:r>
              <w:rPr>
                <w:rFonts w:ascii="仿宋_GB2312" w:hAnsi="仿宋_GB2312" w:cs="仿宋_GB2312" w:eastAsia="仿宋_GB2312"/>
              </w:rPr>
              <w:t>0.1500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HD2025-1-005RR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海南大学基础实验教学仪器设备更新置换（第四批）-生命健康实验平台仪器设备更新(三次)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海南大学基础实验教学仪器设备更新置换(第四批)-生命健康实验平台仪器设备更新项目（三次）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海南大学基础实验教学仪器设备更新置换（第四批）-生命健康实验平台仪器设备更新（三次）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详见附件：投标人已完成成功类似案例一览表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