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snapToGrid w:val="0"/>
        <w:spacing w:line="360" w:lineRule="auto"/>
        <w:rPr>
          <w:rFonts w:ascii="仿宋" w:hAnsi="仿宋" w:eastAsia="仿宋" w:cs="仿宋"/>
          <w:b/>
          <w:color w:val="auto"/>
          <w:sz w:val="28"/>
          <w:szCs w:val="28"/>
          <w:highlight w:val="none"/>
        </w:rPr>
      </w:pPr>
      <w:r>
        <w:rPr>
          <w:rFonts w:hint="eastAsia" w:ascii="仿宋" w:hAnsi="仿宋" w:eastAsia="仿宋" w:cs="仿宋"/>
          <w:b/>
          <w:color w:val="auto"/>
          <w:sz w:val="28"/>
          <w:szCs w:val="28"/>
          <w:highlight w:val="none"/>
        </w:rPr>
        <w:t>合同编号：</w:t>
      </w:r>
      <w:r>
        <w:rPr>
          <w:rFonts w:ascii="仿宋" w:hAnsi="仿宋" w:eastAsia="仿宋" w:cs="仿宋"/>
          <w:b/>
          <w:color w:val="auto"/>
          <w:sz w:val="28"/>
          <w:szCs w:val="28"/>
          <w:highlight w:val="none"/>
        </w:rPr>
        <w:t xml:space="preserve"> </w:t>
      </w:r>
    </w:p>
    <w:p>
      <w:pPr>
        <w:widowControl/>
        <w:adjustRightInd w:val="0"/>
        <w:snapToGrid w:val="0"/>
        <w:spacing w:line="360" w:lineRule="auto"/>
        <w:jc w:val="center"/>
        <w:rPr>
          <w:rFonts w:ascii="仿宋" w:hAnsi="仿宋" w:eastAsia="仿宋" w:cs="仿宋"/>
          <w:b/>
          <w:color w:val="auto"/>
          <w:sz w:val="44"/>
          <w:szCs w:val="44"/>
          <w:highlight w:val="none"/>
        </w:rPr>
      </w:pPr>
    </w:p>
    <w:p>
      <w:pPr>
        <w:widowControl/>
        <w:adjustRightInd w:val="0"/>
        <w:snapToGrid w:val="0"/>
        <w:spacing w:line="360" w:lineRule="auto"/>
        <w:jc w:val="center"/>
        <w:rPr>
          <w:rFonts w:ascii="仿宋" w:hAnsi="仿宋" w:eastAsia="仿宋" w:cs="仿宋"/>
          <w:b/>
          <w:color w:val="auto"/>
          <w:sz w:val="44"/>
          <w:szCs w:val="44"/>
          <w:highlight w:val="none"/>
        </w:rPr>
      </w:pPr>
    </w:p>
    <w:p>
      <w:pPr>
        <w:widowControl/>
        <w:adjustRightInd w:val="0"/>
        <w:snapToGrid w:val="0"/>
        <w:spacing w:line="360" w:lineRule="auto"/>
        <w:jc w:val="center"/>
        <w:rPr>
          <w:rFonts w:ascii="仿宋" w:hAnsi="仿宋" w:eastAsia="仿宋" w:cs="仿宋"/>
          <w:b/>
          <w:color w:val="auto"/>
          <w:sz w:val="44"/>
          <w:szCs w:val="44"/>
          <w:highlight w:val="none"/>
        </w:rPr>
      </w:pPr>
    </w:p>
    <w:p>
      <w:pPr>
        <w:widowControl/>
        <w:adjustRightInd w:val="0"/>
        <w:snapToGrid w:val="0"/>
        <w:spacing w:line="360" w:lineRule="auto"/>
        <w:jc w:val="center"/>
        <w:rPr>
          <w:rFonts w:ascii="仿宋" w:hAnsi="仿宋" w:eastAsia="仿宋" w:cs="仿宋"/>
          <w:b/>
          <w:color w:val="auto"/>
          <w:sz w:val="44"/>
          <w:szCs w:val="44"/>
          <w:highlight w:val="none"/>
        </w:rPr>
      </w:pPr>
      <w:r>
        <w:rPr>
          <w:rFonts w:hint="eastAsia" w:ascii="仿宋" w:hAnsi="仿宋" w:eastAsia="仿宋" w:cs="仿宋"/>
          <w:b/>
          <w:color w:val="auto"/>
          <w:sz w:val="44"/>
          <w:szCs w:val="44"/>
          <w:highlight w:val="none"/>
        </w:rPr>
        <w:t>海南热带海洋学院服务类采购项目</w:t>
      </w:r>
    </w:p>
    <w:p>
      <w:pPr>
        <w:widowControl/>
        <w:adjustRightInd w:val="0"/>
        <w:snapToGrid w:val="0"/>
        <w:spacing w:line="360" w:lineRule="auto"/>
        <w:jc w:val="center"/>
        <w:rPr>
          <w:rFonts w:ascii="仿宋" w:hAnsi="仿宋" w:eastAsia="仿宋" w:cs="仿宋"/>
          <w:b/>
          <w:color w:val="auto"/>
          <w:sz w:val="30"/>
          <w:szCs w:val="30"/>
          <w:highlight w:val="none"/>
        </w:rPr>
      </w:pPr>
    </w:p>
    <w:p>
      <w:pPr>
        <w:widowControl/>
        <w:adjustRightInd w:val="0"/>
        <w:snapToGrid w:val="0"/>
        <w:spacing w:line="360" w:lineRule="auto"/>
        <w:jc w:val="center"/>
        <w:rPr>
          <w:rFonts w:ascii="仿宋" w:hAnsi="仿宋" w:eastAsia="仿宋" w:cs="仿宋"/>
          <w:b/>
          <w:color w:val="auto"/>
          <w:sz w:val="72"/>
          <w:szCs w:val="72"/>
          <w:highlight w:val="none"/>
        </w:rPr>
      </w:pPr>
      <w:r>
        <w:rPr>
          <w:rFonts w:hint="eastAsia" w:ascii="仿宋" w:hAnsi="仿宋" w:eastAsia="仿宋" w:cs="仿宋"/>
          <w:b/>
          <w:color w:val="auto"/>
          <w:sz w:val="72"/>
          <w:szCs w:val="72"/>
          <w:highlight w:val="none"/>
        </w:rPr>
        <w:t>合 同 书</w:t>
      </w:r>
    </w:p>
    <w:p>
      <w:pPr>
        <w:widowControl/>
        <w:adjustRightInd w:val="0"/>
        <w:snapToGrid w:val="0"/>
        <w:spacing w:line="360" w:lineRule="auto"/>
        <w:jc w:val="center"/>
        <w:rPr>
          <w:rFonts w:ascii="仿宋" w:hAnsi="仿宋" w:eastAsia="仿宋" w:cs="仿宋"/>
          <w:bCs/>
          <w:color w:val="auto"/>
          <w:sz w:val="30"/>
          <w:szCs w:val="30"/>
          <w:highlight w:val="none"/>
        </w:rPr>
      </w:pPr>
    </w:p>
    <w:p>
      <w:pPr>
        <w:widowControl/>
        <w:adjustRightInd w:val="0"/>
        <w:snapToGrid w:val="0"/>
        <w:spacing w:line="360" w:lineRule="auto"/>
        <w:jc w:val="center"/>
        <w:rPr>
          <w:rFonts w:ascii="仿宋" w:hAnsi="仿宋" w:eastAsia="仿宋" w:cs="仿宋"/>
          <w:bCs/>
          <w:color w:val="auto"/>
          <w:sz w:val="30"/>
          <w:szCs w:val="30"/>
          <w:highlight w:val="none"/>
        </w:rPr>
      </w:pPr>
    </w:p>
    <w:p>
      <w:pPr>
        <w:widowControl/>
        <w:adjustRightInd w:val="0"/>
        <w:snapToGrid w:val="0"/>
        <w:spacing w:line="360" w:lineRule="auto"/>
        <w:jc w:val="center"/>
        <w:rPr>
          <w:rFonts w:ascii="仿宋" w:hAnsi="仿宋" w:eastAsia="仿宋" w:cs="仿宋"/>
          <w:bCs/>
          <w:color w:val="auto"/>
          <w:sz w:val="30"/>
          <w:szCs w:val="30"/>
          <w:highlight w:val="none"/>
        </w:rPr>
      </w:pPr>
    </w:p>
    <w:p>
      <w:pPr>
        <w:spacing w:line="500" w:lineRule="exact"/>
        <w:ind w:firstLine="602" w:firstLineChars="200"/>
        <w:rPr>
          <w:rFonts w:ascii="仿宋" w:hAnsi="仿宋" w:eastAsia="仿宋" w:cs="仿宋"/>
          <w:b/>
          <w:color w:val="auto"/>
          <w:sz w:val="30"/>
          <w:szCs w:val="30"/>
          <w:highlight w:val="none"/>
          <w:u w:val="single"/>
        </w:rPr>
      </w:pPr>
      <w:r>
        <w:rPr>
          <w:rFonts w:hint="eastAsia" w:ascii="仿宋" w:hAnsi="仿宋" w:eastAsia="仿宋" w:cs="仿宋"/>
          <w:b/>
          <w:color w:val="auto"/>
          <w:sz w:val="30"/>
          <w:szCs w:val="30"/>
          <w:highlight w:val="none"/>
        </w:rPr>
        <w:t>项目名称：</w:t>
      </w:r>
      <w:r>
        <w:rPr>
          <w:rFonts w:hint="eastAsia" w:ascii="仿宋" w:hAnsi="仿宋" w:eastAsia="仿宋" w:cs="仿宋"/>
          <w:b/>
          <w:color w:val="auto"/>
          <w:sz w:val="30"/>
          <w:szCs w:val="30"/>
          <w:highlight w:val="none"/>
          <w:u w:val="single"/>
        </w:rPr>
        <w:t xml:space="preserve"> 海南热带海洋学院三亚校区部分卫生保洁、</w:t>
      </w:r>
    </w:p>
    <w:p>
      <w:pPr>
        <w:widowControl/>
        <w:adjustRightInd w:val="0"/>
        <w:snapToGrid w:val="0"/>
        <w:spacing w:line="360" w:lineRule="auto"/>
        <w:ind w:firstLine="2108" w:firstLineChars="700"/>
        <w:rPr>
          <w:rFonts w:ascii="仿宋" w:hAnsi="仿宋" w:eastAsia="仿宋" w:cs="仿宋"/>
          <w:b/>
          <w:color w:val="auto"/>
          <w:sz w:val="30"/>
          <w:szCs w:val="30"/>
          <w:highlight w:val="none"/>
          <w:u w:val="single"/>
        </w:rPr>
      </w:pPr>
      <w:r>
        <w:rPr>
          <w:rFonts w:hint="eastAsia" w:ascii="仿宋" w:hAnsi="仿宋" w:eastAsia="仿宋" w:cs="仿宋"/>
          <w:b/>
          <w:color w:val="auto"/>
          <w:sz w:val="30"/>
          <w:szCs w:val="30"/>
          <w:highlight w:val="none"/>
          <w:u w:val="single"/>
        </w:rPr>
        <w:t>绿化养护等物业服务项目（</w:t>
      </w:r>
      <w:r>
        <w:rPr>
          <w:rFonts w:ascii="仿宋" w:hAnsi="仿宋" w:eastAsia="仿宋" w:cs="仿宋"/>
          <w:b/>
          <w:color w:val="auto"/>
          <w:sz w:val="30"/>
          <w:szCs w:val="30"/>
          <w:highlight w:val="none"/>
          <w:u w:val="single"/>
        </w:rPr>
        <w:t>2025-2028</w:t>
      </w:r>
      <w:r>
        <w:rPr>
          <w:rFonts w:hint="eastAsia" w:ascii="仿宋" w:hAnsi="仿宋" w:eastAsia="仿宋" w:cs="仿宋"/>
          <w:b/>
          <w:color w:val="auto"/>
          <w:sz w:val="30"/>
          <w:szCs w:val="30"/>
          <w:highlight w:val="none"/>
          <w:u w:val="single"/>
        </w:rPr>
        <w:t>年度）</w:t>
      </w:r>
    </w:p>
    <w:p>
      <w:pPr>
        <w:widowControl/>
        <w:adjustRightInd w:val="0"/>
        <w:snapToGrid w:val="0"/>
        <w:spacing w:line="360" w:lineRule="auto"/>
        <w:ind w:firstLine="602" w:firstLineChars="200"/>
        <w:rPr>
          <w:rFonts w:ascii="仿宋" w:hAnsi="仿宋" w:eastAsia="仿宋" w:cs="仿宋"/>
          <w:b/>
          <w:color w:val="auto"/>
          <w:sz w:val="30"/>
          <w:szCs w:val="30"/>
          <w:highlight w:val="none"/>
        </w:rPr>
      </w:pPr>
      <w:r>
        <w:rPr>
          <w:rFonts w:hint="eastAsia" w:ascii="仿宋" w:hAnsi="仿宋" w:eastAsia="仿宋" w:cs="仿宋"/>
          <w:b/>
          <w:color w:val="auto"/>
          <w:sz w:val="30"/>
          <w:szCs w:val="30"/>
          <w:highlight w:val="none"/>
        </w:rPr>
        <w:t>项目编号：</w:t>
      </w:r>
      <w:r>
        <w:rPr>
          <w:rFonts w:hint="eastAsia" w:ascii="仿宋" w:hAnsi="仿宋" w:eastAsia="仿宋" w:cs="仿宋"/>
          <w:b/>
          <w:color w:val="auto"/>
          <w:sz w:val="30"/>
          <w:szCs w:val="30"/>
          <w:highlight w:val="none"/>
          <w:u w:val="single"/>
        </w:rPr>
        <w:t xml:space="preserve"> </w:t>
      </w:r>
      <w:r>
        <w:rPr>
          <w:rFonts w:ascii="仿宋" w:hAnsi="仿宋" w:eastAsia="仿宋" w:cs="仿宋"/>
          <w:b/>
          <w:bCs/>
          <w:color w:val="auto"/>
          <w:sz w:val="28"/>
          <w:szCs w:val="28"/>
          <w:highlight w:val="none"/>
          <w:u w:val="single"/>
        </w:rPr>
        <w:t xml:space="preserve">                 </w:t>
      </w:r>
      <w:r>
        <w:rPr>
          <w:rFonts w:hint="eastAsia" w:ascii="仿宋" w:hAnsi="仿宋" w:eastAsia="仿宋" w:cs="仿宋"/>
          <w:b/>
          <w:color w:val="auto"/>
          <w:sz w:val="30"/>
          <w:szCs w:val="30"/>
          <w:highlight w:val="none"/>
          <w:u w:val="single"/>
        </w:rPr>
        <w:t xml:space="preserve"> </w:t>
      </w:r>
      <w:r>
        <w:rPr>
          <w:rFonts w:ascii="仿宋" w:hAnsi="仿宋" w:eastAsia="仿宋" w:cs="仿宋"/>
          <w:b/>
          <w:color w:val="auto"/>
          <w:sz w:val="30"/>
          <w:szCs w:val="30"/>
          <w:highlight w:val="none"/>
          <w:u w:val="single"/>
        </w:rPr>
        <w:t xml:space="preserve">               </w:t>
      </w:r>
      <w:r>
        <w:rPr>
          <w:rFonts w:hint="eastAsia" w:ascii="仿宋" w:hAnsi="仿宋" w:eastAsia="仿宋" w:cs="仿宋"/>
          <w:b/>
          <w:color w:val="auto"/>
          <w:sz w:val="30"/>
          <w:szCs w:val="30"/>
          <w:highlight w:val="none"/>
          <w:u w:val="single"/>
        </w:rPr>
        <w:t xml:space="preserve">   </w:t>
      </w:r>
      <w:r>
        <w:rPr>
          <w:rFonts w:ascii="仿宋" w:hAnsi="仿宋" w:eastAsia="仿宋" w:cs="仿宋"/>
          <w:b/>
          <w:color w:val="auto"/>
          <w:sz w:val="30"/>
          <w:szCs w:val="30"/>
          <w:highlight w:val="none"/>
          <w:u w:val="single"/>
        </w:rPr>
        <w:t xml:space="preserve"> </w:t>
      </w:r>
      <w:r>
        <w:rPr>
          <w:rFonts w:hint="eastAsia" w:ascii="仿宋" w:hAnsi="仿宋" w:eastAsia="仿宋" w:cs="仿宋"/>
          <w:b/>
          <w:color w:val="auto"/>
          <w:sz w:val="30"/>
          <w:szCs w:val="30"/>
          <w:highlight w:val="none"/>
          <w:u w:val="single"/>
        </w:rPr>
        <w:t xml:space="preserve">  </w:t>
      </w:r>
    </w:p>
    <w:p>
      <w:pPr>
        <w:widowControl/>
        <w:adjustRightInd w:val="0"/>
        <w:snapToGrid w:val="0"/>
        <w:spacing w:line="360" w:lineRule="auto"/>
        <w:ind w:firstLine="602" w:firstLineChars="200"/>
        <w:rPr>
          <w:rFonts w:ascii="仿宋" w:hAnsi="仿宋" w:eastAsia="仿宋" w:cs="仿宋"/>
          <w:bCs/>
          <w:color w:val="auto"/>
          <w:sz w:val="30"/>
          <w:szCs w:val="30"/>
          <w:highlight w:val="none"/>
          <w:u w:val="single"/>
        </w:rPr>
      </w:pPr>
      <w:r>
        <w:rPr>
          <w:rFonts w:hint="eastAsia" w:ascii="仿宋" w:hAnsi="仿宋" w:eastAsia="仿宋" w:cs="仿宋"/>
          <w:b/>
          <w:color w:val="auto"/>
          <w:sz w:val="30"/>
          <w:szCs w:val="30"/>
          <w:highlight w:val="none"/>
        </w:rPr>
        <w:t>甲    方：</w:t>
      </w:r>
      <w:r>
        <w:rPr>
          <w:rFonts w:hint="eastAsia" w:ascii="仿宋" w:hAnsi="仿宋" w:eastAsia="仿宋" w:cs="仿宋"/>
          <w:b/>
          <w:color w:val="auto"/>
          <w:sz w:val="30"/>
          <w:szCs w:val="30"/>
          <w:highlight w:val="none"/>
          <w:u w:val="single"/>
        </w:rPr>
        <w:t xml:space="preserve"> </w:t>
      </w:r>
      <w:r>
        <w:rPr>
          <w:rFonts w:ascii="仿宋" w:hAnsi="仿宋" w:eastAsia="仿宋" w:cs="仿宋"/>
          <w:b/>
          <w:color w:val="auto"/>
          <w:sz w:val="30"/>
          <w:szCs w:val="30"/>
          <w:highlight w:val="none"/>
          <w:u w:val="single"/>
        </w:rPr>
        <w:t xml:space="preserve">          </w:t>
      </w:r>
      <w:r>
        <w:rPr>
          <w:rFonts w:hint="eastAsia" w:ascii="仿宋" w:hAnsi="仿宋" w:eastAsia="仿宋" w:cs="仿宋"/>
          <w:b/>
          <w:color w:val="auto"/>
          <w:sz w:val="30"/>
          <w:szCs w:val="30"/>
          <w:highlight w:val="none"/>
          <w:u w:val="single"/>
        </w:rPr>
        <w:t xml:space="preserve">海南热带海洋学院  </w:t>
      </w:r>
      <w:r>
        <w:rPr>
          <w:rFonts w:ascii="仿宋" w:hAnsi="仿宋" w:eastAsia="仿宋" w:cs="仿宋"/>
          <w:b/>
          <w:color w:val="auto"/>
          <w:sz w:val="30"/>
          <w:szCs w:val="30"/>
          <w:highlight w:val="none"/>
          <w:u w:val="single"/>
        </w:rPr>
        <w:t xml:space="preserve">   </w:t>
      </w:r>
      <w:r>
        <w:rPr>
          <w:rFonts w:hint="eastAsia" w:ascii="仿宋" w:hAnsi="仿宋" w:eastAsia="仿宋" w:cs="仿宋"/>
          <w:b/>
          <w:color w:val="auto"/>
          <w:sz w:val="30"/>
          <w:szCs w:val="30"/>
          <w:highlight w:val="none"/>
          <w:u w:val="single"/>
        </w:rPr>
        <w:t xml:space="preserve"> </w:t>
      </w:r>
      <w:r>
        <w:rPr>
          <w:rFonts w:ascii="仿宋" w:hAnsi="仿宋" w:eastAsia="仿宋" w:cs="仿宋"/>
          <w:b/>
          <w:color w:val="auto"/>
          <w:sz w:val="30"/>
          <w:szCs w:val="30"/>
          <w:highlight w:val="none"/>
          <w:u w:val="single"/>
        </w:rPr>
        <w:t xml:space="preserve"> </w:t>
      </w:r>
      <w:r>
        <w:rPr>
          <w:rFonts w:hint="eastAsia" w:ascii="仿宋" w:hAnsi="仿宋" w:eastAsia="仿宋" w:cs="仿宋"/>
          <w:b/>
          <w:color w:val="auto"/>
          <w:sz w:val="30"/>
          <w:szCs w:val="30"/>
          <w:highlight w:val="none"/>
          <w:u w:val="single"/>
        </w:rPr>
        <w:t xml:space="preserve">     </w:t>
      </w:r>
    </w:p>
    <w:p>
      <w:pPr>
        <w:widowControl/>
        <w:adjustRightInd w:val="0"/>
        <w:snapToGrid w:val="0"/>
        <w:spacing w:line="360" w:lineRule="auto"/>
        <w:ind w:firstLine="602" w:firstLineChars="200"/>
        <w:rPr>
          <w:rFonts w:ascii="仿宋" w:hAnsi="仿宋" w:eastAsia="仿宋" w:cs="仿宋"/>
          <w:b/>
          <w:color w:val="auto"/>
          <w:sz w:val="30"/>
          <w:szCs w:val="30"/>
          <w:highlight w:val="none"/>
          <w:u w:val="single"/>
        </w:rPr>
      </w:pPr>
      <w:r>
        <w:rPr>
          <w:rFonts w:hint="eastAsia" w:ascii="仿宋" w:hAnsi="仿宋" w:eastAsia="仿宋" w:cs="仿宋"/>
          <w:b/>
          <w:color w:val="auto"/>
          <w:sz w:val="30"/>
          <w:szCs w:val="30"/>
          <w:highlight w:val="none"/>
        </w:rPr>
        <w:t>乙    方：</w:t>
      </w:r>
      <w:r>
        <w:rPr>
          <w:rFonts w:hint="eastAsia" w:ascii="仿宋" w:hAnsi="仿宋" w:eastAsia="仿宋" w:cs="仿宋"/>
          <w:b/>
          <w:color w:val="auto"/>
          <w:sz w:val="30"/>
          <w:szCs w:val="30"/>
          <w:highlight w:val="none"/>
          <w:u w:val="single"/>
        </w:rPr>
        <w:t xml:space="preserve">  </w:t>
      </w:r>
      <w:r>
        <w:rPr>
          <w:rFonts w:ascii="仿宋" w:hAnsi="仿宋" w:eastAsia="仿宋" w:cs="仿宋"/>
          <w:b/>
          <w:color w:val="auto"/>
          <w:sz w:val="30"/>
          <w:szCs w:val="30"/>
          <w:highlight w:val="none"/>
          <w:u w:val="single"/>
        </w:rPr>
        <w:t xml:space="preserve">                               </w:t>
      </w:r>
      <w:r>
        <w:rPr>
          <w:rFonts w:hint="eastAsia" w:ascii="仿宋" w:hAnsi="仿宋" w:eastAsia="仿宋" w:cs="仿宋"/>
          <w:b/>
          <w:color w:val="auto"/>
          <w:sz w:val="30"/>
          <w:szCs w:val="30"/>
          <w:highlight w:val="none"/>
          <w:u w:val="single"/>
        </w:rPr>
        <w:t xml:space="preserve">    </w:t>
      </w:r>
      <w:r>
        <w:rPr>
          <w:rFonts w:ascii="仿宋" w:hAnsi="仿宋" w:eastAsia="仿宋" w:cs="仿宋"/>
          <w:b/>
          <w:color w:val="auto"/>
          <w:sz w:val="30"/>
          <w:szCs w:val="30"/>
          <w:highlight w:val="none"/>
          <w:u w:val="single"/>
        </w:rPr>
        <w:t xml:space="preserve"> </w:t>
      </w:r>
      <w:r>
        <w:rPr>
          <w:rFonts w:hint="eastAsia" w:ascii="仿宋" w:hAnsi="仿宋" w:eastAsia="仿宋" w:cs="仿宋"/>
          <w:b/>
          <w:color w:val="auto"/>
          <w:sz w:val="30"/>
          <w:szCs w:val="30"/>
          <w:highlight w:val="none"/>
          <w:u w:val="single"/>
        </w:rPr>
        <w:t xml:space="preserve"> </w:t>
      </w:r>
    </w:p>
    <w:p>
      <w:pPr>
        <w:ind w:firstLine="596" w:firstLineChars="198"/>
        <w:rPr>
          <w:rFonts w:ascii="仿宋" w:hAnsi="仿宋" w:eastAsia="仿宋" w:cs="仿宋"/>
          <w:b/>
          <w:color w:val="auto"/>
          <w:sz w:val="30"/>
          <w:szCs w:val="30"/>
          <w:highlight w:val="none"/>
          <w:u w:val="single"/>
        </w:rPr>
      </w:pPr>
      <w:r>
        <w:rPr>
          <w:rFonts w:hint="eastAsia" w:ascii="仿宋" w:hAnsi="仿宋" w:eastAsia="仿宋" w:cs="仿宋"/>
          <w:b/>
          <w:color w:val="auto"/>
          <w:sz w:val="30"/>
          <w:szCs w:val="30"/>
          <w:highlight w:val="none"/>
        </w:rPr>
        <w:t>签订日期：</w:t>
      </w:r>
      <w:r>
        <w:rPr>
          <w:rFonts w:hint="eastAsia" w:ascii="仿宋" w:hAnsi="仿宋" w:eastAsia="仿宋" w:cs="仿宋"/>
          <w:b/>
          <w:color w:val="auto"/>
          <w:sz w:val="30"/>
          <w:szCs w:val="30"/>
          <w:highlight w:val="none"/>
          <w:u w:val="single"/>
        </w:rPr>
        <w:t xml:space="preserve"> </w:t>
      </w:r>
      <w:r>
        <w:rPr>
          <w:rFonts w:ascii="仿宋" w:hAnsi="仿宋" w:eastAsia="仿宋" w:cs="仿宋"/>
          <w:b/>
          <w:color w:val="auto"/>
          <w:sz w:val="30"/>
          <w:szCs w:val="30"/>
          <w:highlight w:val="none"/>
          <w:u w:val="single"/>
        </w:rPr>
        <w:t xml:space="preserve">   </w:t>
      </w:r>
      <w:r>
        <w:rPr>
          <w:rFonts w:hint="eastAsia" w:ascii="仿宋" w:hAnsi="仿宋" w:eastAsia="仿宋" w:cs="仿宋"/>
          <w:b/>
          <w:bCs/>
          <w:color w:val="auto"/>
          <w:sz w:val="28"/>
          <w:szCs w:val="28"/>
          <w:highlight w:val="none"/>
          <w:u w:val="single"/>
        </w:rPr>
        <w:t>202</w:t>
      </w:r>
      <w:r>
        <w:rPr>
          <w:rFonts w:ascii="仿宋" w:hAnsi="仿宋" w:eastAsia="仿宋" w:cs="仿宋"/>
          <w:b/>
          <w:bCs/>
          <w:color w:val="auto"/>
          <w:sz w:val="28"/>
          <w:szCs w:val="28"/>
          <w:highlight w:val="none"/>
          <w:u w:val="single"/>
        </w:rPr>
        <w:t xml:space="preserve"> </w:t>
      </w:r>
      <w:r>
        <w:rPr>
          <w:rFonts w:hint="eastAsia" w:ascii="仿宋" w:hAnsi="仿宋" w:eastAsia="仿宋" w:cs="仿宋"/>
          <w:b/>
          <w:bCs/>
          <w:color w:val="auto"/>
          <w:sz w:val="28"/>
          <w:szCs w:val="28"/>
          <w:highlight w:val="none"/>
          <w:u w:val="single"/>
        </w:rPr>
        <w:t>年</w:t>
      </w:r>
      <w:r>
        <w:rPr>
          <w:rFonts w:ascii="仿宋" w:hAnsi="仿宋" w:eastAsia="仿宋" w:cs="仿宋"/>
          <w:b/>
          <w:bCs/>
          <w:color w:val="auto"/>
          <w:sz w:val="28"/>
          <w:szCs w:val="28"/>
          <w:highlight w:val="none"/>
          <w:u w:val="single"/>
        </w:rPr>
        <w:t xml:space="preserve">    </w:t>
      </w:r>
      <w:r>
        <w:rPr>
          <w:rFonts w:hint="eastAsia" w:ascii="仿宋" w:hAnsi="仿宋" w:eastAsia="仿宋" w:cs="仿宋"/>
          <w:b/>
          <w:bCs/>
          <w:color w:val="auto"/>
          <w:sz w:val="28"/>
          <w:szCs w:val="28"/>
          <w:highlight w:val="none"/>
          <w:u w:val="single"/>
        </w:rPr>
        <w:t>月</w:t>
      </w:r>
      <w:r>
        <w:rPr>
          <w:rFonts w:ascii="仿宋" w:hAnsi="仿宋" w:eastAsia="仿宋" w:cs="仿宋"/>
          <w:b/>
          <w:bCs/>
          <w:color w:val="auto"/>
          <w:sz w:val="28"/>
          <w:szCs w:val="28"/>
          <w:highlight w:val="none"/>
          <w:u w:val="single"/>
        </w:rPr>
        <w:t xml:space="preserve">   </w:t>
      </w:r>
      <w:r>
        <w:rPr>
          <w:rFonts w:hint="eastAsia" w:ascii="仿宋" w:hAnsi="仿宋" w:eastAsia="仿宋" w:cs="仿宋"/>
          <w:b/>
          <w:bCs/>
          <w:color w:val="auto"/>
          <w:sz w:val="28"/>
          <w:szCs w:val="28"/>
          <w:highlight w:val="none"/>
          <w:u w:val="single"/>
        </w:rPr>
        <w:t>日</w:t>
      </w:r>
      <w:r>
        <w:rPr>
          <w:rFonts w:hint="eastAsia" w:ascii="仿宋" w:hAnsi="仿宋" w:eastAsia="仿宋" w:cs="仿宋"/>
          <w:b/>
          <w:color w:val="auto"/>
          <w:sz w:val="30"/>
          <w:szCs w:val="30"/>
          <w:highlight w:val="none"/>
          <w:u w:val="single"/>
        </w:rPr>
        <w:t xml:space="preserve">        </w:t>
      </w:r>
      <w:r>
        <w:rPr>
          <w:rFonts w:ascii="仿宋" w:hAnsi="仿宋" w:eastAsia="仿宋" w:cs="仿宋"/>
          <w:b/>
          <w:color w:val="auto"/>
          <w:sz w:val="30"/>
          <w:szCs w:val="30"/>
          <w:highlight w:val="none"/>
          <w:u w:val="single"/>
        </w:rPr>
        <w:t xml:space="preserve">     </w:t>
      </w:r>
      <w:r>
        <w:rPr>
          <w:rFonts w:hint="eastAsia" w:ascii="仿宋" w:hAnsi="仿宋" w:eastAsia="仿宋" w:cs="仿宋"/>
          <w:b/>
          <w:color w:val="auto"/>
          <w:sz w:val="30"/>
          <w:szCs w:val="30"/>
          <w:highlight w:val="none"/>
          <w:u w:val="single"/>
        </w:rPr>
        <w:t xml:space="preserve">      </w:t>
      </w:r>
    </w:p>
    <w:p>
      <w:pPr>
        <w:spacing w:before="312" w:beforeLines="100" w:after="312" w:afterLines="100" w:line="520" w:lineRule="exact"/>
        <w:jc w:val="center"/>
        <w:rPr>
          <w:rFonts w:ascii="仿宋" w:hAnsi="仿宋" w:eastAsia="仿宋" w:cs="仿宋"/>
          <w:b/>
          <w:color w:val="auto"/>
          <w:sz w:val="44"/>
          <w:szCs w:val="44"/>
          <w:highlight w:val="none"/>
        </w:rPr>
      </w:pPr>
    </w:p>
    <w:p>
      <w:pPr>
        <w:pStyle w:val="2"/>
        <w:rPr>
          <w:color w:val="auto"/>
          <w:highlight w:val="none"/>
        </w:rPr>
      </w:pPr>
    </w:p>
    <w:p>
      <w:pPr>
        <w:pStyle w:val="2"/>
        <w:rPr>
          <w:color w:val="auto"/>
          <w:highlight w:val="none"/>
        </w:rPr>
      </w:pPr>
    </w:p>
    <w:p>
      <w:pPr>
        <w:spacing w:before="312" w:beforeLines="100" w:after="312" w:afterLines="100" w:line="320" w:lineRule="exact"/>
        <w:rPr>
          <w:rFonts w:ascii="宋体" w:hAnsi="宋体"/>
          <w:b/>
          <w:color w:val="auto"/>
          <w:sz w:val="30"/>
          <w:szCs w:val="30"/>
          <w:highlight w:val="none"/>
        </w:rPr>
      </w:pPr>
    </w:p>
    <w:p>
      <w:pPr>
        <w:spacing w:before="312" w:beforeLines="100" w:after="312" w:afterLines="100" w:line="320" w:lineRule="exact"/>
        <w:rPr>
          <w:rFonts w:ascii="宋体" w:hAnsi="宋体"/>
          <w:b/>
          <w:color w:val="auto"/>
          <w:sz w:val="30"/>
          <w:szCs w:val="30"/>
          <w:highlight w:val="none"/>
        </w:rPr>
      </w:pPr>
    </w:p>
    <w:p>
      <w:pPr>
        <w:pStyle w:val="2"/>
        <w:rPr>
          <w:color w:val="auto"/>
          <w:highlight w:val="none"/>
        </w:rPr>
      </w:pPr>
    </w:p>
    <w:p>
      <w:pPr>
        <w:pStyle w:val="2"/>
        <w:rPr>
          <w:color w:val="auto"/>
          <w:highlight w:val="none"/>
        </w:rPr>
      </w:pPr>
    </w:p>
    <w:p>
      <w:pPr>
        <w:pStyle w:val="2"/>
        <w:rPr>
          <w:color w:val="auto"/>
          <w:highlight w:val="none"/>
        </w:rPr>
      </w:pPr>
    </w:p>
    <w:p>
      <w:pPr>
        <w:pStyle w:val="2"/>
        <w:rPr>
          <w:color w:val="auto"/>
          <w:highlight w:val="none"/>
        </w:rPr>
      </w:pPr>
    </w:p>
    <w:p>
      <w:pPr>
        <w:pStyle w:val="2"/>
        <w:rPr>
          <w:color w:val="auto"/>
          <w:highlight w:val="none"/>
        </w:rPr>
      </w:pPr>
    </w:p>
    <w:p>
      <w:pPr>
        <w:pStyle w:val="2"/>
        <w:rPr>
          <w:color w:val="auto"/>
          <w:highlight w:val="none"/>
        </w:rPr>
      </w:pPr>
    </w:p>
    <w:p>
      <w:pPr>
        <w:pStyle w:val="2"/>
        <w:rPr>
          <w:color w:val="auto"/>
          <w:highlight w:val="none"/>
        </w:rPr>
      </w:pPr>
    </w:p>
    <w:p>
      <w:pPr>
        <w:pStyle w:val="2"/>
        <w:rPr>
          <w:color w:val="auto"/>
          <w:highlight w:val="none"/>
        </w:rPr>
      </w:pPr>
    </w:p>
    <w:p>
      <w:pPr>
        <w:pStyle w:val="2"/>
        <w:rPr>
          <w:color w:val="auto"/>
          <w:highlight w:val="none"/>
        </w:rPr>
      </w:pPr>
    </w:p>
    <w:p>
      <w:pPr>
        <w:pStyle w:val="2"/>
        <w:rPr>
          <w:color w:val="auto"/>
          <w:highlight w:val="none"/>
        </w:rPr>
      </w:pPr>
    </w:p>
    <w:p>
      <w:pPr>
        <w:pStyle w:val="2"/>
        <w:rPr>
          <w:color w:val="auto"/>
          <w:highlight w:val="none"/>
        </w:rPr>
      </w:pPr>
    </w:p>
    <w:p>
      <w:pPr>
        <w:pStyle w:val="2"/>
        <w:rPr>
          <w:color w:val="auto"/>
          <w:highlight w:val="none"/>
        </w:rPr>
      </w:pPr>
    </w:p>
    <w:p>
      <w:pPr>
        <w:pStyle w:val="2"/>
        <w:rPr>
          <w:color w:val="auto"/>
          <w:highlight w:val="none"/>
        </w:rPr>
      </w:pPr>
    </w:p>
    <w:p>
      <w:pPr>
        <w:pStyle w:val="2"/>
        <w:rPr>
          <w:color w:val="auto"/>
          <w:highlight w:val="none"/>
        </w:rPr>
      </w:pPr>
    </w:p>
    <w:p>
      <w:pPr>
        <w:pStyle w:val="2"/>
        <w:rPr>
          <w:color w:val="auto"/>
          <w:highlight w:val="none"/>
        </w:rPr>
      </w:pPr>
    </w:p>
    <w:p>
      <w:pPr>
        <w:pStyle w:val="2"/>
        <w:rPr>
          <w:color w:val="auto"/>
          <w:highlight w:val="none"/>
        </w:rPr>
      </w:pPr>
    </w:p>
    <w:p>
      <w:pPr>
        <w:spacing w:before="312" w:beforeLines="100" w:after="312" w:afterLines="100" w:line="320" w:lineRule="exact"/>
        <w:jc w:val="center"/>
        <w:rPr>
          <w:rFonts w:ascii="宋体" w:hAnsi="宋体"/>
          <w:b/>
          <w:color w:val="auto"/>
          <w:sz w:val="44"/>
          <w:szCs w:val="44"/>
          <w:highlight w:val="none"/>
        </w:rPr>
      </w:pPr>
      <w:r>
        <w:rPr>
          <w:rFonts w:hint="eastAsia" w:ascii="宋体" w:hAnsi="宋体"/>
          <w:b/>
          <w:color w:val="auto"/>
          <w:sz w:val="44"/>
          <w:szCs w:val="44"/>
          <w:highlight w:val="none"/>
        </w:rPr>
        <w:t>服 务 采 购 合</w:t>
      </w:r>
      <w:r>
        <w:rPr>
          <w:rFonts w:ascii="宋体" w:hAnsi="宋体"/>
          <w:b/>
          <w:color w:val="auto"/>
          <w:sz w:val="44"/>
          <w:szCs w:val="44"/>
          <w:highlight w:val="none"/>
        </w:rPr>
        <w:t xml:space="preserve"> </w:t>
      </w:r>
      <w:r>
        <w:rPr>
          <w:rFonts w:hint="eastAsia" w:ascii="宋体" w:hAnsi="宋体"/>
          <w:b/>
          <w:color w:val="auto"/>
          <w:sz w:val="44"/>
          <w:szCs w:val="44"/>
          <w:highlight w:val="none"/>
        </w:rPr>
        <w:t>同</w:t>
      </w:r>
    </w:p>
    <w:p>
      <w:pPr>
        <w:spacing w:before="312" w:beforeLines="100" w:after="312" w:afterLines="100" w:line="320" w:lineRule="exact"/>
        <w:jc w:val="center"/>
        <w:rPr>
          <w:rFonts w:ascii="宋体" w:hAnsi="宋体"/>
          <w:b/>
          <w:color w:val="auto"/>
          <w:sz w:val="30"/>
          <w:szCs w:val="30"/>
          <w:highlight w:val="none"/>
        </w:rPr>
      </w:pPr>
    </w:p>
    <w:p>
      <w:pPr>
        <w:pStyle w:val="2"/>
        <w:rPr>
          <w:color w:val="auto"/>
          <w:highlight w:val="none"/>
        </w:rPr>
      </w:pPr>
    </w:p>
    <w:p>
      <w:pPr>
        <w:spacing w:before="156" w:beforeLines="50" w:line="440" w:lineRule="exact"/>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甲方：海南热带海洋学院            </w:t>
      </w:r>
    </w:p>
    <w:p>
      <w:pPr>
        <w:spacing w:before="156" w:beforeLines="50" w:line="440" w:lineRule="exact"/>
        <w:rPr>
          <w:rFonts w:ascii="仿宋" w:hAnsi="仿宋" w:eastAsia="仿宋" w:cs="仿宋"/>
          <w:b/>
          <w:color w:val="auto"/>
          <w:kern w:val="0"/>
          <w:sz w:val="24"/>
          <w:highlight w:val="none"/>
        </w:rPr>
      </w:pPr>
      <w:r>
        <w:rPr>
          <w:rFonts w:hint="eastAsia" w:ascii="仿宋" w:hAnsi="仿宋" w:eastAsia="仿宋" w:cs="仿宋"/>
          <w:color w:val="auto"/>
          <w:sz w:val="24"/>
          <w:highlight w:val="none"/>
        </w:rPr>
        <w:t>地址：海南省三亚市吉阳区育才路1号</w:t>
      </w:r>
    </w:p>
    <w:p>
      <w:pPr>
        <w:spacing w:before="156" w:beforeLines="50" w:line="440" w:lineRule="exact"/>
        <w:rPr>
          <w:rFonts w:ascii="仿宋" w:hAnsi="仿宋" w:eastAsia="仿宋" w:cs="仿宋"/>
          <w:color w:val="auto"/>
          <w:sz w:val="24"/>
          <w:highlight w:val="none"/>
        </w:rPr>
      </w:pPr>
      <w:r>
        <w:rPr>
          <w:rFonts w:hint="eastAsia" w:ascii="仿宋" w:hAnsi="仿宋" w:eastAsia="仿宋" w:cs="仿宋"/>
          <w:color w:val="auto"/>
          <w:sz w:val="24"/>
          <w:highlight w:val="none"/>
        </w:rPr>
        <w:t>税号：</w:t>
      </w:r>
      <w:r>
        <w:rPr>
          <w:rFonts w:ascii="仿宋" w:hAnsi="仿宋" w:eastAsia="仿宋" w:cs="仿宋"/>
          <w:color w:val="auto"/>
          <w:sz w:val="24"/>
          <w:highlight w:val="none"/>
        </w:rPr>
        <w:t>1246000042877703X7</w:t>
      </w:r>
      <w:r>
        <w:rPr>
          <w:rFonts w:eastAsia="仿宋" w:cs="Calibri"/>
          <w:color w:val="auto"/>
          <w:sz w:val="24"/>
          <w:highlight w:val="none"/>
        </w:rPr>
        <w:t> </w:t>
      </w:r>
    </w:p>
    <w:p>
      <w:pPr>
        <w:spacing w:before="156" w:beforeLines="50" w:line="440" w:lineRule="exact"/>
        <w:rPr>
          <w:rFonts w:ascii="仿宋" w:hAnsi="仿宋" w:eastAsia="仿宋" w:cs="仿宋"/>
          <w:color w:val="auto"/>
          <w:sz w:val="24"/>
          <w:highlight w:val="none"/>
        </w:rPr>
      </w:pPr>
      <w:r>
        <w:rPr>
          <w:rFonts w:hint="eastAsia" w:ascii="仿宋" w:hAnsi="仿宋" w:eastAsia="仿宋" w:cs="仿宋"/>
          <w:color w:val="auto"/>
          <w:sz w:val="24"/>
          <w:highlight w:val="none"/>
        </w:rPr>
        <w:t>开户银行：</w:t>
      </w:r>
      <w:r>
        <w:rPr>
          <w:rFonts w:ascii="仿宋" w:hAnsi="仿宋" w:eastAsia="仿宋" w:cs="仿宋"/>
          <w:color w:val="auto"/>
          <w:sz w:val="24"/>
          <w:highlight w:val="none"/>
        </w:rPr>
        <w:t>海南农村商业银行股份有限公司三亚琼大支行</w:t>
      </w:r>
    </w:p>
    <w:p>
      <w:pPr>
        <w:spacing w:before="156" w:beforeLines="50" w:line="440" w:lineRule="exact"/>
        <w:rPr>
          <w:rFonts w:ascii="仿宋" w:hAnsi="仿宋" w:eastAsia="仿宋" w:cs="仿宋"/>
          <w:color w:val="auto"/>
          <w:sz w:val="24"/>
          <w:highlight w:val="none"/>
        </w:rPr>
      </w:pPr>
      <w:r>
        <w:rPr>
          <w:rFonts w:hint="eastAsia" w:ascii="仿宋" w:hAnsi="仿宋" w:eastAsia="仿宋" w:cs="仿宋"/>
          <w:color w:val="auto"/>
          <w:sz w:val="24"/>
          <w:highlight w:val="none"/>
        </w:rPr>
        <w:t>账号：1005835900001783</w:t>
      </w:r>
    </w:p>
    <w:p>
      <w:pPr>
        <w:spacing w:before="156" w:beforeLines="50" w:line="440" w:lineRule="exact"/>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乙方： </w:t>
      </w:r>
    </w:p>
    <w:p>
      <w:pPr>
        <w:spacing w:before="156" w:beforeLines="50" w:line="440" w:lineRule="exact"/>
        <w:rPr>
          <w:rFonts w:ascii="仿宋" w:hAnsi="仿宋" w:eastAsia="仿宋" w:cs="仿宋"/>
          <w:color w:val="auto"/>
          <w:sz w:val="24"/>
          <w:highlight w:val="none"/>
        </w:rPr>
      </w:pPr>
      <w:r>
        <w:rPr>
          <w:rFonts w:hint="eastAsia" w:ascii="仿宋" w:hAnsi="仿宋" w:eastAsia="仿宋" w:cs="仿宋"/>
          <w:color w:val="auto"/>
          <w:sz w:val="24"/>
          <w:highlight w:val="none"/>
        </w:rPr>
        <w:t xml:space="preserve">地址： </w:t>
      </w:r>
    </w:p>
    <w:p>
      <w:pPr>
        <w:spacing w:before="156" w:beforeLines="50" w:line="440" w:lineRule="exact"/>
        <w:rPr>
          <w:rFonts w:ascii="仿宋" w:hAnsi="仿宋" w:eastAsia="仿宋" w:cs="仿宋"/>
          <w:color w:val="auto"/>
          <w:sz w:val="24"/>
          <w:highlight w:val="none"/>
        </w:rPr>
      </w:pPr>
      <w:r>
        <w:rPr>
          <w:rFonts w:hint="eastAsia" w:ascii="仿宋" w:hAnsi="仿宋" w:eastAsia="仿宋" w:cs="仿宋"/>
          <w:color w:val="auto"/>
          <w:sz w:val="24"/>
          <w:highlight w:val="none"/>
        </w:rPr>
        <w:t>税号：</w:t>
      </w:r>
      <w:r>
        <w:rPr>
          <w:rFonts w:ascii="仿宋" w:hAnsi="仿宋" w:eastAsia="仿宋" w:cs="仿宋"/>
          <w:color w:val="auto"/>
          <w:sz w:val="28"/>
          <w:szCs w:val="28"/>
          <w:highlight w:val="none"/>
        </w:rPr>
        <w:t xml:space="preserve"> </w:t>
      </w:r>
    </w:p>
    <w:p>
      <w:pPr>
        <w:spacing w:before="156" w:beforeLines="50" w:line="440" w:lineRule="exact"/>
        <w:rPr>
          <w:rFonts w:ascii="仿宋" w:hAnsi="仿宋" w:eastAsia="仿宋" w:cs="仿宋"/>
          <w:color w:val="auto"/>
          <w:sz w:val="24"/>
          <w:highlight w:val="none"/>
        </w:rPr>
      </w:pPr>
      <w:r>
        <w:rPr>
          <w:rFonts w:hint="eastAsia" w:ascii="仿宋" w:hAnsi="仿宋" w:eastAsia="仿宋" w:cs="仿宋"/>
          <w:color w:val="auto"/>
          <w:sz w:val="24"/>
          <w:highlight w:val="none"/>
        </w:rPr>
        <w:t xml:space="preserve">开户银行： </w:t>
      </w:r>
    </w:p>
    <w:p>
      <w:pPr>
        <w:spacing w:before="156" w:beforeLines="50" w:line="440" w:lineRule="exact"/>
        <w:rPr>
          <w:rFonts w:ascii="仿宋" w:hAnsi="仿宋" w:eastAsia="仿宋" w:cs="仿宋"/>
          <w:color w:val="auto"/>
          <w:sz w:val="24"/>
          <w:highlight w:val="none"/>
        </w:rPr>
      </w:pPr>
      <w:r>
        <w:rPr>
          <w:rFonts w:hint="eastAsia" w:ascii="仿宋" w:hAnsi="仿宋" w:eastAsia="仿宋" w:cs="仿宋"/>
          <w:color w:val="auto"/>
          <w:sz w:val="24"/>
          <w:highlight w:val="none"/>
        </w:rPr>
        <w:t>账号：</w:t>
      </w:r>
      <w:r>
        <w:rPr>
          <w:rFonts w:ascii="仿宋" w:hAnsi="仿宋" w:eastAsia="仿宋" w:cs="仿宋"/>
          <w:color w:val="auto"/>
          <w:sz w:val="28"/>
          <w:szCs w:val="28"/>
          <w:highlight w:val="none"/>
        </w:rPr>
        <w:t xml:space="preserve"> </w:t>
      </w:r>
    </w:p>
    <w:p>
      <w:pPr>
        <w:spacing w:before="156" w:beforeLines="50" w:line="440" w:lineRule="exact"/>
        <w:rPr>
          <w:rFonts w:ascii="仿宋" w:hAnsi="仿宋" w:eastAsia="仿宋" w:cs="仿宋"/>
          <w:color w:val="auto"/>
          <w:sz w:val="24"/>
          <w:highlight w:val="none"/>
        </w:rPr>
      </w:pPr>
      <w:r>
        <w:rPr>
          <w:rFonts w:hint="eastAsia" w:ascii="仿宋" w:hAnsi="仿宋" w:eastAsia="仿宋" w:cs="仿宋"/>
          <w:color w:val="auto"/>
          <w:sz w:val="24"/>
          <w:highlight w:val="none"/>
        </w:rPr>
        <w:t xml:space="preserve"> </w:t>
      </w:r>
      <w:r>
        <w:rPr>
          <w:rFonts w:ascii="仿宋" w:hAnsi="仿宋" w:eastAsia="仿宋" w:cs="仿宋"/>
          <w:color w:val="auto"/>
          <w:sz w:val="24"/>
          <w:highlight w:val="none"/>
        </w:rPr>
        <w:t xml:space="preserve">      </w:t>
      </w:r>
    </w:p>
    <w:p>
      <w:pPr>
        <w:pStyle w:val="2"/>
        <w:ind w:firstLine="640"/>
        <w:rPr>
          <w:color w:val="auto"/>
          <w:highlight w:val="none"/>
        </w:rPr>
      </w:pPr>
      <w:r>
        <w:rPr>
          <w:rFonts w:hint="eastAsia"/>
          <w:color w:val="auto"/>
          <w:highlight w:val="none"/>
        </w:rPr>
        <w:t xml:space="preserve"> </w:t>
      </w:r>
      <w:r>
        <w:rPr>
          <w:color w:val="auto"/>
          <w:highlight w:val="none"/>
        </w:rPr>
        <w:t xml:space="preserve"> </w:t>
      </w:r>
    </w:p>
    <w:p>
      <w:pPr>
        <w:spacing w:before="156" w:beforeLines="50" w:line="440" w:lineRule="exact"/>
        <w:ind w:firstLine="480" w:firstLineChars="200"/>
        <w:jc w:val="left"/>
        <w:rPr>
          <w:rFonts w:ascii="仿宋" w:hAnsi="仿宋" w:eastAsia="仿宋" w:cs="仿宋"/>
          <w:color w:val="auto"/>
          <w:sz w:val="24"/>
          <w:highlight w:val="none"/>
        </w:rPr>
      </w:pPr>
      <w:r>
        <w:rPr>
          <w:rFonts w:hint="eastAsia" w:ascii="仿宋" w:hAnsi="仿宋" w:eastAsia="仿宋" w:cs="仿宋"/>
          <w:color w:val="auto"/>
          <w:sz w:val="24"/>
          <w:highlight w:val="none"/>
        </w:rPr>
        <w:t>为了维护甲、乙双方合法权益，根据《中华人民共和国民法典》《中华人民共和国招标投标法》《中华人民共和国政府采购法》和</w:t>
      </w:r>
      <w:r>
        <w:rPr>
          <w:rFonts w:hint="eastAsia" w:ascii="仿宋" w:hAnsi="仿宋" w:eastAsia="仿宋" w:cs="仿宋"/>
          <w:color w:val="auto"/>
          <w:sz w:val="24"/>
          <w:highlight w:val="none"/>
          <w:u w:val="single"/>
        </w:rPr>
        <w:t>海南热带海洋学院三亚校区部分卫生保洁、绿化养护等物业服务项目（</w:t>
      </w:r>
      <w:r>
        <w:rPr>
          <w:rFonts w:ascii="仿宋" w:hAnsi="仿宋" w:eastAsia="仿宋" w:cs="仿宋"/>
          <w:color w:val="auto"/>
          <w:sz w:val="24"/>
          <w:highlight w:val="none"/>
          <w:u w:val="single"/>
        </w:rPr>
        <w:t xml:space="preserve">2025-2028 </w:t>
      </w:r>
      <w:r>
        <w:rPr>
          <w:rFonts w:hint="eastAsia" w:ascii="仿宋" w:hAnsi="仿宋" w:eastAsia="仿宋" w:cs="仿宋"/>
          <w:color w:val="auto"/>
          <w:sz w:val="24"/>
          <w:highlight w:val="none"/>
          <w:u w:val="single"/>
        </w:rPr>
        <w:t>年度）采购项目</w:t>
      </w:r>
      <w:r>
        <w:rPr>
          <w:rFonts w:hint="eastAsia" w:ascii="仿宋" w:hAnsi="仿宋" w:eastAsia="仿宋" w:cs="仿宋"/>
          <w:color w:val="auto"/>
          <w:sz w:val="24"/>
          <w:highlight w:val="none"/>
        </w:rPr>
        <w:t>的招标采购评审结果，</w:t>
      </w:r>
      <w:r>
        <w:rPr>
          <w:rFonts w:hint="eastAsia" w:ascii="仿宋" w:hAnsi="仿宋" w:eastAsia="仿宋" w:cs="仿宋"/>
          <w:color w:val="auto"/>
          <w:sz w:val="24"/>
          <w:highlight w:val="none"/>
          <w:u w:val="single"/>
        </w:rPr>
        <w:t>海南热带海洋学院</w:t>
      </w:r>
      <w:r>
        <w:rPr>
          <w:rFonts w:hint="eastAsia" w:ascii="仿宋" w:hAnsi="仿宋" w:eastAsia="仿宋" w:cs="仿宋"/>
          <w:color w:val="auto"/>
          <w:sz w:val="24"/>
          <w:highlight w:val="none"/>
        </w:rPr>
        <w:t>（甲方）与</w:t>
      </w:r>
      <w:r>
        <w:rPr>
          <w:rFonts w:hint="eastAsia" w:ascii="仿宋" w:hAnsi="仿宋" w:eastAsia="仿宋" w:cs="仿宋"/>
          <w:b/>
          <w:color w:val="auto"/>
          <w:sz w:val="24"/>
          <w:highlight w:val="none"/>
          <w:u w:val="single"/>
        </w:rPr>
        <w:t xml:space="preserve"> </w:t>
      </w:r>
      <w:r>
        <w:rPr>
          <w:rFonts w:hint="eastAsia" w:ascii="仿宋" w:hAnsi="仿宋" w:eastAsia="仿宋" w:cs="仿宋"/>
          <w:color w:val="auto"/>
          <w:kern w:val="0"/>
          <w:sz w:val="24"/>
          <w:highlight w:val="none"/>
          <w:u w:val="single"/>
        </w:rPr>
        <w:t xml:space="preserve"> </w:t>
      </w:r>
      <w:r>
        <w:rPr>
          <w:rFonts w:ascii="仿宋" w:hAnsi="仿宋" w:eastAsia="仿宋" w:cs="仿宋"/>
          <w:color w:val="auto"/>
          <w:kern w:val="0"/>
          <w:sz w:val="24"/>
          <w:highlight w:val="none"/>
          <w:u w:val="single"/>
        </w:rPr>
        <w:t xml:space="preserve">                      </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（乙方）经协商在平等自愿的基础上订立本合同。</w:t>
      </w:r>
    </w:p>
    <w:p>
      <w:pPr>
        <w:spacing w:line="440" w:lineRule="exact"/>
        <w:ind w:firstLine="481" w:firstLineChars="200"/>
        <w:jc w:val="left"/>
        <w:rPr>
          <w:rFonts w:ascii="仿宋" w:hAnsi="仿宋" w:eastAsia="仿宋" w:cs="仿宋"/>
          <w:b/>
          <w:color w:val="auto"/>
          <w:sz w:val="24"/>
          <w:highlight w:val="none"/>
        </w:rPr>
      </w:pPr>
      <w:r>
        <w:rPr>
          <w:rFonts w:hint="eastAsia" w:ascii="仿宋" w:hAnsi="仿宋" w:eastAsia="仿宋" w:cs="仿宋"/>
          <w:b/>
          <w:color w:val="auto"/>
          <w:sz w:val="24"/>
          <w:highlight w:val="none"/>
        </w:rPr>
        <w:t>一、项目情况</w:t>
      </w:r>
    </w:p>
    <w:p>
      <w:pPr>
        <w:pStyle w:val="8"/>
        <w:spacing w:line="480" w:lineRule="exact"/>
        <w:ind w:firstLine="480"/>
        <w:rPr>
          <w:rFonts w:ascii="仿宋" w:hAnsi="仿宋" w:eastAsia="仿宋" w:cs="仿宋"/>
          <w:color w:val="auto"/>
          <w:sz w:val="24"/>
          <w:highlight w:val="none"/>
        </w:rPr>
      </w:pPr>
      <w:r>
        <w:rPr>
          <w:rFonts w:hint="eastAsia" w:ascii="仿宋" w:hAnsi="仿宋" w:eastAsia="仿宋" w:cs="仿宋"/>
          <w:color w:val="auto"/>
          <w:sz w:val="24"/>
          <w:highlight w:val="none"/>
        </w:rPr>
        <w:t>1.项目名称：海南热带海洋学院三亚校区部分卫生保洁、绿化养护等物业服务项目（</w:t>
      </w:r>
      <w:r>
        <w:rPr>
          <w:rFonts w:ascii="仿宋" w:hAnsi="仿宋" w:eastAsia="仿宋" w:cs="仿宋"/>
          <w:color w:val="auto"/>
          <w:sz w:val="24"/>
          <w:highlight w:val="none"/>
        </w:rPr>
        <w:t>2025-2028</w:t>
      </w:r>
      <w:r>
        <w:rPr>
          <w:rFonts w:hint="eastAsia" w:ascii="仿宋" w:hAnsi="仿宋" w:eastAsia="仿宋" w:cs="仿宋"/>
          <w:color w:val="auto"/>
          <w:sz w:val="24"/>
          <w:highlight w:val="none"/>
        </w:rPr>
        <w:t>年度）</w:t>
      </w:r>
    </w:p>
    <w:p>
      <w:pPr>
        <w:pStyle w:val="8"/>
        <w:spacing w:line="480" w:lineRule="exact"/>
        <w:ind w:firstLine="480"/>
        <w:rPr>
          <w:rFonts w:ascii="仿宋" w:hAnsi="仿宋" w:eastAsia="仿宋" w:cs="仿宋"/>
          <w:color w:val="auto"/>
          <w:sz w:val="24"/>
          <w:highlight w:val="none"/>
        </w:rPr>
      </w:pPr>
      <w:r>
        <w:rPr>
          <w:rFonts w:hint="eastAsia" w:ascii="仿宋" w:hAnsi="仿宋" w:eastAsia="仿宋" w:cs="仿宋"/>
          <w:color w:val="auto"/>
          <w:sz w:val="24"/>
          <w:highlight w:val="none"/>
        </w:rPr>
        <w:t>2.服务范围：</w:t>
      </w:r>
    </w:p>
    <w:tbl>
      <w:tblPr>
        <w:tblStyle w:val="6"/>
        <w:tblW w:w="8217" w:type="dxa"/>
        <w:tblInd w:w="113" w:type="dxa"/>
        <w:tblLayout w:type="autofit"/>
        <w:tblCellMar>
          <w:top w:w="0" w:type="dxa"/>
          <w:left w:w="108" w:type="dxa"/>
          <w:bottom w:w="0" w:type="dxa"/>
          <w:right w:w="108" w:type="dxa"/>
        </w:tblCellMar>
      </w:tblPr>
      <w:tblGrid>
        <w:gridCol w:w="846"/>
        <w:gridCol w:w="709"/>
        <w:gridCol w:w="992"/>
        <w:gridCol w:w="3118"/>
        <w:gridCol w:w="1276"/>
        <w:gridCol w:w="1276"/>
      </w:tblGrid>
      <w:tr>
        <w:tblPrEx>
          <w:tblCellMar>
            <w:top w:w="0" w:type="dxa"/>
            <w:left w:w="108" w:type="dxa"/>
            <w:bottom w:w="0" w:type="dxa"/>
            <w:right w:w="108" w:type="dxa"/>
          </w:tblCellMar>
        </w:tblPrEx>
        <w:trPr>
          <w:trHeight w:val="270" w:hRule="atLeast"/>
        </w:trPr>
        <w:tc>
          <w:tcPr>
            <w:tcW w:w="84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auto"/>
                <w:kern w:val="0"/>
                <w:sz w:val="22"/>
                <w:szCs w:val="22"/>
                <w:highlight w:val="none"/>
              </w:rPr>
            </w:pPr>
            <w:r>
              <w:rPr>
                <w:rFonts w:hint="eastAsia" w:ascii="宋体" w:hAnsi="宋体" w:cs="宋体"/>
                <w:color w:val="auto"/>
                <w:kern w:val="0"/>
                <w:sz w:val="22"/>
                <w:szCs w:val="22"/>
                <w:highlight w:val="none"/>
              </w:rPr>
              <w:t>序号</w:t>
            </w:r>
          </w:p>
        </w:tc>
        <w:tc>
          <w:tcPr>
            <w:tcW w:w="1701" w:type="dxa"/>
            <w:gridSpan w:val="2"/>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auto"/>
                <w:kern w:val="0"/>
                <w:sz w:val="22"/>
                <w:szCs w:val="22"/>
                <w:highlight w:val="none"/>
              </w:rPr>
            </w:pPr>
            <w:r>
              <w:rPr>
                <w:rFonts w:hint="eastAsia" w:ascii="宋体" w:hAnsi="宋体" w:cs="宋体"/>
                <w:color w:val="auto"/>
                <w:kern w:val="0"/>
                <w:sz w:val="22"/>
                <w:szCs w:val="22"/>
                <w:highlight w:val="none"/>
              </w:rPr>
              <w:t>服务内容</w:t>
            </w:r>
          </w:p>
        </w:tc>
        <w:tc>
          <w:tcPr>
            <w:tcW w:w="3118"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auto"/>
                <w:kern w:val="0"/>
                <w:sz w:val="22"/>
                <w:szCs w:val="22"/>
                <w:highlight w:val="none"/>
              </w:rPr>
            </w:pPr>
            <w:r>
              <w:rPr>
                <w:rFonts w:hint="eastAsia" w:ascii="宋体" w:hAnsi="宋体" w:cs="宋体"/>
                <w:color w:val="auto"/>
                <w:kern w:val="0"/>
                <w:sz w:val="22"/>
                <w:szCs w:val="22"/>
                <w:highlight w:val="none"/>
              </w:rPr>
              <w:t>区域</w:t>
            </w:r>
          </w:p>
        </w:tc>
        <w:tc>
          <w:tcPr>
            <w:tcW w:w="1276"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auto"/>
                <w:kern w:val="0"/>
                <w:sz w:val="22"/>
                <w:szCs w:val="22"/>
                <w:highlight w:val="none"/>
              </w:rPr>
            </w:pPr>
            <w:r>
              <w:rPr>
                <w:rFonts w:hint="eastAsia" w:ascii="宋体" w:hAnsi="宋体" w:cs="宋体"/>
                <w:color w:val="auto"/>
                <w:kern w:val="0"/>
                <w:sz w:val="22"/>
                <w:szCs w:val="22"/>
                <w:highlight w:val="none"/>
              </w:rPr>
              <w:t>面积（㎡）</w:t>
            </w:r>
          </w:p>
        </w:tc>
        <w:tc>
          <w:tcPr>
            <w:tcW w:w="1276"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auto"/>
                <w:kern w:val="0"/>
                <w:sz w:val="22"/>
                <w:szCs w:val="22"/>
                <w:highlight w:val="none"/>
              </w:rPr>
            </w:pPr>
            <w:r>
              <w:rPr>
                <w:rFonts w:hint="eastAsia" w:ascii="宋体" w:hAnsi="宋体" w:cs="宋体"/>
                <w:color w:val="auto"/>
                <w:kern w:val="0"/>
                <w:sz w:val="22"/>
                <w:szCs w:val="22"/>
                <w:highlight w:val="none"/>
              </w:rPr>
              <w:t>备注</w:t>
            </w:r>
          </w:p>
        </w:tc>
      </w:tr>
      <w:tr>
        <w:tblPrEx>
          <w:tblCellMar>
            <w:top w:w="0" w:type="dxa"/>
            <w:left w:w="108" w:type="dxa"/>
            <w:bottom w:w="0" w:type="dxa"/>
            <w:right w:w="108" w:type="dxa"/>
          </w:tblCellMar>
        </w:tblPrEx>
        <w:trPr>
          <w:trHeight w:val="312" w:hRule="atLeast"/>
        </w:trPr>
        <w:tc>
          <w:tcPr>
            <w:tcW w:w="846" w:type="dxa"/>
            <w:vMerge w:val="restart"/>
            <w:tcBorders>
              <w:top w:val="nil"/>
              <w:left w:val="single" w:color="auto" w:sz="4" w:space="0"/>
              <w:bottom w:val="single" w:color="auto" w:sz="4" w:space="0"/>
              <w:right w:val="single" w:color="auto" w:sz="4" w:space="0"/>
            </w:tcBorders>
            <w:noWrap/>
            <w:vAlign w:val="center"/>
          </w:tcPr>
          <w:p>
            <w:pPr>
              <w:widowControl/>
              <w:jc w:val="right"/>
              <w:rPr>
                <w:rFonts w:ascii="宋体" w:hAnsi="宋体" w:cs="宋体"/>
                <w:color w:val="auto"/>
                <w:kern w:val="0"/>
                <w:sz w:val="22"/>
                <w:szCs w:val="22"/>
                <w:highlight w:val="none"/>
              </w:rPr>
            </w:pPr>
            <w:r>
              <w:rPr>
                <w:rFonts w:hint="eastAsia" w:ascii="宋体" w:hAnsi="宋体" w:cs="宋体"/>
                <w:color w:val="auto"/>
                <w:kern w:val="0"/>
                <w:sz w:val="22"/>
                <w:szCs w:val="22"/>
                <w:highlight w:val="none"/>
              </w:rPr>
              <w:t>1</w:t>
            </w:r>
          </w:p>
        </w:tc>
        <w:tc>
          <w:tcPr>
            <w:tcW w:w="709" w:type="dxa"/>
            <w:vMerge w:val="restart"/>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color w:val="auto"/>
                <w:kern w:val="0"/>
                <w:sz w:val="22"/>
                <w:szCs w:val="22"/>
                <w:highlight w:val="none"/>
              </w:rPr>
            </w:pPr>
            <w:r>
              <w:rPr>
                <w:rFonts w:hint="eastAsia" w:ascii="宋体" w:hAnsi="宋体" w:cs="宋体"/>
                <w:color w:val="auto"/>
                <w:kern w:val="0"/>
                <w:sz w:val="22"/>
                <w:szCs w:val="22"/>
                <w:highlight w:val="none"/>
              </w:rPr>
              <w:t>卫生保洁</w:t>
            </w:r>
          </w:p>
        </w:tc>
        <w:tc>
          <w:tcPr>
            <w:tcW w:w="992" w:type="dxa"/>
            <w:vMerge w:val="restart"/>
            <w:tcBorders>
              <w:top w:val="nil"/>
              <w:left w:val="single" w:color="auto" w:sz="4" w:space="0"/>
              <w:bottom w:val="single" w:color="000000" w:sz="4" w:space="0"/>
              <w:right w:val="single" w:color="auto" w:sz="4" w:space="0"/>
            </w:tcBorders>
            <w:noWrap/>
            <w:vAlign w:val="center"/>
          </w:tcPr>
          <w:p>
            <w:pPr>
              <w:widowControl/>
              <w:jc w:val="left"/>
              <w:rPr>
                <w:rFonts w:ascii="宋体" w:hAnsi="宋体" w:cs="宋体"/>
                <w:color w:val="auto"/>
                <w:kern w:val="0"/>
                <w:sz w:val="22"/>
                <w:szCs w:val="22"/>
                <w:highlight w:val="none"/>
              </w:rPr>
            </w:pPr>
            <w:r>
              <w:rPr>
                <w:rFonts w:hint="eastAsia" w:ascii="宋体" w:hAnsi="宋体" w:cs="宋体"/>
                <w:color w:val="auto"/>
                <w:kern w:val="0"/>
                <w:sz w:val="22"/>
                <w:szCs w:val="22"/>
                <w:highlight w:val="none"/>
              </w:rPr>
              <w:t>建筑的室内公共区域</w:t>
            </w:r>
          </w:p>
        </w:tc>
        <w:tc>
          <w:tcPr>
            <w:tcW w:w="311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22"/>
                <w:szCs w:val="22"/>
                <w:highlight w:val="none"/>
              </w:rPr>
            </w:pPr>
          </w:p>
        </w:tc>
        <w:tc>
          <w:tcPr>
            <w:tcW w:w="127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22"/>
                <w:szCs w:val="22"/>
                <w:highlight w:val="none"/>
              </w:rPr>
            </w:pPr>
          </w:p>
        </w:tc>
        <w:tc>
          <w:tcPr>
            <w:tcW w:w="127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22"/>
                <w:szCs w:val="22"/>
                <w:highlight w:val="none"/>
              </w:rPr>
            </w:pPr>
          </w:p>
        </w:tc>
      </w:tr>
      <w:tr>
        <w:tblPrEx>
          <w:tblCellMar>
            <w:top w:w="0" w:type="dxa"/>
            <w:left w:w="108" w:type="dxa"/>
            <w:bottom w:w="0" w:type="dxa"/>
            <w:right w:w="108" w:type="dxa"/>
          </w:tblCellMar>
        </w:tblPrEx>
        <w:trPr>
          <w:trHeight w:val="285" w:hRule="atLeast"/>
        </w:trPr>
        <w:tc>
          <w:tcPr>
            <w:tcW w:w="846"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22"/>
                <w:szCs w:val="22"/>
                <w:highlight w:val="none"/>
              </w:rPr>
            </w:pPr>
          </w:p>
        </w:tc>
        <w:tc>
          <w:tcPr>
            <w:tcW w:w="709"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22"/>
                <w:szCs w:val="22"/>
                <w:highlight w:val="none"/>
              </w:rPr>
            </w:pPr>
          </w:p>
        </w:tc>
        <w:tc>
          <w:tcPr>
            <w:tcW w:w="992"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auto"/>
                <w:kern w:val="0"/>
                <w:sz w:val="22"/>
                <w:szCs w:val="22"/>
                <w:highlight w:val="none"/>
              </w:rPr>
            </w:pPr>
          </w:p>
        </w:tc>
        <w:tc>
          <w:tcPr>
            <w:tcW w:w="3118" w:type="dxa"/>
            <w:tcBorders>
              <w:top w:val="nil"/>
              <w:left w:val="nil"/>
              <w:bottom w:val="single" w:color="auto" w:sz="4" w:space="0"/>
              <w:right w:val="single" w:color="auto" w:sz="4" w:space="0"/>
            </w:tcBorders>
            <w:noWrap/>
            <w:vAlign w:val="center"/>
          </w:tcPr>
          <w:p>
            <w:pPr>
              <w:widowControl/>
              <w:jc w:val="left"/>
              <w:rPr>
                <w:rFonts w:ascii="宋体" w:hAnsi="宋体" w:cs="宋体"/>
                <w:color w:val="auto"/>
                <w:kern w:val="0"/>
                <w:sz w:val="22"/>
                <w:szCs w:val="22"/>
                <w:highlight w:val="none"/>
              </w:rPr>
            </w:pPr>
            <w:r>
              <w:rPr>
                <w:rFonts w:hint="eastAsia" w:ascii="宋体" w:hAnsi="宋体" w:cs="宋体"/>
                <w:color w:val="auto"/>
                <w:kern w:val="0"/>
                <w:sz w:val="22"/>
                <w:szCs w:val="22"/>
                <w:highlight w:val="none"/>
              </w:rPr>
              <w:t>行政楼</w:t>
            </w:r>
          </w:p>
        </w:tc>
        <w:tc>
          <w:tcPr>
            <w:tcW w:w="1276" w:type="dxa"/>
            <w:tcBorders>
              <w:top w:val="nil"/>
              <w:left w:val="nil"/>
              <w:bottom w:val="single" w:color="auto" w:sz="4" w:space="0"/>
              <w:right w:val="single" w:color="auto" w:sz="4" w:space="0"/>
            </w:tcBorders>
            <w:noWrap/>
            <w:vAlign w:val="center"/>
          </w:tcPr>
          <w:p>
            <w:pPr>
              <w:widowControl/>
              <w:jc w:val="right"/>
              <w:rPr>
                <w:rFonts w:ascii="宋体" w:hAnsi="宋体" w:cs="宋体"/>
                <w:color w:val="auto"/>
                <w:kern w:val="0"/>
                <w:sz w:val="24"/>
                <w:highlight w:val="none"/>
              </w:rPr>
            </w:pPr>
            <w:r>
              <w:rPr>
                <w:rFonts w:hint="eastAsia" w:ascii="宋体" w:hAnsi="宋体" w:cs="宋体"/>
                <w:color w:val="auto"/>
                <w:kern w:val="0"/>
                <w:sz w:val="24"/>
                <w:highlight w:val="none"/>
              </w:rPr>
              <w:t>8959</w:t>
            </w:r>
          </w:p>
        </w:tc>
        <w:tc>
          <w:tcPr>
            <w:tcW w:w="1276" w:type="dxa"/>
            <w:vMerge w:val="restart"/>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color w:val="auto"/>
                <w:kern w:val="0"/>
                <w:sz w:val="22"/>
                <w:szCs w:val="22"/>
                <w:highlight w:val="none"/>
              </w:rPr>
            </w:pPr>
            <w:r>
              <w:rPr>
                <w:rFonts w:hint="eastAsia" w:ascii="宋体" w:hAnsi="宋体" w:cs="宋体"/>
                <w:color w:val="auto"/>
                <w:kern w:val="0"/>
                <w:sz w:val="22"/>
                <w:szCs w:val="22"/>
                <w:highlight w:val="none"/>
              </w:rPr>
              <w:t>建筑面积</w:t>
            </w:r>
          </w:p>
        </w:tc>
      </w:tr>
      <w:tr>
        <w:tblPrEx>
          <w:tblCellMar>
            <w:top w:w="0" w:type="dxa"/>
            <w:left w:w="108" w:type="dxa"/>
            <w:bottom w:w="0" w:type="dxa"/>
            <w:right w:w="108" w:type="dxa"/>
          </w:tblCellMar>
        </w:tblPrEx>
        <w:trPr>
          <w:trHeight w:val="285" w:hRule="atLeast"/>
        </w:trPr>
        <w:tc>
          <w:tcPr>
            <w:tcW w:w="846"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22"/>
                <w:szCs w:val="22"/>
                <w:highlight w:val="none"/>
              </w:rPr>
            </w:pPr>
          </w:p>
        </w:tc>
        <w:tc>
          <w:tcPr>
            <w:tcW w:w="709"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22"/>
                <w:szCs w:val="22"/>
                <w:highlight w:val="none"/>
              </w:rPr>
            </w:pPr>
          </w:p>
        </w:tc>
        <w:tc>
          <w:tcPr>
            <w:tcW w:w="992"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auto"/>
                <w:kern w:val="0"/>
                <w:sz w:val="22"/>
                <w:szCs w:val="22"/>
                <w:highlight w:val="none"/>
              </w:rPr>
            </w:pPr>
          </w:p>
        </w:tc>
        <w:tc>
          <w:tcPr>
            <w:tcW w:w="3118" w:type="dxa"/>
            <w:tcBorders>
              <w:top w:val="nil"/>
              <w:left w:val="nil"/>
              <w:bottom w:val="single" w:color="auto" w:sz="4" w:space="0"/>
              <w:right w:val="single" w:color="auto" w:sz="4" w:space="0"/>
            </w:tcBorders>
            <w:noWrap/>
            <w:vAlign w:val="center"/>
          </w:tcPr>
          <w:p>
            <w:pPr>
              <w:widowControl/>
              <w:jc w:val="left"/>
              <w:rPr>
                <w:rFonts w:ascii="宋体" w:hAnsi="宋体" w:cs="宋体"/>
                <w:color w:val="auto"/>
                <w:kern w:val="0"/>
                <w:sz w:val="22"/>
                <w:szCs w:val="22"/>
                <w:highlight w:val="none"/>
              </w:rPr>
            </w:pPr>
            <w:r>
              <w:rPr>
                <w:rFonts w:hint="eastAsia" w:ascii="宋体" w:hAnsi="宋体" w:cs="宋体"/>
                <w:color w:val="auto"/>
                <w:kern w:val="0"/>
                <w:sz w:val="22"/>
                <w:szCs w:val="22"/>
                <w:highlight w:val="none"/>
              </w:rPr>
              <w:t>第二食堂地下室</w:t>
            </w:r>
          </w:p>
        </w:tc>
        <w:tc>
          <w:tcPr>
            <w:tcW w:w="1276" w:type="dxa"/>
            <w:tcBorders>
              <w:top w:val="nil"/>
              <w:left w:val="nil"/>
              <w:bottom w:val="single" w:color="auto" w:sz="4" w:space="0"/>
              <w:right w:val="single" w:color="auto" w:sz="4" w:space="0"/>
            </w:tcBorders>
            <w:noWrap/>
            <w:vAlign w:val="center"/>
          </w:tcPr>
          <w:p>
            <w:pPr>
              <w:widowControl/>
              <w:jc w:val="right"/>
              <w:rPr>
                <w:rFonts w:ascii="宋体" w:hAnsi="宋体" w:cs="宋体"/>
                <w:color w:val="auto"/>
                <w:kern w:val="0"/>
                <w:sz w:val="24"/>
                <w:highlight w:val="none"/>
              </w:rPr>
            </w:pPr>
            <w:r>
              <w:rPr>
                <w:rFonts w:hint="eastAsia" w:ascii="宋体" w:hAnsi="宋体" w:cs="宋体"/>
                <w:color w:val="auto"/>
                <w:kern w:val="0"/>
                <w:sz w:val="24"/>
                <w:highlight w:val="none"/>
              </w:rPr>
              <w:t>7959</w:t>
            </w:r>
          </w:p>
        </w:tc>
        <w:tc>
          <w:tcPr>
            <w:tcW w:w="1276"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22"/>
                <w:szCs w:val="22"/>
                <w:highlight w:val="none"/>
              </w:rPr>
            </w:pPr>
          </w:p>
        </w:tc>
      </w:tr>
      <w:tr>
        <w:tblPrEx>
          <w:tblCellMar>
            <w:top w:w="0" w:type="dxa"/>
            <w:left w:w="108" w:type="dxa"/>
            <w:bottom w:w="0" w:type="dxa"/>
            <w:right w:w="108" w:type="dxa"/>
          </w:tblCellMar>
        </w:tblPrEx>
        <w:trPr>
          <w:trHeight w:val="285" w:hRule="atLeast"/>
        </w:trPr>
        <w:tc>
          <w:tcPr>
            <w:tcW w:w="846"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22"/>
                <w:szCs w:val="22"/>
                <w:highlight w:val="none"/>
              </w:rPr>
            </w:pPr>
          </w:p>
        </w:tc>
        <w:tc>
          <w:tcPr>
            <w:tcW w:w="709"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22"/>
                <w:szCs w:val="22"/>
                <w:highlight w:val="none"/>
              </w:rPr>
            </w:pPr>
          </w:p>
        </w:tc>
        <w:tc>
          <w:tcPr>
            <w:tcW w:w="992"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auto"/>
                <w:kern w:val="0"/>
                <w:sz w:val="22"/>
                <w:szCs w:val="22"/>
                <w:highlight w:val="none"/>
              </w:rPr>
            </w:pPr>
          </w:p>
        </w:tc>
        <w:tc>
          <w:tcPr>
            <w:tcW w:w="3118" w:type="dxa"/>
            <w:tcBorders>
              <w:top w:val="nil"/>
              <w:left w:val="nil"/>
              <w:bottom w:val="single" w:color="auto" w:sz="4" w:space="0"/>
              <w:right w:val="single" w:color="auto" w:sz="4" w:space="0"/>
            </w:tcBorders>
            <w:noWrap/>
            <w:vAlign w:val="center"/>
          </w:tcPr>
          <w:p>
            <w:pPr>
              <w:widowControl/>
              <w:jc w:val="left"/>
              <w:rPr>
                <w:rFonts w:ascii="宋体" w:hAnsi="宋体" w:cs="宋体"/>
                <w:color w:val="auto"/>
                <w:kern w:val="0"/>
                <w:sz w:val="22"/>
                <w:szCs w:val="22"/>
                <w:highlight w:val="none"/>
              </w:rPr>
            </w:pPr>
            <w:r>
              <w:rPr>
                <w:rFonts w:hint="eastAsia" w:ascii="宋体" w:hAnsi="宋体" w:cs="宋体"/>
                <w:color w:val="auto"/>
                <w:kern w:val="0"/>
                <w:sz w:val="22"/>
                <w:szCs w:val="22"/>
                <w:highlight w:val="none"/>
              </w:rPr>
              <w:t>教学楼6号</w:t>
            </w:r>
          </w:p>
        </w:tc>
        <w:tc>
          <w:tcPr>
            <w:tcW w:w="1276" w:type="dxa"/>
            <w:tcBorders>
              <w:top w:val="nil"/>
              <w:left w:val="nil"/>
              <w:bottom w:val="single" w:color="auto" w:sz="4" w:space="0"/>
              <w:right w:val="single" w:color="auto" w:sz="4" w:space="0"/>
            </w:tcBorders>
            <w:noWrap/>
            <w:vAlign w:val="center"/>
          </w:tcPr>
          <w:p>
            <w:pPr>
              <w:widowControl/>
              <w:jc w:val="right"/>
              <w:rPr>
                <w:rFonts w:ascii="宋体" w:hAnsi="宋体" w:cs="宋体"/>
                <w:color w:val="auto"/>
                <w:kern w:val="0"/>
                <w:sz w:val="24"/>
                <w:highlight w:val="none"/>
              </w:rPr>
            </w:pPr>
            <w:r>
              <w:rPr>
                <w:rFonts w:hint="eastAsia" w:ascii="宋体" w:hAnsi="宋体" w:cs="宋体"/>
                <w:color w:val="auto"/>
                <w:kern w:val="0"/>
                <w:sz w:val="24"/>
                <w:highlight w:val="none"/>
              </w:rPr>
              <w:t>15876</w:t>
            </w:r>
          </w:p>
        </w:tc>
        <w:tc>
          <w:tcPr>
            <w:tcW w:w="1276"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22"/>
                <w:szCs w:val="22"/>
                <w:highlight w:val="none"/>
              </w:rPr>
            </w:pPr>
          </w:p>
        </w:tc>
      </w:tr>
      <w:tr>
        <w:tblPrEx>
          <w:tblCellMar>
            <w:top w:w="0" w:type="dxa"/>
            <w:left w:w="108" w:type="dxa"/>
            <w:bottom w:w="0" w:type="dxa"/>
            <w:right w:w="108" w:type="dxa"/>
          </w:tblCellMar>
        </w:tblPrEx>
        <w:trPr>
          <w:trHeight w:val="285" w:hRule="atLeast"/>
        </w:trPr>
        <w:tc>
          <w:tcPr>
            <w:tcW w:w="846"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22"/>
                <w:szCs w:val="22"/>
                <w:highlight w:val="none"/>
              </w:rPr>
            </w:pPr>
          </w:p>
        </w:tc>
        <w:tc>
          <w:tcPr>
            <w:tcW w:w="709"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22"/>
                <w:szCs w:val="22"/>
                <w:highlight w:val="none"/>
              </w:rPr>
            </w:pPr>
          </w:p>
        </w:tc>
        <w:tc>
          <w:tcPr>
            <w:tcW w:w="992"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auto"/>
                <w:kern w:val="0"/>
                <w:sz w:val="22"/>
                <w:szCs w:val="22"/>
                <w:highlight w:val="none"/>
              </w:rPr>
            </w:pPr>
          </w:p>
        </w:tc>
        <w:tc>
          <w:tcPr>
            <w:tcW w:w="3118" w:type="dxa"/>
            <w:tcBorders>
              <w:top w:val="nil"/>
              <w:left w:val="nil"/>
              <w:bottom w:val="single" w:color="auto" w:sz="4" w:space="0"/>
              <w:right w:val="single" w:color="auto" w:sz="4" w:space="0"/>
            </w:tcBorders>
            <w:noWrap/>
            <w:vAlign w:val="center"/>
          </w:tcPr>
          <w:p>
            <w:pPr>
              <w:widowControl/>
              <w:jc w:val="left"/>
              <w:rPr>
                <w:rFonts w:ascii="宋体" w:hAnsi="宋体" w:cs="宋体"/>
                <w:color w:val="auto"/>
                <w:kern w:val="0"/>
                <w:sz w:val="22"/>
                <w:szCs w:val="22"/>
                <w:highlight w:val="none"/>
              </w:rPr>
            </w:pPr>
            <w:r>
              <w:rPr>
                <w:rFonts w:hint="eastAsia" w:ascii="宋体" w:hAnsi="宋体" w:cs="宋体"/>
                <w:color w:val="auto"/>
                <w:kern w:val="0"/>
                <w:sz w:val="22"/>
                <w:szCs w:val="22"/>
                <w:highlight w:val="none"/>
              </w:rPr>
              <w:t>教学楼7号</w:t>
            </w:r>
          </w:p>
        </w:tc>
        <w:tc>
          <w:tcPr>
            <w:tcW w:w="1276" w:type="dxa"/>
            <w:tcBorders>
              <w:top w:val="nil"/>
              <w:left w:val="nil"/>
              <w:bottom w:val="single" w:color="auto" w:sz="4" w:space="0"/>
              <w:right w:val="single" w:color="auto" w:sz="4" w:space="0"/>
            </w:tcBorders>
            <w:noWrap w:val="0"/>
            <w:vAlign w:val="center"/>
          </w:tcPr>
          <w:p>
            <w:pPr>
              <w:widowControl/>
              <w:jc w:val="right"/>
              <w:rPr>
                <w:rFonts w:ascii="宋体" w:hAnsi="宋体" w:cs="宋体"/>
                <w:color w:val="auto"/>
                <w:kern w:val="0"/>
                <w:sz w:val="24"/>
                <w:highlight w:val="none"/>
              </w:rPr>
            </w:pPr>
            <w:r>
              <w:rPr>
                <w:rFonts w:hint="eastAsia" w:ascii="宋体" w:hAnsi="宋体" w:cs="宋体"/>
                <w:color w:val="auto"/>
                <w:kern w:val="0"/>
                <w:sz w:val="24"/>
                <w:highlight w:val="none"/>
              </w:rPr>
              <w:t xml:space="preserve">18753 </w:t>
            </w:r>
          </w:p>
        </w:tc>
        <w:tc>
          <w:tcPr>
            <w:tcW w:w="1276"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22"/>
                <w:szCs w:val="22"/>
                <w:highlight w:val="none"/>
              </w:rPr>
            </w:pPr>
          </w:p>
        </w:tc>
      </w:tr>
      <w:tr>
        <w:tblPrEx>
          <w:tblCellMar>
            <w:top w:w="0" w:type="dxa"/>
            <w:left w:w="108" w:type="dxa"/>
            <w:bottom w:w="0" w:type="dxa"/>
            <w:right w:w="108" w:type="dxa"/>
          </w:tblCellMar>
        </w:tblPrEx>
        <w:trPr>
          <w:trHeight w:val="285" w:hRule="atLeast"/>
        </w:trPr>
        <w:tc>
          <w:tcPr>
            <w:tcW w:w="846"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22"/>
                <w:szCs w:val="22"/>
                <w:highlight w:val="none"/>
              </w:rPr>
            </w:pPr>
          </w:p>
        </w:tc>
        <w:tc>
          <w:tcPr>
            <w:tcW w:w="709"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22"/>
                <w:szCs w:val="22"/>
                <w:highlight w:val="none"/>
              </w:rPr>
            </w:pPr>
          </w:p>
        </w:tc>
        <w:tc>
          <w:tcPr>
            <w:tcW w:w="992"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auto"/>
                <w:kern w:val="0"/>
                <w:sz w:val="22"/>
                <w:szCs w:val="22"/>
                <w:highlight w:val="none"/>
              </w:rPr>
            </w:pPr>
          </w:p>
        </w:tc>
        <w:tc>
          <w:tcPr>
            <w:tcW w:w="3118" w:type="dxa"/>
            <w:tcBorders>
              <w:top w:val="nil"/>
              <w:left w:val="nil"/>
              <w:bottom w:val="single" w:color="auto" w:sz="4" w:space="0"/>
              <w:right w:val="single" w:color="auto" w:sz="4" w:space="0"/>
            </w:tcBorders>
            <w:noWrap/>
            <w:vAlign w:val="center"/>
          </w:tcPr>
          <w:p>
            <w:pPr>
              <w:widowControl/>
              <w:jc w:val="left"/>
              <w:rPr>
                <w:rFonts w:ascii="宋体" w:hAnsi="宋体" w:cs="宋体"/>
                <w:color w:val="auto"/>
                <w:kern w:val="0"/>
                <w:sz w:val="22"/>
                <w:szCs w:val="22"/>
                <w:highlight w:val="none"/>
              </w:rPr>
            </w:pPr>
            <w:r>
              <w:rPr>
                <w:rFonts w:hint="eastAsia" w:ascii="宋体" w:hAnsi="宋体" w:cs="宋体"/>
                <w:color w:val="auto"/>
                <w:kern w:val="0"/>
                <w:sz w:val="22"/>
                <w:szCs w:val="22"/>
                <w:highlight w:val="none"/>
              </w:rPr>
              <w:t>教学楼8号</w:t>
            </w:r>
          </w:p>
        </w:tc>
        <w:tc>
          <w:tcPr>
            <w:tcW w:w="1276" w:type="dxa"/>
            <w:tcBorders>
              <w:top w:val="nil"/>
              <w:left w:val="nil"/>
              <w:bottom w:val="single" w:color="auto" w:sz="4" w:space="0"/>
              <w:right w:val="single" w:color="auto" w:sz="4" w:space="0"/>
            </w:tcBorders>
            <w:noWrap w:val="0"/>
            <w:vAlign w:val="center"/>
          </w:tcPr>
          <w:p>
            <w:pPr>
              <w:widowControl/>
              <w:jc w:val="right"/>
              <w:rPr>
                <w:rFonts w:ascii="宋体" w:hAnsi="宋体" w:cs="宋体"/>
                <w:color w:val="auto"/>
                <w:kern w:val="0"/>
                <w:sz w:val="24"/>
                <w:highlight w:val="none"/>
              </w:rPr>
            </w:pPr>
            <w:r>
              <w:rPr>
                <w:rFonts w:hint="eastAsia" w:ascii="宋体" w:hAnsi="宋体" w:cs="宋体"/>
                <w:color w:val="auto"/>
                <w:kern w:val="0"/>
                <w:sz w:val="24"/>
                <w:highlight w:val="none"/>
              </w:rPr>
              <w:t xml:space="preserve">20884 </w:t>
            </w:r>
          </w:p>
        </w:tc>
        <w:tc>
          <w:tcPr>
            <w:tcW w:w="1276"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22"/>
                <w:szCs w:val="22"/>
                <w:highlight w:val="none"/>
              </w:rPr>
            </w:pPr>
          </w:p>
        </w:tc>
      </w:tr>
      <w:tr>
        <w:tblPrEx>
          <w:tblCellMar>
            <w:top w:w="0" w:type="dxa"/>
            <w:left w:w="108" w:type="dxa"/>
            <w:bottom w:w="0" w:type="dxa"/>
            <w:right w:w="108" w:type="dxa"/>
          </w:tblCellMar>
        </w:tblPrEx>
        <w:trPr>
          <w:trHeight w:val="285" w:hRule="atLeast"/>
        </w:trPr>
        <w:tc>
          <w:tcPr>
            <w:tcW w:w="846"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22"/>
                <w:szCs w:val="22"/>
                <w:highlight w:val="none"/>
              </w:rPr>
            </w:pPr>
          </w:p>
        </w:tc>
        <w:tc>
          <w:tcPr>
            <w:tcW w:w="709"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22"/>
                <w:szCs w:val="22"/>
                <w:highlight w:val="none"/>
              </w:rPr>
            </w:pPr>
          </w:p>
        </w:tc>
        <w:tc>
          <w:tcPr>
            <w:tcW w:w="992"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auto"/>
                <w:kern w:val="0"/>
                <w:sz w:val="22"/>
                <w:szCs w:val="22"/>
                <w:highlight w:val="none"/>
              </w:rPr>
            </w:pPr>
          </w:p>
        </w:tc>
        <w:tc>
          <w:tcPr>
            <w:tcW w:w="3118" w:type="dxa"/>
            <w:tcBorders>
              <w:top w:val="nil"/>
              <w:left w:val="nil"/>
              <w:bottom w:val="single" w:color="auto" w:sz="4" w:space="0"/>
              <w:right w:val="single" w:color="auto" w:sz="4" w:space="0"/>
            </w:tcBorders>
            <w:noWrap w:val="0"/>
            <w:vAlign w:val="center"/>
          </w:tcPr>
          <w:p>
            <w:pPr>
              <w:widowControl/>
              <w:jc w:val="left"/>
              <w:rPr>
                <w:rFonts w:ascii="宋体" w:hAnsi="宋体" w:cs="宋体"/>
                <w:color w:val="auto"/>
                <w:kern w:val="0"/>
                <w:sz w:val="22"/>
                <w:szCs w:val="22"/>
                <w:highlight w:val="none"/>
              </w:rPr>
            </w:pPr>
            <w:r>
              <w:rPr>
                <w:rFonts w:hint="eastAsia" w:ascii="宋体" w:hAnsi="宋体" w:cs="宋体"/>
                <w:color w:val="auto"/>
                <w:kern w:val="0"/>
                <w:sz w:val="22"/>
                <w:szCs w:val="22"/>
                <w:highlight w:val="none"/>
              </w:rPr>
              <w:t>教学楼9号</w:t>
            </w:r>
          </w:p>
        </w:tc>
        <w:tc>
          <w:tcPr>
            <w:tcW w:w="1276" w:type="dxa"/>
            <w:tcBorders>
              <w:top w:val="nil"/>
              <w:left w:val="nil"/>
              <w:bottom w:val="single" w:color="auto" w:sz="4" w:space="0"/>
              <w:right w:val="single" w:color="auto" w:sz="4" w:space="0"/>
            </w:tcBorders>
            <w:noWrap w:val="0"/>
            <w:vAlign w:val="center"/>
          </w:tcPr>
          <w:p>
            <w:pPr>
              <w:widowControl/>
              <w:jc w:val="right"/>
              <w:rPr>
                <w:rFonts w:ascii="宋体" w:hAnsi="宋体" w:cs="宋体"/>
                <w:color w:val="auto"/>
                <w:kern w:val="0"/>
                <w:sz w:val="24"/>
                <w:highlight w:val="none"/>
              </w:rPr>
            </w:pPr>
            <w:r>
              <w:rPr>
                <w:rFonts w:hint="eastAsia" w:ascii="宋体" w:hAnsi="宋体" w:cs="宋体"/>
                <w:color w:val="auto"/>
                <w:kern w:val="0"/>
                <w:sz w:val="24"/>
                <w:highlight w:val="none"/>
              </w:rPr>
              <w:t xml:space="preserve">14482 </w:t>
            </w:r>
          </w:p>
        </w:tc>
        <w:tc>
          <w:tcPr>
            <w:tcW w:w="1276"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22"/>
                <w:szCs w:val="22"/>
                <w:highlight w:val="none"/>
              </w:rPr>
            </w:pPr>
          </w:p>
        </w:tc>
      </w:tr>
      <w:tr>
        <w:tblPrEx>
          <w:tblCellMar>
            <w:top w:w="0" w:type="dxa"/>
            <w:left w:w="108" w:type="dxa"/>
            <w:bottom w:w="0" w:type="dxa"/>
            <w:right w:w="108" w:type="dxa"/>
          </w:tblCellMar>
        </w:tblPrEx>
        <w:trPr>
          <w:trHeight w:val="285" w:hRule="atLeast"/>
        </w:trPr>
        <w:tc>
          <w:tcPr>
            <w:tcW w:w="846"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22"/>
                <w:szCs w:val="22"/>
                <w:highlight w:val="none"/>
              </w:rPr>
            </w:pPr>
          </w:p>
        </w:tc>
        <w:tc>
          <w:tcPr>
            <w:tcW w:w="709"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22"/>
                <w:szCs w:val="22"/>
                <w:highlight w:val="none"/>
              </w:rPr>
            </w:pPr>
          </w:p>
        </w:tc>
        <w:tc>
          <w:tcPr>
            <w:tcW w:w="992"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auto"/>
                <w:kern w:val="0"/>
                <w:sz w:val="22"/>
                <w:szCs w:val="22"/>
                <w:highlight w:val="none"/>
              </w:rPr>
            </w:pPr>
          </w:p>
        </w:tc>
        <w:tc>
          <w:tcPr>
            <w:tcW w:w="3118" w:type="dxa"/>
            <w:tcBorders>
              <w:top w:val="nil"/>
              <w:left w:val="nil"/>
              <w:bottom w:val="single" w:color="auto" w:sz="4" w:space="0"/>
              <w:right w:val="single" w:color="auto" w:sz="4" w:space="0"/>
            </w:tcBorders>
            <w:noWrap w:val="0"/>
            <w:vAlign w:val="center"/>
          </w:tcPr>
          <w:p>
            <w:pPr>
              <w:widowControl/>
              <w:jc w:val="left"/>
              <w:rPr>
                <w:rFonts w:ascii="宋体" w:hAnsi="宋体" w:cs="宋体"/>
                <w:color w:val="auto"/>
                <w:kern w:val="0"/>
                <w:sz w:val="22"/>
                <w:szCs w:val="22"/>
                <w:highlight w:val="none"/>
              </w:rPr>
            </w:pPr>
            <w:r>
              <w:rPr>
                <w:rFonts w:hint="eastAsia" w:ascii="宋体" w:hAnsi="宋体" w:cs="宋体"/>
                <w:color w:val="auto"/>
                <w:kern w:val="0"/>
                <w:sz w:val="22"/>
                <w:szCs w:val="22"/>
                <w:highlight w:val="none"/>
              </w:rPr>
              <w:t>艺术楼</w:t>
            </w:r>
          </w:p>
        </w:tc>
        <w:tc>
          <w:tcPr>
            <w:tcW w:w="1276" w:type="dxa"/>
            <w:tcBorders>
              <w:top w:val="nil"/>
              <w:left w:val="nil"/>
              <w:bottom w:val="single" w:color="auto" w:sz="4" w:space="0"/>
              <w:right w:val="single" w:color="auto" w:sz="4" w:space="0"/>
            </w:tcBorders>
            <w:noWrap w:val="0"/>
            <w:vAlign w:val="center"/>
          </w:tcPr>
          <w:p>
            <w:pPr>
              <w:widowControl/>
              <w:jc w:val="right"/>
              <w:rPr>
                <w:rFonts w:ascii="宋体" w:hAnsi="宋体" w:cs="宋体"/>
                <w:color w:val="auto"/>
                <w:kern w:val="0"/>
                <w:sz w:val="24"/>
                <w:highlight w:val="none"/>
              </w:rPr>
            </w:pPr>
            <w:r>
              <w:rPr>
                <w:rFonts w:hint="eastAsia" w:ascii="宋体" w:hAnsi="宋体" w:cs="宋体"/>
                <w:color w:val="auto"/>
                <w:kern w:val="0"/>
                <w:sz w:val="24"/>
                <w:highlight w:val="none"/>
              </w:rPr>
              <w:t xml:space="preserve">19355 </w:t>
            </w:r>
          </w:p>
        </w:tc>
        <w:tc>
          <w:tcPr>
            <w:tcW w:w="1276"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22"/>
                <w:szCs w:val="22"/>
                <w:highlight w:val="none"/>
              </w:rPr>
            </w:pPr>
          </w:p>
        </w:tc>
      </w:tr>
      <w:tr>
        <w:tblPrEx>
          <w:tblCellMar>
            <w:top w:w="0" w:type="dxa"/>
            <w:left w:w="108" w:type="dxa"/>
            <w:bottom w:w="0" w:type="dxa"/>
            <w:right w:w="108" w:type="dxa"/>
          </w:tblCellMar>
        </w:tblPrEx>
        <w:trPr>
          <w:trHeight w:val="285" w:hRule="atLeast"/>
        </w:trPr>
        <w:tc>
          <w:tcPr>
            <w:tcW w:w="846"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22"/>
                <w:szCs w:val="22"/>
                <w:highlight w:val="none"/>
              </w:rPr>
            </w:pPr>
          </w:p>
        </w:tc>
        <w:tc>
          <w:tcPr>
            <w:tcW w:w="709"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22"/>
                <w:szCs w:val="22"/>
                <w:highlight w:val="none"/>
              </w:rPr>
            </w:pPr>
          </w:p>
        </w:tc>
        <w:tc>
          <w:tcPr>
            <w:tcW w:w="992"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auto"/>
                <w:kern w:val="0"/>
                <w:sz w:val="22"/>
                <w:szCs w:val="22"/>
                <w:highlight w:val="none"/>
              </w:rPr>
            </w:pPr>
          </w:p>
        </w:tc>
        <w:tc>
          <w:tcPr>
            <w:tcW w:w="3118" w:type="dxa"/>
            <w:tcBorders>
              <w:top w:val="nil"/>
              <w:left w:val="nil"/>
              <w:bottom w:val="single" w:color="auto" w:sz="4" w:space="0"/>
              <w:right w:val="single" w:color="auto" w:sz="4" w:space="0"/>
            </w:tcBorders>
            <w:noWrap w:val="0"/>
            <w:vAlign w:val="center"/>
          </w:tcPr>
          <w:p>
            <w:pPr>
              <w:widowControl/>
              <w:jc w:val="left"/>
              <w:rPr>
                <w:rFonts w:ascii="宋体" w:hAnsi="宋体" w:cs="宋体"/>
                <w:color w:val="auto"/>
                <w:kern w:val="0"/>
                <w:sz w:val="22"/>
                <w:szCs w:val="22"/>
                <w:highlight w:val="none"/>
              </w:rPr>
            </w:pPr>
            <w:r>
              <w:rPr>
                <w:rFonts w:hint="eastAsia" w:ascii="宋体" w:hAnsi="宋体" w:cs="宋体"/>
                <w:color w:val="auto"/>
                <w:kern w:val="0"/>
                <w:sz w:val="22"/>
                <w:szCs w:val="22"/>
                <w:highlight w:val="none"/>
              </w:rPr>
              <w:t>图书馆</w:t>
            </w:r>
          </w:p>
        </w:tc>
        <w:tc>
          <w:tcPr>
            <w:tcW w:w="1276" w:type="dxa"/>
            <w:tcBorders>
              <w:top w:val="nil"/>
              <w:left w:val="nil"/>
              <w:bottom w:val="single" w:color="auto" w:sz="4" w:space="0"/>
              <w:right w:val="single" w:color="auto" w:sz="4" w:space="0"/>
            </w:tcBorders>
            <w:noWrap w:val="0"/>
            <w:vAlign w:val="center"/>
          </w:tcPr>
          <w:p>
            <w:pPr>
              <w:widowControl/>
              <w:jc w:val="right"/>
              <w:rPr>
                <w:rFonts w:ascii="宋体" w:hAnsi="宋体" w:cs="宋体"/>
                <w:color w:val="auto"/>
                <w:kern w:val="0"/>
                <w:sz w:val="24"/>
                <w:highlight w:val="none"/>
              </w:rPr>
            </w:pPr>
            <w:r>
              <w:rPr>
                <w:rFonts w:hint="eastAsia" w:ascii="宋体" w:hAnsi="宋体" w:cs="宋体"/>
                <w:color w:val="auto"/>
                <w:kern w:val="0"/>
                <w:sz w:val="24"/>
                <w:highlight w:val="none"/>
              </w:rPr>
              <w:t xml:space="preserve">31871 </w:t>
            </w:r>
          </w:p>
        </w:tc>
        <w:tc>
          <w:tcPr>
            <w:tcW w:w="1276"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22"/>
                <w:szCs w:val="22"/>
                <w:highlight w:val="none"/>
              </w:rPr>
            </w:pPr>
          </w:p>
        </w:tc>
      </w:tr>
      <w:tr>
        <w:tblPrEx>
          <w:tblCellMar>
            <w:top w:w="0" w:type="dxa"/>
            <w:left w:w="108" w:type="dxa"/>
            <w:bottom w:w="0" w:type="dxa"/>
            <w:right w:w="108" w:type="dxa"/>
          </w:tblCellMar>
        </w:tblPrEx>
        <w:trPr>
          <w:trHeight w:val="285" w:hRule="atLeast"/>
        </w:trPr>
        <w:tc>
          <w:tcPr>
            <w:tcW w:w="846"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22"/>
                <w:szCs w:val="22"/>
                <w:highlight w:val="none"/>
              </w:rPr>
            </w:pPr>
          </w:p>
        </w:tc>
        <w:tc>
          <w:tcPr>
            <w:tcW w:w="709"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22"/>
                <w:szCs w:val="22"/>
                <w:highlight w:val="none"/>
              </w:rPr>
            </w:pPr>
          </w:p>
        </w:tc>
        <w:tc>
          <w:tcPr>
            <w:tcW w:w="992"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auto"/>
                <w:kern w:val="0"/>
                <w:sz w:val="22"/>
                <w:szCs w:val="22"/>
                <w:highlight w:val="none"/>
              </w:rPr>
            </w:pPr>
          </w:p>
        </w:tc>
        <w:tc>
          <w:tcPr>
            <w:tcW w:w="3118" w:type="dxa"/>
            <w:tcBorders>
              <w:top w:val="nil"/>
              <w:left w:val="nil"/>
              <w:bottom w:val="single" w:color="auto" w:sz="4" w:space="0"/>
              <w:right w:val="single" w:color="auto" w:sz="4" w:space="0"/>
            </w:tcBorders>
            <w:noWrap/>
            <w:vAlign w:val="center"/>
          </w:tcPr>
          <w:p>
            <w:pPr>
              <w:widowControl/>
              <w:jc w:val="left"/>
              <w:rPr>
                <w:rFonts w:ascii="宋体" w:hAnsi="宋体" w:cs="宋体"/>
                <w:color w:val="auto"/>
                <w:kern w:val="0"/>
                <w:sz w:val="22"/>
                <w:szCs w:val="22"/>
                <w:highlight w:val="none"/>
              </w:rPr>
            </w:pPr>
            <w:r>
              <w:rPr>
                <w:rFonts w:hint="eastAsia" w:ascii="宋体" w:hAnsi="宋体" w:cs="宋体"/>
                <w:color w:val="auto"/>
                <w:kern w:val="0"/>
                <w:sz w:val="22"/>
                <w:szCs w:val="22"/>
                <w:highlight w:val="none"/>
              </w:rPr>
              <w:t>人文社科楼</w:t>
            </w:r>
          </w:p>
        </w:tc>
        <w:tc>
          <w:tcPr>
            <w:tcW w:w="1276" w:type="dxa"/>
            <w:tcBorders>
              <w:top w:val="nil"/>
              <w:left w:val="nil"/>
              <w:bottom w:val="single" w:color="auto" w:sz="4" w:space="0"/>
              <w:right w:val="single" w:color="auto" w:sz="4" w:space="0"/>
            </w:tcBorders>
            <w:noWrap/>
            <w:vAlign w:val="center"/>
          </w:tcPr>
          <w:p>
            <w:pPr>
              <w:widowControl/>
              <w:jc w:val="right"/>
              <w:rPr>
                <w:rFonts w:ascii="宋体" w:hAnsi="宋体" w:cs="宋体"/>
                <w:color w:val="auto"/>
                <w:kern w:val="0"/>
                <w:sz w:val="24"/>
                <w:highlight w:val="none"/>
              </w:rPr>
            </w:pPr>
            <w:r>
              <w:rPr>
                <w:rFonts w:hint="eastAsia" w:ascii="宋体" w:hAnsi="宋体" w:cs="宋体"/>
                <w:color w:val="auto"/>
                <w:kern w:val="0"/>
                <w:sz w:val="24"/>
                <w:highlight w:val="none"/>
              </w:rPr>
              <w:t>15022</w:t>
            </w:r>
          </w:p>
        </w:tc>
        <w:tc>
          <w:tcPr>
            <w:tcW w:w="1276"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22"/>
                <w:szCs w:val="22"/>
                <w:highlight w:val="none"/>
              </w:rPr>
            </w:pPr>
          </w:p>
        </w:tc>
      </w:tr>
      <w:tr>
        <w:tblPrEx>
          <w:tblCellMar>
            <w:top w:w="0" w:type="dxa"/>
            <w:left w:w="108" w:type="dxa"/>
            <w:bottom w:w="0" w:type="dxa"/>
            <w:right w:w="108" w:type="dxa"/>
          </w:tblCellMar>
        </w:tblPrEx>
        <w:trPr>
          <w:trHeight w:val="285" w:hRule="atLeast"/>
        </w:trPr>
        <w:tc>
          <w:tcPr>
            <w:tcW w:w="846"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22"/>
                <w:szCs w:val="22"/>
                <w:highlight w:val="none"/>
              </w:rPr>
            </w:pPr>
          </w:p>
        </w:tc>
        <w:tc>
          <w:tcPr>
            <w:tcW w:w="709"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22"/>
                <w:szCs w:val="22"/>
                <w:highlight w:val="none"/>
              </w:rPr>
            </w:pPr>
          </w:p>
        </w:tc>
        <w:tc>
          <w:tcPr>
            <w:tcW w:w="992"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auto"/>
                <w:kern w:val="0"/>
                <w:sz w:val="22"/>
                <w:szCs w:val="22"/>
                <w:highlight w:val="none"/>
              </w:rPr>
            </w:pPr>
          </w:p>
        </w:tc>
        <w:tc>
          <w:tcPr>
            <w:tcW w:w="3118" w:type="dxa"/>
            <w:tcBorders>
              <w:top w:val="nil"/>
              <w:left w:val="nil"/>
              <w:bottom w:val="nil"/>
              <w:right w:val="single" w:color="auto" w:sz="4" w:space="0"/>
            </w:tcBorders>
            <w:noWrap w:val="0"/>
            <w:vAlign w:val="center"/>
          </w:tcPr>
          <w:p>
            <w:pPr>
              <w:widowControl/>
              <w:jc w:val="left"/>
              <w:rPr>
                <w:rFonts w:ascii="宋体" w:hAnsi="宋体" w:cs="宋体"/>
                <w:color w:val="auto"/>
                <w:kern w:val="0"/>
                <w:sz w:val="22"/>
                <w:szCs w:val="22"/>
                <w:highlight w:val="none"/>
              </w:rPr>
            </w:pPr>
            <w:r>
              <w:rPr>
                <w:rFonts w:hint="eastAsia" w:ascii="宋体" w:hAnsi="宋体" w:cs="宋体"/>
                <w:color w:val="auto"/>
                <w:kern w:val="0"/>
                <w:sz w:val="22"/>
                <w:szCs w:val="22"/>
                <w:highlight w:val="none"/>
              </w:rPr>
              <w:t>小计</w:t>
            </w:r>
          </w:p>
        </w:tc>
        <w:tc>
          <w:tcPr>
            <w:tcW w:w="1276" w:type="dxa"/>
            <w:tcBorders>
              <w:top w:val="nil"/>
              <w:left w:val="nil"/>
              <w:bottom w:val="single" w:color="auto" w:sz="4" w:space="0"/>
              <w:right w:val="single" w:color="auto" w:sz="4" w:space="0"/>
            </w:tcBorders>
            <w:noWrap w:val="0"/>
            <w:vAlign w:val="center"/>
          </w:tcPr>
          <w:p>
            <w:pPr>
              <w:widowControl/>
              <w:jc w:val="right"/>
              <w:rPr>
                <w:rFonts w:ascii="宋体" w:hAnsi="宋体" w:cs="宋体"/>
                <w:b/>
                <w:bCs/>
                <w:color w:val="auto"/>
                <w:kern w:val="0"/>
                <w:sz w:val="24"/>
                <w:highlight w:val="none"/>
              </w:rPr>
            </w:pPr>
            <w:r>
              <w:rPr>
                <w:rFonts w:hint="eastAsia" w:ascii="宋体" w:hAnsi="宋体" w:cs="宋体"/>
                <w:b/>
                <w:bCs/>
                <w:color w:val="auto"/>
                <w:kern w:val="0"/>
                <w:sz w:val="24"/>
                <w:highlight w:val="none"/>
              </w:rPr>
              <w:t xml:space="preserve">153162 </w:t>
            </w:r>
          </w:p>
        </w:tc>
        <w:tc>
          <w:tcPr>
            <w:tcW w:w="1276"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22"/>
                <w:szCs w:val="22"/>
                <w:highlight w:val="none"/>
              </w:rPr>
            </w:pPr>
          </w:p>
        </w:tc>
      </w:tr>
      <w:tr>
        <w:tblPrEx>
          <w:tblCellMar>
            <w:top w:w="0" w:type="dxa"/>
            <w:left w:w="108" w:type="dxa"/>
            <w:bottom w:w="0" w:type="dxa"/>
            <w:right w:w="108" w:type="dxa"/>
          </w:tblCellMar>
        </w:tblPrEx>
        <w:trPr>
          <w:trHeight w:val="4305" w:hRule="atLeast"/>
        </w:trPr>
        <w:tc>
          <w:tcPr>
            <w:tcW w:w="846"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22"/>
                <w:szCs w:val="22"/>
                <w:highlight w:val="none"/>
              </w:rPr>
            </w:pPr>
          </w:p>
        </w:tc>
        <w:tc>
          <w:tcPr>
            <w:tcW w:w="709"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22"/>
                <w:szCs w:val="22"/>
                <w:highlight w:val="none"/>
              </w:rPr>
            </w:pPr>
          </w:p>
        </w:tc>
        <w:tc>
          <w:tcPr>
            <w:tcW w:w="992" w:type="dxa"/>
            <w:tcBorders>
              <w:top w:val="nil"/>
              <w:left w:val="nil"/>
              <w:bottom w:val="single" w:color="auto" w:sz="4" w:space="0"/>
              <w:right w:val="single" w:color="auto" w:sz="4" w:space="0"/>
            </w:tcBorders>
            <w:noWrap/>
            <w:vAlign w:val="center"/>
          </w:tcPr>
          <w:p>
            <w:pPr>
              <w:widowControl/>
              <w:jc w:val="left"/>
              <w:rPr>
                <w:rFonts w:ascii="宋体" w:hAnsi="宋体" w:cs="宋体"/>
                <w:color w:val="auto"/>
                <w:kern w:val="0"/>
                <w:sz w:val="22"/>
                <w:szCs w:val="22"/>
                <w:highlight w:val="none"/>
              </w:rPr>
            </w:pPr>
            <w:r>
              <w:rPr>
                <w:rFonts w:hint="eastAsia" w:ascii="宋体" w:hAnsi="宋体" w:cs="宋体"/>
                <w:color w:val="auto"/>
                <w:kern w:val="0"/>
                <w:sz w:val="22"/>
                <w:szCs w:val="22"/>
                <w:highlight w:val="none"/>
              </w:rPr>
              <w:t>室外保洁</w:t>
            </w:r>
          </w:p>
        </w:tc>
        <w:tc>
          <w:tcPr>
            <w:tcW w:w="3118" w:type="dxa"/>
            <w:tcBorders>
              <w:top w:val="single" w:color="auto" w:sz="4" w:space="0"/>
              <w:left w:val="nil"/>
              <w:bottom w:val="single" w:color="auto" w:sz="4" w:space="0"/>
              <w:right w:val="single" w:color="auto" w:sz="4" w:space="0"/>
            </w:tcBorders>
            <w:noWrap w:val="0"/>
            <w:vAlign w:val="center"/>
          </w:tcPr>
          <w:p>
            <w:pPr>
              <w:widowControl/>
              <w:jc w:val="left"/>
              <w:rPr>
                <w:rFonts w:ascii="宋体" w:hAnsi="宋体" w:cs="宋体"/>
                <w:color w:val="auto"/>
                <w:kern w:val="0"/>
                <w:sz w:val="22"/>
                <w:szCs w:val="22"/>
                <w:highlight w:val="none"/>
              </w:rPr>
            </w:pPr>
            <w:r>
              <w:rPr>
                <w:rFonts w:hint="eastAsia" w:ascii="宋体" w:hAnsi="宋体" w:cs="宋体"/>
                <w:color w:val="auto"/>
                <w:kern w:val="0"/>
                <w:sz w:val="22"/>
                <w:szCs w:val="22"/>
                <w:highlight w:val="none"/>
              </w:rPr>
              <w:t>三亚校区已投入使用的全部户外区域保洁（不含教师村、留学生公寓、专家公寓、东盟楼、竹园及花生基地等区域），具体包括学校正门及西门周边，行政楼西北侧广场，行政楼、人文社科楼、艺术教学楼、体育馆、教学楼第6-9幢、图书馆、教学楼3-4幢等建筑室外区域、人工湖环湖区域、高架桥下停车场、第二食堂地下室与东侧小广场、学生宿舍1-9幢内部道路及室外空间、校园主干道等区域的日常保洁，环境维护。</w:t>
            </w:r>
          </w:p>
        </w:tc>
        <w:tc>
          <w:tcPr>
            <w:tcW w:w="1276" w:type="dxa"/>
            <w:tcBorders>
              <w:top w:val="nil"/>
              <w:left w:val="nil"/>
              <w:bottom w:val="single" w:color="auto" w:sz="4" w:space="0"/>
              <w:right w:val="single" w:color="auto" w:sz="4" w:space="0"/>
            </w:tcBorders>
            <w:noWrap w:val="0"/>
            <w:vAlign w:val="center"/>
          </w:tcPr>
          <w:p>
            <w:pPr>
              <w:widowControl/>
              <w:jc w:val="right"/>
              <w:rPr>
                <w:rFonts w:ascii="宋体" w:hAnsi="宋体" w:cs="宋体"/>
                <w:b/>
                <w:bCs/>
                <w:color w:val="auto"/>
                <w:kern w:val="0"/>
                <w:sz w:val="24"/>
                <w:highlight w:val="none"/>
              </w:rPr>
            </w:pPr>
            <w:r>
              <w:rPr>
                <w:rFonts w:hint="eastAsia" w:ascii="宋体" w:hAnsi="宋体" w:cs="宋体"/>
                <w:b/>
                <w:bCs/>
                <w:color w:val="auto"/>
                <w:kern w:val="0"/>
                <w:sz w:val="24"/>
                <w:highlight w:val="none"/>
              </w:rPr>
              <w:t xml:space="preserve">143000 </w:t>
            </w:r>
          </w:p>
        </w:tc>
        <w:tc>
          <w:tcPr>
            <w:tcW w:w="1276" w:type="dxa"/>
            <w:tcBorders>
              <w:top w:val="nil"/>
              <w:left w:val="nil"/>
              <w:bottom w:val="single" w:color="auto" w:sz="4" w:space="0"/>
              <w:right w:val="single" w:color="auto" w:sz="4" w:space="0"/>
            </w:tcBorders>
            <w:noWrap w:val="0"/>
            <w:vAlign w:val="center"/>
          </w:tcPr>
          <w:p>
            <w:pPr>
              <w:widowControl/>
              <w:jc w:val="left"/>
              <w:rPr>
                <w:rFonts w:ascii="宋体" w:hAnsi="宋体" w:cs="宋体"/>
                <w:color w:val="auto"/>
                <w:kern w:val="0"/>
                <w:sz w:val="22"/>
                <w:szCs w:val="22"/>
                <w:highlight w:val="none"/>
              </w:rPr>
            </w:pPr>
            <w:r>
              <w:rPr>
                <w:rFonts w:hint="eastAsia" w:ascii="宋体" w:hAnsi="宋体" w:cs="宋体"/>
                <w:color w:val="auto"/>
                <w:kern w:val="0"/>
                <w:sz w:val="22"/>
                <w:szCs w:val="22"/>
                <w:highlight w:val="none"/>
              </w:rPr>
              <w:t>主要包括：建筑周边、广场、道路、停车场等，其中道路及广场面积约75000㎡</w:t>
            </w:r>
          </w:p>
        </w:tc>
      </w:tr>
      <w:tr>
        <w:tblPrEx>
          <w:tblCellMar>
            <w:top w:w="0" w:type="dxa"/>
            <w:left w:w="108" w:type="dxa"/>
            <w:bottom w:w="0" w:type="dxa"/>
            <w:right w:w="108" w:type="dxa"/>
          </w:tblCellMar>
        </w:tblPrEx>
        <w:trPr>
          <w:trHeight w:val="690" w:hRule="atLeast"/>
        </w:trPr>
        <w:tc>
          <w:tcPr>
            <w:tcW w:w="846"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22"/>
                <w:szCs w:val="22"/>
                <w:highlight w:val="none"/>
              </w:rPr>
            </w:pPr>
          </w:p>
        </w:tc>
        <w:tc>
          <w:tcPr>
            <w:tcW w:w="709"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22"/>
                <w:szCs w:val="22"/>
                <w:highlight w:val="none"/>
              </w:rPr>
            </w:pPr>
          </w:p>
        </w:tc>
        <w:tc>
          <w:tcPr>
            <w:tcW w:w="992" w:type="dxa"/>
            <w:tcBorders>
              <w:top w:val="nil"/>
              <w:left w:val="nil"/>
              <w:bottom w:val="single" w:color="auto" w:sz="4" w:space="0"/>
              <w:right w:val="single" w:color="auto" w:sz="4" w:space="0"/>
            </w:tcBorders>
            <w:noWrap/>
            <w:vAlign w:val="center"/>
          </w:tcPr>
          <w:p>
            <w:pPr>
              <w:widowControl/>
              <w:jc w:val="left"/>
              <w:rPr>
                <w:rFonts w:ascii="宋体" w:hAnsi="宋体" w:cs="宋体"/>
                <w:color w:val="auto"/>
                <w:kern w:val="0"/>
                <w:sz w:val="22"/>
                <w:szCs w:val="22"/>
                <w:highlight w:val="none"/>
              </w:rPr>
            </w:pPr>
            <w:r>
              <w:rPr>
                <w:rFonts w:hint="eastAsia" w:ascii="宋体" w:hAnsi="宋体" w:cs="宋体"/>
                <w:color w:val="auto"/>
                <w:kern w:val="0"/>
                <w:sz w:val="22"/>
                <w:szCs w:val="22"/>
                <w:highlight w:val="none"/>
              </w:rPr>
              <w:t>水系保洁</w:t>
            </w:r>
          </w:p>
        </w:tc>
        <w:tc>
          <w:tcPr>
            <w:tcW w:w="3118" w:type="dxa"/>
            <w:tcBorders>
              <w:top w:val="nil"/>
              <w:left w:val="nil"/>
              <w:bottom w:val="single" w:color="auto" w:sz="4" w:space="0"/>
              <w:right w:val="single" w:color="auto" w:sz="4" w:space="0"/>
            </w:tcBorders>
            <w:noWrap w:val="0"/>
            <w:vAlign w:val="center"/>
          </w:tcPr>
          <w:p>
            <w:pPr>
              <w:widowControl/>
              <w:jc w:val="left"/>
              <w:rPr>
                <w:rFonts w:ascii="宋体" w:hAnsi="宋体" w:cs="宋体"/>
                <w:color w:val="auto"/>
                <w:kern w:val="0"/>
                <w:sz w:val="22"/>
                <w:szCs w:val="22"/>
                <w:highlight w:val="none"/>
              </w:rPr>
            </w:pPr>
            <w:r>
              <w:rPr>
                <w:rFonts w:hint="eastAsia" w:ascii="宋体" w:hAnsi="宋体" w:cs="宋体"/>
                <w:color w:val="auto"/>
                <w:kern w:val="0"/>
                <w:sz w:val="22"/>
                <w:szCs w:val="22"/>
                <w:highlight w:val="none"/>
              </w:rPr>
              <w:t>三亚校区南、北人工湖水域和行政楼景观水池的保洁、环境维护。</w:t>
            </w:r>
          </w:p>
        </w:tc>
        <w:tc>
          <w:tcPr>
            <w:tcW w:w="1276" w:type="dxa"/>
            <w:tcBorders>
              <w:top w:val="nil"/>
              <w:left w:val="nil"/>
              <w:bottom w:val="single" w:color="auto" w:sz="4" w:space="0"/>
              <w:right w:val="single" w:color="auto" w:sz="4" w:space="0"/>
            </w:tcBorders>
            <w:noWrap w:val="0"/>
            <w:vAlign w:val="center"/>
          </w:tcPr>
          <w:p>
            <w:pPr>
              <w:widowControl/>
              <w:jc w:val="right"/>
              <w:rPr>
                <w:rFonts w:ascii="宋体" w:hAnsi="宋体" w:cs="宋体"/>
                <w:b/>
                <w:bCs/>
                <w:color w:val="auto"/>
                <w:kern w:val="0"/>
                <w:sz w:val="24"/>
                <w:highlight w:val="none"/>
              </w:rPr>
            </w:pPr>
            <w:r>
              <w:rPr>
                <w:rFonts w:hint="eastAsia" w:ascii="宋体" w:hAnsi="宋体" w:cs="宋体"/>
                <w:b/>
                <w:bCs/>
                <w:color w:val="auto"/>
                <w:kern w:val="0"/>
                <w:sz w:val="24"/>
                <w:highlight w:val="none"/>
              </w:rPr>
              <w:t xml:space="preserve">38000 </w:t>
            </w:r>
          </w:p>
        </w:tc>
        <w:tc>
          <w:tcPr>
            <w:tcW w:w="1276" w:type="dxa"/>
            <w:tcBorders>
              <w:top w:val="nil"/>
              <w:left w:val="nil"/>
              <w:bottom w:val="single" w:color="auto" w:sz="4" w:space="0"/>
              <w:right w:val="single" w:color="auto" w:sz="4" w:space="0"/>
            </w:tcBorders>
            <w:noWrap/>
            <w:vAlign w:val="center"/>
          </w:tcPr>
          <w:p>
            <w:pPr>
              <w:widowControl/>
              <w:jc w:val="left"/>
              <w:rPr>
                <w:rFonts w:ascii="宋体" w:hAnsi="宋体" w:cs="宋体"/>
                <w:color w:val="auto"/>
                <w:kern w:val="0"/>
                <w:sz w:val="22"/>
                <w:szCs w:val="22"/>
                <w:highlight w:val="none"/>
              </w:rPr>
            </w:pPr>
            <w:r>
              <w:rPr>
                <w:rFonts w:hint="eastAsia" w:ascii="宋体" w:hAnsi="宋体" w:cs="宋体"/>
                <w:color w:val="auto"/>
                <w:kern w:val="0"/>
                <w:sz w:val="22"/>
                <w:szCs w:val="22"/>
                <w:highlight w:val="none"/>
              </w:rPr>
              <w:t>水面面积</w:t>
            </w:r>
          </w:p>
        </w:tc>
      </w:tr>
      <w:tr>
        <w:tblPrEx>
          <w:tblCellMar>
            <w:top w:w="0" w:type="dxa"/>
            <w:left w:w="108" w:type="dxa"/>
            <w:bottom w:w="0" w:type="dxa"/>
            <w:right w:w="108" w:type="dxa"/>
          </w:tblCellMar>
        </w:tblPrEx>
        <w:trPr>
          <w:trHeight w:val="1620" w:hRule="atLeast"/>
        </w:trPr>
        <w:tc>
          <w:tcPr>
            <w:tcW w:w="846" w:type="dxa"/>
            <w:tcBorders>
              <w:top w:val="nil"/>
              <w:left w:val="single" w:color="auto" w:sz="4" w:space="0"/>
              <w:bottom w:val="single" w:color="auto" w:sz="4" w:space="0"/>
              <w:right w:val="single" w:color="auto" w:sz="4" w:space="0"/>
            </w:tcBorders>
            <w:noWrap/>
            <w:vAlign w:val="center"/>
          </w:tcPr>
          <w:p>
            <w:pPr>
              <w:widowControl/>
              <w:jc w:val="right"/>
              <w:rPr>
                <w:rFonts w:ascii="宋体" w:hAnsi="宋体" w:cs="宋体"/>
                <w:color w:val="auto"/>
                <w:kern w:val="0"/>
                <w:sz w:val="22"/>
                <w:szCs w:val="22"/>
                <w:highlight w:val="none"/>
              </w:rPr>
            </w:pPr>
            <w:r>
              <w:rPr>
                <w:rFonts w:hint="eastAsia" w:ascii="宋体" w:hAnsi="宋体" w:cs="宋体"/>
                <w:color w:val="auto"/>
                <w:kern w:val="0"/>
                <w:sz w:val="22"/>
                <w:szCs w:val="22"/>
                <w:highlight w:val="none"/>
              </w:rPr>
              <w:t>2</w:t>
            </w:r>
          </w:p>
        </w:tc>
        <w:tc>
          <w:tcPr>
            <w:tcW w:w="1701" w:type="dxa"/>
            <w:gridSpan w:val="2"/>
            <w:tcBorders>
              <w:top w:val="single" w:color="auto" w:sz="4" w:space="0"/>
              <w:left w:val="nil"/>
              <w:bottom w:val="single" w:color="auto" w:sz="4" w:space="0"/>
              <w:right w:val="single" w:color="000000" w:sz="4" w:space="0"/>
            </w:tcBorders>
            <w:noWrap/>
            <w:vAlign w:val="center"/>
          </w:tcPr>
          <w:p>
            <w:pPr>
              <w:widowControl/>
              <w:jc w:val="left"/>
              <w:rPr>
                <w:rFonts w:ascii="宋体" w:hAnsi="宋体" w:cs="宋体"/>
                <w:color w:val="auto"/>
                <w:kern w:val="0"/>
                <w:sz w:val="22"/>
                <w:szCs w:val="22"/>
                <w:highlight w:val="none"/>
              </w:rPr>
            </w:pPr>
            <w:r>
              <w:rPr>
                <w:rFonts w:hint="eastAsia" w:ascii="宋体" w:hAnsi="宋体" w:cs="宋体"/>
                <w:color w:val="auto"/>
                <w:kern w:val="0"/>
                <w:sz w:val="22"/>
                <w:szCs w:val="22"/>
                <w:highlight w:val="none"/>
              </w:rPr>
              <w:t>绿化养护</w:t>
            </w:r>
          </w:p>
        </w:tc>
        <w:tc>
          <w:tcPr>
            <w:tcW w:w="3118" w:type="dxa"/>
            <w:tcBorders>
              <w:top w:val="nil"/>
              <w:left w:val="nil"/>
              <w:bottom w:val="single" w:color="auto" w:sz="4" w:space="0"/>
              <w:right w:val="single" w:color="auto" w:sz="4" w:space="0"/>
            </w:tcBorders>
            <w:noWrap w:val="0"/>
            <w:vAlign w:val="center"/>
          </w:tcPr>
          <w:p>
            <w:pPr>
              <w:widowControl/>
              <w:jc w:val="left"/>
              <w:rPr>
                <w:rFonts w:ascii="宋体" w:hAnsi="宋体" w:cs="宋体"/>
                <w:color w:val="auto"/>
                <w:kern w:val="0"/>
                <w:sz w:val="22"/>
                <w:szCs w:val="22"/>
                <w:highlight w:val="none"/>
              </w:rPr>
            </w:pPr>
            <w:r>
              <w:rPr>
                <w:rFonts w:hint="eastAsia" w:ascii="宋体" w:hAnsi="宋体" w:cs="宋体"/>
                <w:color w:val="auto"/>
                <w:kern w:val="0"/>
                <w:sz w:val="22"/>
                <w:szCs w:val="22"/>
                <w:highlight w:val="none"/>
              </w:rPr>
              <w:t>三亚校区已投入使用的全部绿化养护（不含教师村、留学生公寓、专家公寓、东盟楼等区域）及绿化垃圾清运处理。</w:t>
            </w:r>
          </w:p>
        </w:tc>
        <w:tc>
          <w:tcPr>
            <w:tcW w:w="1276" w:type="dxa"/>
            <w:tcBorders>
              <w:top w:val="nil"/>
              <w:left w:val="nil"/>
              <w:bottom w:val="single" w:color="auto" w:sz="4" w:space="0"/>
              <w:right w:val="single" w:color="auto" w:sz="4" w:space="0"/>
            </w:tcBorders>
            <w:noWrap w:val="0"/>
            <w:vAlign w:val="center"/>
          </w:tcPr>
          <w:p>
            <w:pPr>
              <w:widowControl/>
              <w:jc w:val="right"/>
              <w:rPr>
                <w:rFonts w:ascii="宋体" w:hAnsi="宋体" w:cs="宋体"/>
                <w:b/>
                <w:bCs/>
                <w:color w:val="auto"/>
                <w:kern w:val="0"/>
                <w:sz w:val="24"/>
                <w:highlight w:val="none"/>
              </w:rPr>
            </w:pPr>
            <w:r>
              <w:rPr>
                <w:rFonts w:hint="eastAsia" w:ascii="宋体" w:hAnsi="宋体" w:cs="宋体"/>
                <w:b/>
                <w:bCs/>
                <w:color w:val="auto"/>
                <w:kern w:val="0"/>
                <w:sz w:val="24"/>
                <w:highlight w:val="none"/>
              </w:rPr>
              <w:t xml:space="preserve">136000 </w:t>
            </w:r>
          </w:p>
        </w:tc>
        <w:tc>
          <w:tcPr>
            <w:tcW w:w="1276" w:type="dxa"/>
            <w:tcBorders>
              <w:top w:val="nil"/>
              <w:left w:val="nil"/>
              <w:bottom w:val="single" w:color="auto" w:sz="4" w:space="0"/>
              <w:right w:val="single" w:color="auto" w:sz="4" w:space="0"/>
            </w:tcBorders>
            <w:noWrap/>
            <w:vAlign w:val="center"/>
          </w:tcPr>
          <w:p>
            <w:pPr>
              <w:widowControl/>
              <w:jc w:val="left"/>
              <w:rPr>
                <w:rFonts w:ascii="宋体" w:hAnsi="宋体" w:cs="宋体"/>
                <w:color w:val="auto"/>
                <w:kern w:val="0"/>
                <w:sz w:val="22"/>
                <w:szCs w:val="22"/>
                <w:highlight w:val="none"/>
              </w:rPr>
            </w:pPr>
            <w:r>
              <w:rPr>
                <w:rFonts w:hint="eastAsia" w:ascii="宋体" w:hAnsi="宋体" w:cs="宋体"/>
                <w:color w:val="auto"/>
                <w:kern w:val="0"/>
                <w:sz w:val="22"/>
                <w:szCs w:val="22"/>
                <w:highlight w:val="none"/>
              </w:rPr>
              <w:t>绿化面积</w:t>
            </w:r>
          </w:p>
        </w:tc>
      </w:tr>
    </w:tbl>
    <w:p>
      <w:pPr>
        <w:ind w:firstLine="480" w:firstLineChars="200"/>
        <w:rPr>
          <w:rFonts w:ascii="仿宋" w:hAnsi="仿宋" w:eastAsia="仿宋" w:cs="仿宋"/>
          <w:iCs/>
          <w:color w:val="auto"/>
          <w:sz w:val="24"/>
          <w:highlight w:val="none"/>
        </w:rPr>
      </w:pPr>
      <w:r>
        <w:rPr>
          <w:rFonts w:hint="eastAsia" w:ascii="仿宋" w:hAnsi="仿宋" w:eastAsia="仿宋" w:cs="仿宋"/>
          <w:iCs/>
          <w:color w:val="auto"/>
          <w:sz w:val="24"/>
          <w:highlight w:val="none"/>
        </w:rPr>
        <w:t>注：具体服务内容以楼宇服务实际情况为准，未服务内容由双方协商扣除相应服务费用。</w:t>
      </w:r>
    </w:p>
    <w:p>
      <w:pPr>
        <w:spacing w:line="480" w:lineRule="exact"/>
        <w:ind w:firstLine="481" w:firstLineChars="200"/>
        <w:jc w:val="left"/>
        <w:rPr>
          <w:rFonts w:ascii="仿宋" w:hAnsi="仿宋" w:eastAsia="仿宋" w:cs="仿宋"/>
          <w:b/>
          <w:color w:val="auto"/>
          <w:sz w:val="24"/>
          <w:highlight w:val="none"/>
        </w:rPr>
      </w:pPr>
      <w:r>
        <w:rPr>
          <w:rFonts w:hint="eastAsia" w:ascii="仿宋" w:hAnsi="仿宋" w:eastAsia="仿宋" w:cs="仿宋"/>
          <w:b/>
          <w:color w:val="auto"/>
          <w:sz w:val="24"/>
          <w:highlight w:val="none"/>
        </w:rPr>
        <w:t>二、服务内容及标准</w:t>
      </w:r>
    </w:p>
    <w:p>
      <w:pPr>
        <w:spacing w:line="480" w:lineRule="exact"/>
        <w:ind w:firstLine="481" w:firstLineChars="200"/>
        <w:jc w:val="left"/>
        <w:rPr>
          <w:rFonts w:ascii="仿宋" w:hAnsi="仿宋" w:eastAsia="仿宋" w:cs="仿宋"/>
          <w:b/>
          <w:color w:val="auto"/>
          <w:sz w:val="24"/>
          <w:highlight w:val="none"/>
        </w:rPr>
      </w:pPr>
      <w:r>
        <w:rPr>
          <w:rFonts w:hint="eastAsia" w:ascii="仿宋" w:hAnsi="仿宋" w:eastAsia="仿宋" w:cs="仿宋"/>
          <w:b/>
          <w:color w:val="auto"/>
          <w:sz w:val="24"/>
          <w:highlight w:val="none"/>
        </w:rPr>
        <w:t>（一）主要内容</w:t>
      </w:r>
    </w:p>
    <w:p>
      <w:pPr>
        <w:spacing w:line="360" w:lineRule="auto"/>
        <w:ind w:firstLine="480" w:firstLineChars="200"/>
        <w:rPr>
          <w:rFonts w:ascii="仿宋" w:hAnsi="仿宋" w:eastAsia="仿宋" w:cs="仿宋"/>
          <w:iCs/>
          <w:color w:val="auto"/>
          <w:sz w:val="24"/>
          <w:highlight w:val="none"/>
        </w:rPr>
      </w:pPr>
      <w:r>
        <w:rPr>
          <w:rFonts w:hint="eastAsia" w:ascii="仿宋" w:hAnsi="仿宋" w:eastAsia="仿宋" w:cs="仿宋"/>
          <w:iCs/>
          <w:color w:val="auto"/>
          <w:sz w:val="24"/>
          <w:highlight w:val="none"/>
        </w:rPr>
        <w:t>1</w:t>
      </w:r>
      <w:r>
        <w:rPr>
          <w:rFonts w:ascii="仿宋" w:hAnsi="仿宋" w:eastAsia="仿宋" w:cs="仿宋"/>
          <w:iCs/>
          <w:color w:val="auto"/>
          <w:sz w:val="24"/>
          <w:highlight w:val="none"/>
        </w:rPr>
        <w:t>. 负责行政楼、人文社科楼、艺术教学楼、教学楼第6-9幢、图书馆</w:t>
      </w:r>
      <w:r>
        <w:rPr>
          <w:rFonts w:hint="eastAsia" w:ascii="仿宋" w:hAnsi="仿宋" w:eastAsia="仿宋" w:cs="仿宋"/>
          <w:iCs/>
          <w:color w:val="auto"/>
          <w:sz w:val="24"/>
          <w:highlight w:val="none"/>
        </w:rPr>
        <w:t>（包括阅览室、藏书库等）</w:t>
      </w:r>
      <w:r>
        <w:rPr>
          <w:rFonts w:ascii="仿宋" w:hAnsi="仿宋" w:eastAsia="仿宋" w:cs="仿宋"/>
          <w:iCs/>
          <w:color w:val="auto"/>
          <w:sz w:val="24"/>
          <w:highlight w:val="none"/>
        </w:rPr>
        <w:t>等建筑的室内公共区域</w:t>
      </w:r>
      <w:r>
        <w:rPr>
          <w:rFonts w:hint="eastAsia" w:ascii="仿宋" w:hAnsi="仿宋" w:eastAsia="仿宋" w:cs="仿宋"/>
          <w:iCs/>
          <w:color w:val="auto"/>
          <w:sz w:val="24"/>
          <w:highlight w:val="none"/>
        </w:rPr>
        <w:t>、公共卫生间</w:t>
      </w:r>
      <w:r>
        <w:rPr>
          <w:rFonts w:ascii="仿宋" w:hAnsi="仿宋" w:eastAsia="仿宋" w:cs="仿宋"/>
          <w:iCs/>
          <w:color w:val="auto"/>
          <w:sz w:val="24"/>
          <w:highlight w:val="none"/>
        </w:rPr>
        <w:t>及周边外围区域保洁工作；承担</w:t>
      </w:r>
      <w:r>
        <w:rPr>
          <w:rFonts w:hint="eastAsia" w:ascii="仿宋" w:hAnsi="仿宋" w:eastAsia="仿宋" w:cs="仿宋"/>
          <w:iCs/>
          <w:color w:val="auto"/>
          <w:sz w:val="24"/>
          <w:highlight w:val="none"/>
        </w:rPr>
        <w:t>三亚校区已投入使用的全部户外区域保洁（不含教师村、留学生公寓、专家公寓、东盟楼、竹园及花生基地等区域），具体包括学校正门及西门周边，行政楼西北侧广场，行政楼、人文社科楼、艺术教学楼、体育馆、教学楼第</w:t>
      </w:r>
      <w:r>
        <w:rPr>
          <w:rFonts w:ascii="仿宋" w:hAnsi="仿宋" w:eastAsia="仿宋" w:cs="仿宋"/>
          <w:iCs/>
          <w:color w:val="auto"/>
          <w:sz w:val="24"/>
          <w:highlight w:val="none"/>
        </w:rPr>
        <w:t>6-9幢、图书馆、教学楼3-4幢等建筑室外区域、人工湖面及环湖区域、高架桥下停车场、第二食堂地下室与东侧小广场、学生宿舍1-9幢内部道路及室外空间、校园主干道等区域的日常保洁，同时包含人工湖水域</w:t>
      </w:r>
      <w:r>
        <w:rPr>
          <w:rFonts w:hint="eastAsia" w:ascii="仿宋" w:hAnsi="仿宋" w:eastAsia="仿宋" w:cs="仿宋"/>
          <w:iCs/>
          <w:color w:val="auto"/>
          <w:sz w:val="24"/>
          <w:highlight w:val="none"/>
        </w:rPr>
        <w:t>和景观水池</w:t>
      </w:r>
      <w:r>
        <w:rPr>
          <w:rFonts w:ascii="仿宋" w:hAnsi="仿宋" w:eastAsia="仿宋" w:cs="仿宋"/>
          <w:iCs/>
          <w:color w:val="auto"/>
          <w:sz w:val="24"/>
          <w:highlight w:val="none"/>
        </w:rPr>
        <w:t>保洁及上述所有指定区域的周边环境维护工作。</w:t>
      </w:r>
      <w:r>
        <w:rPr>
          <w:rFonts w:hint="eastAsia" w:ascii="仿宋" w:hAnsi="仿宋" w:eastAsia="仿宋" w:cs="仿宋"/>
          <w:iCs/>
          <w:color w:val="auto"/>
          <w:sz w:val="24"/>
          <w:highlight w:val="none"/>
        </w:rPr>
        <w:t>主要包括：洗手间、地面、楼道、走廊、外墙、内墙、门窗、玻璃、楼梯扶手、栏杆，电梯、景观灯、指示牌、宣传栏、垃圾桶、建筑物共有部分水电设备、消防设施、校园摄像头等设施设备日常保洁和消毒。</w:t>
      </w:r>
    </w:p>
    <w:p>
      <w:pPr>
        <w:spacing w:line="360" w:lineRule="auto"/>
        <w:ind w:firstLine="480" w:firstLineChars="200"/>
        <w:rPr>
          <w:rFonts w:ascii="仿宋" w:hAnsi="仿宋" w:eastAsia="仿宋" w:cs="仿宋"/>
          <w:iCs/>
          <w:color w:val="auto"/>
          <w:sz w:val="24"/>
          <w:highlight w:val="none"/>
        </w:rPr>
      </w:pPr>
      <w:r>
        <w:rPr>
          <w:rFonts w:hint="eastAsia" w:ascii="仿宋" w:hAnsi="仿宋" w:eastAsia="仿宋" w:cs="仿宋"/>
          <w:iCs/>
          <w:color w:val="auto"/>
          <w:sz w:val="24"/>
          <w:highlight w:val="none"/>
        </w:rPr>
        <w:t>2</w:t>
      </w:r>
      <w:r>
        <w:rPr>
          <w:rFonts w:ascii="仿宋" w:hAnsi="仿宋" w:eastAsia="仿宋" w:cs="仿宋"/>
          <w:iCs/>
          <w:color w:val="auto"/>
          <w:sz w:val="24"/>
          <w:highlight w:val="none"/>
        </w:rPr>
        <w:t>.</w:t>
      </w:r>
      <w:r>
        <w:rPr>
          <w:rFonts w:hint="eastAsia" w:ascii="仿宋" w:hAnsi="仿宋" w:eastAsia="仿宋" w:cs="仿宋"/>
          <w:iCs/>
          <w:color w:val="auto"/>
          <w:sz w:val="24"/>
          <w:highlight w:val="none"/>
        </w:rPr>
        <w:t>负责三亚校区已投入使用的全部绿化养护（不含教师村、留学生公寓、专家公寓、东盟楼等区域）及绿化垃圾清运处理（负责将校园绿化垃圾运出校园并在政府指定倾倒点倾倒，所产生的一切费用均由乙方承担）；绿化养护达到</w:t>
      </w:r>
      <w:r>
        <w:rPr>
          <w:rFonts w:ascii="仿宋" w:hAnsi="仿宋" w:eastAsia="仿宋" w:cs="仿宋"/>
          <w:iCs/>
          <w:color w:val="auto"/>
          <w:sz w:val="24"/>
          <w:highlight w:val="none"/>
        </w:rPr>
        <w:t>植物生长旺盛、</w:t>
      </w:r>
      <w:r>
        <w:rPr>
          <w:rFonts w:hint="eastAsia" w:ascii="仿宋" w:hAnsi="仿宋" w:eastAsia="仿宋" w:cs="仿宋"/>
          <w:iCs/>
          <w:color w:val="auto"/>
          <w:sz w:val="24"/>
          <w:highlight w:val="none"/>
        </w:rPr>
        <w:t>造型良好、</w:t>
      </w:r>
      <w:r>
        <w:rPr>
          <w:rFonts w:ascii="仿宋" w:hAnsi="仿宋" w:eastAsia="仿宋" w:cs="仿宋"/>
          <w:iCs/>
          <w:color w:val="auto"/>
          <w:sz w:val="24"/>
          <w:highlight w:val="none"/>
        </w:rPr>
        <w:t>树木无枯枝，整体环境整洁美观</w:t>
      </w:r>
      <w:r>
        <w:rPr>
          <w:rFonts w:hint="eastAsia" w:ascii="仿宋" w:hAnsi="仿宋" w:eastAsia="仿宋" w:cs="仿宋"/>
          <w:iCs/>
          <w:color w:val="auto"/>
          <w:sz w:val="24"/>
          <w:highlight w:val="none"/>
        </w:rPr>
        <w:t>。</w:t>
      </w:r>
    </w:p>
    <w:p>
      <w:pPr>
        <w:pStyle w:val="8"/>
        <w:spacing w:line="480" w:lineRule="exact"/>
        <w:ind w:firstLine="480"/>
        <w:rPr>
          <w:rFonts w:ascii="仿宋" w:hAnsi="仿宋" w:eastAsia="仿宋" w:cs="仿宋"/>
          <w:color w:val="auto"/>
          <w:sz w:val="24"/>
          <w:highlight w:val="none"/>
        </w:rPr>
      </w:pPr>
      <w:r>
        <w:rPr>
          <w:rFonts w:ascii="仿宋" w:hAnsi="仿宋" w:eastAsia="仿宋" w:cs="仿宋"/>
          <w:color w:val="auto"/>
          <w:sz w:val="24"/>
          <w:highlight w:val="none"/>
        </w:rPr>
        <w:t>3.</w:t>
      </w:r>
      <w:r>
        <w:rPr>
          <w:rFonts w:hint="eastAsia" w:ascii="仿宋" w:hAnsi="仿宋" w:eastAsia="仿宋" w:cs="仿宋"/>
          <w:iCs/>
          <w:color w:val="auto"/>
          <w:sz w:val="24"/>
          <w:highlight w:val="none"/>
        </w:rPr>
        <w:t>按照学校作息建立详细的管理体系，依法、科学、规范管理，确保校园安全万无一失，杜绝各类安全事故，为甲方师生营造安全有序、卫生整洁、文明和谐的教学科研和生活的良好校园环境，提供细致、周到的人性化优质物业服务；自觉接受学校相关职能部门、公安机关、地方管理部门的监督、检查；积极配合学校的各项工作（</w:t>
      </w:r>
      <w:r>
        <w:rPr>
          <w:rFonts w:hint="eastAsia" w:ascii="仿宋" w:hAnsi="仿宋" w:eastAsia="仿宋" w:cs="仿宋"/>
          <w:color w:val="auto"/>
          <w:sz w:val="24"/>
          <w:highlight w:val="none"/>
        </w:rPr>
        <w:t>学校重大事项和突发事件的应急响应、</w:t>
      </w:r>
      <w:r>
        <w:rPr>
          <w:rFonts w:hint="eastAsia" w:ascii="仿宋" w:hAnsi="仿宋" w:eastAsia="仿宋" w:cs="仿宋"/>
          <w:iCs/>
          <w:color w:val="auto"/>
          <w:sz w:val="24"/>
          <w:highlight w:val="none"/>
        </w:rPr>
        <w:t>节能减排、垃圾分类、劳动教育、“三全育人”等）。</w:t>
      </w:r>
    </w:p>
    <w:p>
      <w:pPr>
        <w:spacing w:line="480" w:lineRule="exact"/>
        <w:ind w:firstLine="481" w:firstLineChars="200"/>
        <w:jc w:val="left"/>
        <w:rPr>
          <w:rFonts w:ascii="仿宋" w:hAnsi="仿宋" w:eastAsia="仿宋" w:cs="仿宋"/>
          <w:b/>
          <w:color w:val="auto"/>
          <w:sz w:val="24"/>
          <w:highlight w:val="none"/>
        </w:rPr>
      </w:pPr>
      <w:r>
        <w:rPr>
          <w:rFonts w:hint="eastAsia" w:ascii="仿宋" w:hAnsi="仿宋" w:eastAsia="仿宋" w:cs="仿宋"/>
          <w:b/>
          <w:color w:val="auto"/>
          <w:sz w:val="24"/>
          <w:highlight w:val="none"/>
        </w:rPr>
        <w:t>（二）服务标准</w:t>
      </w:r>
    </w:p>
    <w:p>
      <w:pPr>
        <w:pStyle w:val="8"/>
        <w:spacing w:line="480" w:lineRule="exact"/>
        <w:ind w:firstLine="480"/>
        <w:rPr>
          <w:rFonts w:ascii="仿宋" w:hAnsi="仿宋" w:eastAsia="仿宋" w:cs="仿宋"/>
          <w:color w:val="auto"/>
          <w:sz w:val="24"/>
          <w:highlight w:val="none"/>
        </w:rPr>
      </w:pPr>
      <w:r>
        <w:rPr>
          <w:rFonts w:hint="eastAsia" w:ascii="仿宋" w:hAnsi="仿宋" w:eastAsia="仿宋" w:cs="仿宋"/>
          <w:color w:val="auto"/>
          <w:sz w:val="24"/>
          <w:highlight w:val="none"/>
        </w:rPr>
        <w:t>1</w:t>
      </w:r>
      <w:r>
        <w:rPr>
          <w:rFonts w:ascii="仿宋" w:hAnsi="仿宋" w:eastAsia="仿宋" w:cs="仿宋"/>
          <w:color w:val="auto"/>
          <w:sz w:val="24"/>
          <w:highlight w:val="none"/>
        </w:rPr>
        <w:t>.</w:t>
      </w:r>
      <w:r>
        <w:rPr>
          <w:rFonts w:hint="eastAsia" w:ascii="仿宋" w:hAnsi="仿宋" w:eastAsia="仿宋" w:cs="仿宋"/>
          <w:color w:val="auto"/>
          <w:sz w:val="24"/>
          <w:highlight w:val="none"/>
        </w:rPr>
        <w:t>符合中华人民共和国国家和履约地相关安全质量标准、行业技术规范标准；</w:t>
      </w:r>
    </w:p>
    <w:p>
      <w:pPr>
        <w:pStyle w:val="8"/>
        <w:spacing w:line="480" w:lineRule="exact"/>
        <w:ind w:firstLine="480"/>
        <w:rPr>
          <w:rFonts w:ascii="仿宋" w:hAnsi="仿宋" w:eastAsia="仿宋" w:cs="仿宋"/>
          <w:color w:val="auto"/>
          <w:sz w:val="24"/>
          <w:highlight w:val="none"/>
        </w:rPr>
      </w:pPr>
      <w:r>
        <w:rPr>
          <w:rFonts w:hint="eastAsia" w:ascii="仿宋" w:hAnsi="仿宋" w:eastAsia="仿宋" w:cs="仿宋"/>
          <w:color w:val="auto"/>
          <w:sz w:val="24"/>
          <w:highlight w:val="none"/>
        </w:rPr>
        <w:t>2</w:t>
      </w:r>
      <w:r>
        <w:rPr>
          <w:rFonts w:ascii="仿宋" w:hAnsi="仿宋" w:eastAsia="仿宋" w:cs="仿宋"/>
          <w:color w:val="auto"/>
          <w:sz w:val="24"/>
          <w:highlight w:val="none"/>
        </w:rPr>
        <w:t>.</w:t>
      </w:r>
      <w:r>
        <w:rPr>
          <w:rFonts w:hint="eastAsia" w:ascii="仿宋" w:hAnsi="仿宋" w:eastAsia="仿宋" w:cs="仿宋"/>
          <w:color w:val="auto"/>
          <w:sz w:val="24"/>
          <w:highlight w:val="none"/>
        </w:rPr>
        <w:t>符合采购文件和响应承诺中各方共同认可的合理要求；上述各类标准与法规必须是有关官方机构最新发布的现行标准版本。</w:t>
      </w:r>
    </w:p>
    <w:p>
      <w:pPr>
        <w:spacing w:line="480" w:lineRule="exact"/>
        <w:ind w:firstLine="481" w:firstLineChars="200"/>
        <w:jc w:val="left"/>
        <w:rPr>
          <w:rFonts w:ascii="仿宋" w:hAnsi="仿宋" w:eastAsia="仿宋" w:cs="仿宋"/>
          <w:b/>
          <w:color w:val="auto"/>
          <w:sz w:val="24"/>
          <w:highlight w:val="none"/>
        </w:rPr>
      </w:pPr>
      <w:r>
        <w:rPr>
          <w:rFonts w:hint="eastAsia" w:ascii="仿宋" w:hAnsi="仿宋" w:eastAsia="仿宋" w:cs="仿宋"/>
          <w:b/>
          <w:color w:val="auto"/>
          <w:sz w:val="24"/>
          <w:highlight w:val="none"/>
        </w:rPr>
        <w:t>（三）投诉跟踪服务</w:t>
      </w:r>
    </w:p>
    <w:p>
      <w:pPr>
        <w:spacing w:line="480" w:lineRule="exact"/>
        <w:ind w:firstLine="480" w:firstLineChars="200"/>
        <w:jc w:val="left"/>
        <w:rPr>
          <w:rFonts w:ascii="仿宋" w:hAnsi="仿宋" w:eastAsia="仿宋" w:cs="仿宋"/>
          <w:b/>
          <w:color w:val="auto"/>
          <w:sz w:val="24"/>
          <w:highlight w:val="none"/>
        </w:rPr>
      </w:pPr>
      <w:r>
        <w:rPr>
          <w:rFonts w:hint="eastAsia" w:ascii="仿宋" w:hAnsi="仿宋" w:eastAsia="仿宋" w:cs="仿宋"/>
          <w:color w:val="auto"/>
          <w:sz w:val="24"/>
          <w:highlight w:val="none"/>
        </w:rPr>
        <w:t>1</w:t>
      </w:r>
      <w:r>
        <w:rPr>
          <w:rFonts w:ascii="仿宋" w:hAnsi="仿宋" w:eastAsia="仿宋" w:cs="仿宋"/>
          <w:color w:val="auto"/>
          <w:sz w:val="24"/>
          <w:highlight w:val="none"/>
        </w:rPr>
        <w:t>.</w:t>
      </w:r>
      <w:r>
        <w:rPr>
          <w:rFonts w:hint="eastAsia" w:ascii="仿宋" w:hAnsi="仿宋" w:eastAsia="仿宋" w:cs="仿宋"/>
          <w:color w:val="auto"/>
          <w:sz w:val="24"/>
          <w:highlight w:val="none"/>
        </w:rPr>
        <w:t>乙方须提供常设的投诉热线服务，并对投诉内容进行及时跟踪、回访。对甲方的投诉与通知，需在甲方指定的时间内处理完毕。若突发事件不能在短时间内解决，乙方需采取应急措施，或按甲方认可的应急方案执行，不得影响甲方的正常工作业务。</w:t>
      </w:r>
    </w:p>
    <w:p>
      <w:pPr>
        <w:pStyle w:val="8"/>
        <w:spacing w:line="480" w:lineRule="exact"/>
        <w:ind w:firstLine="480"/>
        <w:rPr>
          <w:rFonts w:ascii="仿宋" w:hAnsi="仿宋" w:eastAsia="仿宋" w:cs="仿宋"/>
          <w:color w:val="auto"/>
          <w:sz w:val="24"/>
          <w:highlight w:val="none"/>
        </w:rPr>
      </w:pPr>
      <w:r>
        <w:rPr>
          <w:rFonts w:hint="eastAsia" w:ascii="仿宋" w:hAnsi="仿宋" w:eastAsia="仿宋" w:cs="仿宋"/>
          <w:color w:val="auto"/>
          <w:sz w:val="24"/>
          <w:highlight w:val="none"/>
        </w:rPr>
        <w:t>2</w:t>
      </w:r>
      <w:r>
        <w:rPr>
          <w:rFonts w:ascii="仿宋" w:hAnsi="仿宋" w:eastAsia="仿宋" w:cs="仿宋"/>
          <w:color w:val="auto"/>
          <w:sz w:val="24"/>
          <w:highlight w:val="none"/>
        </w:rPr>
        <w:t>.</w:t>
      </w:r>
      <w:r>
        <w:rPr>
          <w:rFonts w:hint="eastAsia" w:ascii="仿宋" w:hAnsi="仿宋" w:eastAsia="仿宋" w:cs="仿宋"/>
          <w:color w:val="auto"/>
          <w:sz w:val="24"/>
          <w:highlight w:val="none"/>
        </w:rPr>
        <w:t>乙方需建立完善的管理服务质量自检体系，对自身管理制度、管理计划和管理质量进行严格的自检。甲方随机抽检。</w:t>
      </w:r>
    </w:p>
    <w:p>
      <w:pPr>
        <w:pStyle w:val="8"/>
        <w:spacing w:line="480" w:lineRule="exact"/>
        <w:ind w:firstLine="480"/>
        <w:rPr>
          <w:rFonts w:ascii="仿宋" w:hAnsi="仿宋" w:eastAsia="仿宋" w:cs="仿宋"/>
          <w:color w:val="auto"/>
          <w:sz w:val="24"/>
          <w:highlight w:val="none"/>
        </w:rPr>
      </w:pPr>
      <w:r>
        <w:rPr>
          <w:rFonts w:hint="eastAsia" w:ascii="仿宋" w:hAnsi="仿宋" w:eastAsia="仿宋" w:cs="仿宋"/>
          <w:color w:val="auto"/>
          <w:sz w:val="24"/>
          <w:highlight w:val="none"/>
        </w:rPr>
        <w:t>3</w:t>
      </w:r>
      <w:r>
        <w:rPr>
          <w:rFonts w:ascii="仿宋" w:hAnsi="仿宋" w:eastAsia="仿宋" w:cs="仿宋"/>
          <w:color w:val="auto"/>
          <w:sz w:val="24"/>
          <w:highlight w:val="none"/>
        </w:rPr>
        <w:t>.</w:t>
      </w:r>
      <w:r>
        <w:rPr>
          <w:rFonts w:hint="eastAsia" w:ascii="仿宋" w:hAnsi="仿宋" w:eastAsia="仿宋" w:cs="仿宋"/>
          <w:color w:val="auto"/>
          <w:sz w:val="24"/>
          <w:highlight w:val="none"/>
        </w:rPr>
        <w:t>服务期内，甲方有权按本项目的管理要求对乙方进行不定期抽查检查。若对不合格的管理服务提出警告后，仍未得到有效解决时，甲方有权终止服务合同。</w:t>
      </w:r>
    </w:p>
    <w:p>
      <w:pPr>
        <w:pStyle w:val="8"/>
        <w:spacing w:line="480" w:lineRule="exact"/>
        <w:ind w:firstLine="480"/>
        <w:rPr>
          <w:rFonts w:ascii="仿宋" w:hAnsi="仿宋" w:eastAsia="仿宋" w:cs="仿宋"/>
          <w:color w:val="auto"/>
          <w:sz w:val="24"/>
          <w:highlight w:val="none"/>
        </w:rPr>
      </w:pPr>
      <w:r>
        <w:rPr>
          <w:rFonts w:hint="eastAsia" w:ascii="仿宋" w:hAnsi="仿宋" w:eastAsia="仿宋" w:cs="仿宋"/>
          <w:color w:val="auto"/>
          <w:sz w:val="24"/>
          <w:highlight w:val="none"/>
        </w:rPr>
        <w:t>4</w:t>
      </w:r>
      <w:r>
        <w:rPr>
          <w:rFonts w:ascii="仿宋" w:hAnsi="仿宋" w:eastAsia="仿宋" w:cs="仿宋"/>
          <w:color w:val="auto"/>
          <w:sz w:val="24"/>
          <w:highlight w:val="none"/>
        </w:rPr>
        <w:t>.</w:t>
      </w:r>
      <w:r>
        <w:rPr>
          <w:rFonts w:hint="eastAsia" w:ascii="仿宋" w:hAnsi="仿宋" w:eastAsia="仿宋" w:cs="仿宋"/>
          <w:color w:val="auto"/>
          <w:sz w:val="24"/>
          <w:highlight w:val="none"/>
        </w:rPr>
        <w:t xml:space="preserve">乙方服务机构名称及地址： </w:t>
      </w:r>
    </w:p>
    <w:p>
      <w:pPr>
        <w:wordWrap w:val="0"/>
        <w:topLinePunct/>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联系人1：</w:t>
      </w:r>
      <w:r>
        <w:rPr>
          <w:rFonts w:hint="eastAsia" w:ascii="仿宋" w:hAnsi="仿宋" w:eastAsia="仿宋" w:cs="仿宋"/>
          <w:color w:val="auto"/>
          <w:kern w:val="0"/>
          <w:sz w:val="24"/>
          <w:highlight w:val="none"/>
        </w:rPr>
        <w:t xml:space="preserve"> </w:t>
      </w:r>
      <w:r>
        <w:rPr>
          <w:rFonts w:hint="eastAsia" w:ascii="仿宋" w:hAnsi="仿宋" w:eastAsia="仿宋" w:cs="仿宋"/>
          <w:color w:val="auto"/>
          <w:sz w:val="24"/>
          <w:highlight w:val="none"/>
        </w:rPr>
        <w:t>，地址： ， ，手机：</w:t>
      </w:r>
      <w:r>
        <w:rPr>
          <w:rFonts w:ascii="仿宋" w:hAnsi="仿宋" w:eastAsia="仿宋" w:cs="仿宋"/>
          <w:color w:val="auto"/>
          <w:sz w:val="24"/>
          <w:highlight w:val="none"/>
        </w:rPr>
        <w:t xml:space="preserve"> </w:t>
      </w:r>
      <w:r>
        <w:rPr>
          <w:rFonts w:hint="eastAsia" w:ascii="仿宋" w:hAnsi="仿宋" w:eastAsia="仿宋" w:cs="仿宋"/>
          <w:color w:val="auto"/>
          <w:sz w:val="24"/>
          <w:highlight w:val="none"/>
        </w:rPr>
        <w:t>；</w:t>
      </w:r>
    </w:p>
    <w:p>
      <w:pPr>
        <w:wordWrap w:val="0"/>
        <w:topLinePunct/>
        <w:spacing w:line="360" w:lineRule="auto"/>
        <w:ind w:firstLine="480" w:firstLineChars="200"/>
        <w:rPr>
          <w:rFonts w:hint="eastAsia" w:ascii="仿宋" w:hAnsi="仿宋" w:eastAsia="仿宋" w:cs="仿宋"/>
          <w:color w:val="auto"/>
          <w:kern w:val="0"/>
          <w:sz w:val="24"/>
          <w:szCs w:val="20"/>
          <w:highlight w:val="none"/>
          <w:lang w:val="en-US" w:eastAsia="zh-CN" w:bidi="ar-SA"/>
        </w:rPr>
      </w:pPr>
      <w:r>
        <w:rPr>
          <w:rFonts w:hint="eastAsia" w:ascii="仿宋" w:hAnsi="仿宋" w:eastAsia="仿宋" w:cs="仿宋"/>
          <w:color w:val="auto"/>
          <w:kern w:val="0"/>
          <w:sz w:val="24"/>
          <w:szCs w:val="20"/>
          <w:highlight w:val="none"/>
          <w:lang w:val="en-US" w:eastAsia="zh-CN" w:bidi="ar-SA"/>
        </w:rPr>
        <w:t>联系人2： ，地址： ， ，手机： ；</w:t>
      </w:r>
    </w:p>
    <w:p>
      <w:pPr>
        <w:wordWrap w:val="0"/>
        <w:topLinePunct/>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服务专线电话：</w:t>
      </w:r>
      <w:r>
        <w:rPr>
          <w:rFonts w:ascii="仿宋" w:hAnsi="仿宋" w:eastAsia="仿宋" w:cs="仿宋"/>
          <w:color w:val="auto"/>
          <w:sz w:val="24"/>
          <w:highlight w:val="none"/>
        </w:rPr>
        <w:t xml:space="preserve"> </w:t>
      </w:r>
    </w:p>
    <w:p>
      <w:pPr>
        <w:spacing w:line="440" w:lineRule="exact"/>
        <w:ind w:firstLine="481" w:firstLineChars="200"/>
        <w:jc w:val="left"/>
        <w:rPr>
          <w:rFonts w:ascii="仿宋" w:hAnsi="仿宋" w:eastAsia="仿宋" w:cs="仿宋"/>
          <w:b/>
          <w:color w:val="auto"/>
          <w:sz w:val="24"/>
          <w:highlight w:val="none"/>
        </w:rPr>
      </w:pPr>
      <w:r>
        <w:rPr>
          <w:rFonts w:ascii="仿宋" w:hAnsi="仿宋" w:eastAsia="仿宋" w:cs="仿宋"/>
          <w:b/>
          <w:color w:val="auto"/>
          <w:sz w:val="24"/>
          <w:highlight w:val="none"/>
        </w:rPr>
        <w:t>三、服务期限</w:t>
      </w:r>
    </w:p>
    <w:p>
      <w:pPr>
        <w:spacing w:line="480" w:lineRule="exact"/>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服务期限：</w:t>
      </w:r>
      <w:r>
        <w:rPr>
          <w:rFonts w:ascii="仿宋" w:hAnsi="仿宋" w:eastAsia="仿宋" w:cs="仿宋"/>
          <w:color w:val="auto"/>
          <w:sz w:val="24"/>
          <w:highlight w:val="none"/>
        </w:rPr>
        <w:t>本项目中标服务期限为三年</w:t>
      </w:r>
      <w:r>
        <w:rPr>
          <w:rFonts w:hint="eastAsia" w:ascii="仿宋" w:hAnsi="仿宋" w:eastAsia="仿宋" w:cs="仿宋"/>
          <w:color w:val="auto"/>
          <w:sz w:val="24"/>
          <w:highlight w:val="none"/>
          <w:lang w:val="en-US" w:eastAsia="zh-CN"/>
        </w:rPr>
        <w:t>，合同每年签订一次，甲方进行年度考核，考核合格后按年度续签。年度考核不合格甲方有权终止合同并无需承担任何责任，乙方需无条件配合做好后续移交工作。本次合同期限自   年  月  日起至  年  月  日止。</w:t>
      </w:r>
      <w:r>
        <w:rPr>
          <w:rFonts w:ascii="仿宋" w:hAnsi="仿宋" w:eastAsia="仿宋" w:cs="仿宋"/>
          <w:color w:val="auto"/>
          <w:sz w:val="24"/>
          <w:highlight w:val="none"/>
        </w:rPr>
        <w:t>(具体服务内容以楼宇服务实际情况为准，未服务内容由双方协商扣除相应服务费用)。</w:t>
      </w:r>
    </w:p>
    <w:p>
      <w:pPr>
        <w:pStyle w:val="9"/>
        <w:numPr>
          <w:ilvl w:val="0"/>
          <w:numId w:val="1"/>
        </w:numPr>
        <w:spacing w:line="440" w:lineRule="exact"/>
        <w:ind w:firstLineChars="0"/>
        <w:jc w:val="left"/>
        <w:rPr>
          <w:rFonts w:ascii="仿宋" w:hAnsi="仿宋" w:eastAsia="仿宋" w:cs="仿宋"/>
          <w:bCs/>
          <w:color w:val="auto"/>
          <w:szCs w:val="21"/>
          <w:highlight w:val="none"/>
        </w:rPr>
      </w:pPr>
      <w:r>
        <w:rPr>
          <w:rFonts w:hint="eastAsia" w:ascii="仿宋" w:hAnsi="仿宋" w:eastAsia="仿宋" w:cs="仿宋"/>
          <w:b/>
          <w:color w:val="auto"/>
          <w:sz w:val="24"/>
          <w:highlight w:val="none"/>
        </w:rPr>
        <w:t xml:space="preserve">验收要求：  </w:t>
      </w:r>
      <w:r>
        <w:rPr>
          <w:rFonts w:hint="eastAsia" w:ascii="仿宋" w:hAnsi="仿宋" w:eastAsia="仿宋" w:cs="仿宋"/>
          <w:bCs/>
          <w:color w:val="auto"/>
          <w:szCs w:val="21"/>
          <w:highlight w:val="none"/>
        </w:rPr>
        <w:t xml:space="preserve">                                                      </w:t>
      </w:r>
    </w:p>
    <w:p>
      <w:pPr>
        <w:pStyle w:val="8"/>
        <w:spacing w:line="480" w:lineRule="exact"/>
        <w:ind w:firstLine="480"/>
        <w:rPr>
          <w:rFonts w:ascii="仿宋" w:hAnsi="仿宋" w:eastAsia="仿宋" w:cs="仿宋"/>
          <w:color w:val="auto"/>
          <w:sz w:val="24"/>
          <w:highlight w:val="none"/>
        </w:rPr>
      </w:pPr>
      <w:r>
        <w:rPr>
          <w:rFonts w:hint="eastAsia" w:ascii="仿宋" w:hAnsi="仿宋" w:eastAsia="仿宋" w:cs="仿宋"/>
          <w:color w:val="auto"/>
          <w:sz w:val="24"/>
          <w:highlight w:val="none"/>
        </w:rPr>
        <w:t>1</w:t>
      </w:r>
      <w:r>
        <w:rPr>
          <w:rFonts w:ascii="仿宋" w:hAnsi="仿宋" w:eastAsia="仿宋" w:cs="仿宋"/>
          <w:color w:val="auto"/>
          <w:sz w:val="24"/>
          <w:highlight w:val="none"/>
        </w:rPr>
        <w:t>.</w:t>
      </w:r>
      <w:r>
        <w:rPr>
          <w:rFonts w:hint="eastAsia" w:ascii="仿宋" w:hAnsi="仿宋" w:eastAsia="仿宋" w:cs="仿宋"/>
          <w:color w:val="auto"/>
          <w:sz w:val="24"/>
          <w:highlight w:val="none"/>
        </w:rPr>
        <w:t>验收人员：包括：①甲方，②校内外专家或其委托的第三方机构（如监理公司、评估机构等），③乙方等，具体参与人员以甲方最终确认为准。</w:t>
      </w:r>
    </w:p>
    <w:p>
      <w:pPr>
        <w:pStyle w:val="8"/>
        <w:spacing w:line="480" w:lineRule="exact"/>
        <w:ind w:firstLine="480"/>
        <w:rPr>
          <w:rFonts w:ascii="仿宋" w:hAnsi="仿宋" w:eastAsia="仿宋" w:cs="仿宋"/>
          <w:color w:val="auto"/>
          <w:sz w:val="24"/>
          <w:highlight w:val="none"/>
        </w:rPr>
      </w:pPr>
      <w:r>
        <w:rPr>
          <w:rFonts w:hint="eastAsia" w:ascii="仿宋" w:hAnsi="仿宋" w:eastAsia="仿宋" w:cs="仿宋"/>
          <w:color w:val="auto"/>
          <w:sz w:val="24"/>
          <w:highlight w:val="none"/>
        </w:rPr>
        <w:t>2</w:t>
      </w:r>
      <w:r>
        <w:rPr>
          <w:rFonts w:ascii="仿宋" w:hAnsi="仿宋" w:eastAsia="仿宋" w:cs="仿宋"/>
          <w:color w:val="auto"/>
          <w:sz w:val="24"/>
          <w:highlight w:val="none"/>
        </w:rPr>
        <w:t>.</w:t>
      </w:r>
      <w:r>
        <w:rPr>
          <w:rFonts w:hint="eastAsia" w:ascii="仿宋" w:hAnsi="仿宋" w:eastAsia="仿宋" w:cs="仿宋"/>
          <w:color w:val="auto"/>
          <w:sz w:val="24"/>
          <w:highlight w:val="none"/>
        </w:rPr>
        <w:t xml:space="preserve">履约验收时间：双方签订合同后每个季度由各职能部门进行验收。                                   </w:t>
      </w:r>
    </w:p>
    <w:p>
      <w:pPr>
        <w:pStyle w:val="8"/>
        <w:spacing w:line="480" w:lineRule="exact"/>
        <w:ind w:firstLine="480"/>
        <w:rPr>
          <w:rFonts w:ascii="仿宋" w:hAnsi="仿宋" w:eastAsia="仿宋" w:cs="仿宋"/>
          <w:color w:val="auto"/>
          <w:sz w:val="24"/>
          <w:highlight w:val="none"/>
        </w:rPr>
      </w:pPr>
      <w:r>
        <w:rPr>
          <w:rFonts w:hint="eastAsia" w:ascii="仿宋" w:hAnsi="仿宋" w:eastAsia="仿宋" w:cs="仿宋"/>
          <w:color w:val="auto"/>
          <w:sz w:val="24"/>
          <w:highlight w:val="none"/>
        </w:rPr>
        <w:t>3</w:t>
      </w:r>
      <w:r>
        <w:rPr>
          <w:rFonts w:ascii="仿宋" w:hAnsi="仿宋" w:eastAsia="仿宋" w:cs="仿宋"/>
          <w:color w:val="auto"/>
          <w:sz w:val="24"/>
          <w:highlight w:val="none"/>
        </w:rPr>
        <w:t>.</w:t>
      </w:r>
      <w:r>
        <w:rPr>
          <w:rFonts w:hint="eastAsia" w:ascii="仿宋" w:hAnsi="仿宋" w:eastAsia="仿宋" w:cs="仿宋"/>
          <w:color w:val="auto"/>
          <w:sz w:val="24"/>
          <w:highlight w:val="none"/>
        </w:rPr>
        <w:t xml:space="preserve">履约验收方式：按招标文件、乙方投标文件和本合同规定标准进行验收。 </w:t>
      </w:r>
    </w:p>
    <w:p>
      <w:pPr>
        <w:pStyle w:val="8"/>
        <w:spacing w:line="480" w:lineRule="exact"/>
        <w:ind w:firstLine="480"/>
        <w:rPr>
          <w:rFonts w:ascii="仿宋" w:hAnsi="仿宋" w:eastAsia="仿宋" w:cs="仿宋"/>
          <w:color w:val="auto"/>
          <w:sz w:val="24"/>
          <w:highlight w:val="none"/>
        </w:rPr>
      </w:pPr>
      <w:r>
        <w:rPr>
          <w:rFonts w:hint="eastAsia" w:ascii="仿宋" w:hAnsi="仿宋" w:eastAsia="仿宋" w:cs="仿宋"/>
          <w:color w:val="auto"/>
          <w:sz w:val="24"/>
          <w:highlight w:val="none"/>
        </w:rPr>
        <w:t>4</w:t>
      </w:r>
      <w:r>
        <w:rPr>
          <w:rFonts w:ascii="仿宋" w:hAnsi="仿宋" w:eastAsia="仿宋" w:cs="仿宋"/>
          <w:color w:val="auto"/>
          <w:sz w:val="24"/>
          <w:highlight w:val="none"/>
        </w:rPr>
        <w:t>.</w:t>
      </w:r>
      <w:r>
        <w:rPr>
          <w:rFonts w:hint="eastAsia" w:ascii="仿宋" w:hAnsi="仿宋" w:eastAsia="仿宋" w:cs="仿宋"/>
          <w:color w:val="auto"/>
          <w:sz w:val="24"/>
          <w:highlight w:val="none"/>
        </w:rPr>
        <w:t xml:space="preserve">履约验收程序：每季度由各职能部门进行季度检查，然后由物业主管部门汇总结果。 </w:t>
      </w:r>
    </w:p>
    <w:p>
      <w:pPr>
        <w:pStyle w:val="8"/>
        <w:spacing w:line="480" w:lineRule="exact"/>
        <w:ind w:firstLine="480"/>
        <w:rPr>
          <w:rFonts w:ascii="仿宋" w:hAnsi="仿宋" w:eastAsia="仿宋" w:cs="仿宋"/>
          <w:color w:val="auto"/>
          <w:sz w:val="24"/>
          <w:highlight w:val="none"/>
        </w:rPr>
      </w:pPr>
      <w:r>
        <w:rPr>
          <w:rFonts w:hint="eastAsia" w:ascii="仿宋" w:hAnsi="仿宋" w:eastAsia="仿宋" w:cs="仿宋"/>
          <w:color w:val="auto"/>
          <w:sz w:val="24"/>
          <w:highlight w:val="none"/>
        </w:rPr>
        <w:t>5</w:t>
      </w:r>
      <w:r>
        <w:rPr>
          <w:rFonts w:ascii="仿宋" w:hAnsi="仿宋" w:eastAsia="仿宋" w:cs="仿宋"/>
          <w:color w:val="auto"/>
          <w:sz w:val="24"/>
          <w:highlight w:val="none"/>
        </w:rPr>
        <w:t>.</w:t>
      </w:r>
      <w:r>
        <w:rPr>
          <w:rFonts w:hint="eastAsia" w:ascii="仿宋" w:hAnsi="仿宋" w:eastAsia="仿宋" w:cs="仿宋"/>
          <w:color w:val="auto"/>
          <w:sz w:val="24"/>
          <w:highlight w:val="none"/>
        </w:rPr>
        <w:t>履约验收内容：对应乙方的投标文件的技术和商务、人员要求等，结合甲方招标文件要求的标准为准则。</w:t>
      </w:r>
    </w:p>
    <w:p>
      <w:pPr>
        <w:pStyle w:val="8"/>
        <w:spacing w:line="480" w:lineRule="exact"/>
        <w:ind w:firstLine="480"/>
        <w:rPr>
          <w:rFonts w:ascii="仿宋" w:hAnsi="仿宋" w:eastAsia="仿宋" w:cs="仿宋"/>
          <w:color w:val="auto"/>
          <w:sz w:val="24"/>
          <w:highlight w:val="none"/>
        </w:rPr>
      </w:pPr>
      <w:r>
        <w:rPr>
          <w:rFonts w:ascii="仿宋" w:hAnsi="仿宋" w:eastAsia="仿宋" w:cs="仿宋"/>
          <w:color w:val="auto"/>
          <w:sz w:val="24"/>
          <w:highlight w:val="none"/>
        </w:rPr>
        <w:t>6.</w:t>
      </w:r>
      <w:r>
        <w:rPr>
          <w:rFonts w:hint="eastAsia" w:ascii="仿宋" w:hAnsi="仿宋" w:eastAsia="仿宋" w:cs="仿宋"/>
          <w:color w:val="auto"/>
          <w:sz w:val="24"/>
          <w:highlight w:val="none"/>
        </w:rPr>
        <w:t>履约验收标准：按照《海南热带海洋学院三亚校区部分卫生保洁、绿化养护等物业服务项目（</w:t>
      </w:r>
      <w:r>
        <w:rPr>
          <w:rFonts w:ascii="仿宋" w:hAnsi="仿宋" w:eastAsia="仿宋" w:cs="仿宋"/>
          <w:color w:val="auto"/>
          <w:sz w:val="24"/>
          <w:highlight w:val="none"/>
        </w:rPr>
        <w:t>2025-2028</w:t>
      </w:r>
      <w:r>
        <w:rPr>
          <w:rFonts w:hint="eastAsia" w:ascii="仿宋" w:hAnsi="仿宋" w:eastAsia="仿宋" w:cs="仿宋"/>
          <w:color w:val="auto"/>
          <w:sz w:val="24"/>
          <w:highlight w:val="none"/>
        </w:rPr>
        <w:t>年度）考核办法及检查标准》</w:t>
      </w:r>
      <w:r>
        <w:rPr>
          <w:rFonts w:hint="eastAsia" w:ascii="仿宋" w:hAnsi="仿宋" w:eastAsia="仿宋" w:cs="仿宋"/>
          <w:color w:val="auto"/>
          <w:sz w:val="24"/>
          <w:highlight w:val="none"/>
          <w:lang w:val="en-US" w:eastAsia="zh-CN"/>
        </w:rPr>
        <w:t>及相关行业标准执行</w:t>
      </w:r>
      <w:r>
        <w:rPr>
          <w:rFonts w:hint="eastAsia" w:ascii="仿宋" w:hAnsi="仿宋" w:eastAsia="仿宋" w:cs="仿宋"/>
          <w:color w:val="auto"/>
          <w:sz w:val="24"/>
          <w:highlight w:val="none"/>
        </w:rPr>
        <w:t>。</w:t>
      </w:r>
    </w:p>
    <w:p>
      <w:pPr>
        <w:pStyle w:val="8"/>
        <w:spacing w:line="480" w:lineRule="exact"/>
        <w:ind w:firstLine="480"/>
        <w:rPr>
          <w:rFonts w:ascii="仿宋" w:hAnsi="仿宋" w:eastAsia="仿宋" w:cs="仿宋"/>
          <w:color w:val="auto"/>
          <w:sz w:val="24"/>
          <w:highlight w:val="none"/>
        </w:rPr>
      </w:pPr>
      <w:r>
        <w:rPr>
          <w:rFonts w:hint="eastAsia" w:ascii="仿宋" w:hAnsi="仿宋" w:eastAsia="仿宋" w:cs="仿宋"/>
          <w:color w:val="auto"/>
          <w:sz w:val="24"/>
          <w:highlight w:val="none"/>
        </w:rPr>
        <w:t>7</w:t>
      </w:r>
      <w:r>
        <w:rPr>
          <w:rFonts w:ascii="仿宋" w:hAnsi="仿宋" w:eastAsia="仿宋" w:cs="仿宋"/>
          <w:color w:val="auto"/>
          <w:sz w:val="24"/>
          <w:highlight w:val="none"/>
        </w:rPr>
        <w:t>.</w:t>
      </w:r>
      <w:r>
        <w:rPr>
          <w:rFonts w:hint="eastAsia" w:ascii="仿宋" w:hAnsi="仿宋" w:eastAsia="仿宋" w:cs="仿宋"/>
          <w:color w:val="auto"/>
          <w:sz w:val="24"/>
          <w:highlight w:val="none"/>
        </w:rPr>
        <w:t>乙方需为验收提供必需的一切条件及相关费用，并提供本项目的相关文档和验收所需资料，积极配合甲方完成验收工作。</w:t>
      </w:r>
    </w:p>
    <w:p>
      <w:pPr>
        <w:spacing w:line="440" w:lineRule="exact"/>
        <w:ind w:firstLine="481" w:firstLineChars="200"/>
        <w:jc w:val="left"/>
        <w:rPr>
          <w:rFonts w:ascii="仿宋" w:hAnsi="仿宋" w:eastAsia="仿宋" w:cs="仿宋"/>
          <w:b/>
          <w:color w:val="auto"/>
          <w:sz w:val="24"/>
          <w:highlight w:val="none"/>
        </w:rPr>
      </w:pPr>
      <w:r>
        <w:rPr>
          <w:rFonts w:hint="eastAsia" w:ascii="仿宋" w:hAnsi="仿宋" w:eastAsia="仿宋" w:cs="仿宋"/>
          <w:b/>
          <w:color w:val="auto"/>
          <w:sz w:val="24"/>
          <w:highlight w:val="none"/>
        </w:rPr>
        <w:t>五</w:t>
      </w:r>
      <w:r>
        <w:rPr>
          <w:rFonts w:ascii="仿宋" w:hAnsi="仿宋" w:eastAsia="仿宋" w:cs="仿宋"/>
          <w:b/>
          <w:color w:val="auto"/>
          <w:sz w:val="24"/>
          <w:highlight w:val="none"/>
        </w:rPr>
        <w:t>、</w:t>
      </w:r>
      <w:r>
        <w:rPr>
          <w:rFonts w:hint="eastAsia" w:ascii="仿宋" w:hAnsi="仿宋" w:eastAsia="仿宋" w:cs="仿宋"/>
          <w:b/>
          <w:color w:val="auto"/>
          <w:sz w:val="24"/>
          <w:highlight w:val="none"/>
        </w:rPr>
        <w:t>双方的权利义务</w:t>
      </w:r>
    </w:p>
    <w:p>
      <w:pPr>
        <w:spacing w:line="500" w:lineRule="exact"/>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1.甲方有权要求乙方制定相关物业服务规章制度。甲方有权制定相应的管理措施、监督检查标准等，以保证乙方按照合同及其他双方议定的要求进行服务作业。</w:t>
      </w:r>
    </w:p>
    <w:p>
      <w:pPr>
        <w:spacing w:line="440" w:lineRule="exact"/>
        <w:ind w:firstLine="480" w:firstLineChars="200"/>
        <w:jc w:val="left"/>
        <w:rPr>
          <w:rFonts w:ascii="仿宋" w:hAnsi="仿宋" w:eastAsia="仿宋" w:cs="仿宋"/>
          <w:color w:val="auto"/>
          <w:sz w:val="24"/>
          <w:highlight w:val="none"/>
        </w:rPr>
      </w:pPr>
      <w:r>
        <w:rPr>
          <w:rFonts w:hint="eastAsia" w:ascii="仿宋" w:hAnsi="仿宋" w:eastAsia="仿宋" w:cs="仿宋"/>
          <w:color w:val="auto"/>
          <w:sz w:val="24"/>
          <w:highlight w:val="none"/>
        </w:rPr>
        <w:t>2.甲方负责审定乙方提出的物业服务工作计划。审核乙方的年、季度卫生保洁、维护保养工作计划，并监督实施。</w:t>
      </w:r>
    </w:p>
    <w:p>
      <w:pPr>
        <w:spacing w:line="440" w:lineRule="exact"/>
        <w:ind w:firstLine="480" w:firstLineChars="200"/>
        <w:jc w:val="left"/>
        <w:rPr>
          <w:rFonts w:ascii="仿宋" w:hAnsi="仿宋" w:eastAsia="仿宋" w:cs="仿宋"/>
          <w:color w:val="auto"/>
          <w:sz w:val="24"/>
          <w:highlight w:val="none"/>
        </w:rPr>
      </w:pPr>
      <w:r>
        <w:rPr>
          <w:rFonts w:hint="eastAsia" w:ascii="仿宋" w:hAnsi="仿宋" w:eastAsia="仿宋" w:cs="仿宋"/>
          <w:color w:val="auto"/>
          <w:sz w:val="24"/>
          <w:highlight w:val="none"/>
        </w:rPr>
        <w:t>3.全面监督、指导、检查、验收乙方工作，发现问题及时通知乙方，要求乙方及时予以处理。甲方积极采纳乙方为保证服务工作正常进行而提出的合理化建议，及时处置和协调影响服务工作的不正常问题。</w:t>
      </w:r>
    </w:p>
    <w:p>
      <w:pPr>
        <w:spacing w:line="440" w:lineRule="exact"/>
        <w:ind w:firstLine="480" w:firstLineChars="200"/>
        <w:jc w:val="left"/>
        <w:rPr>
          <w:rFonts w:ascii="仿宋" w:hAnsi="仿宋" w:eastAsia="仿宋" w:cs="仿宋"/>
          <w:color w:val="auto"/>
          <w:sz w:val="24"/>
          <w:highlight w:val="none"/>
        </w:rPr>
      </w:pPr>
      <w:r>
        <w:rPr>
          <w:rFonts w:ascii="仿宋" w:hAnsi="仿宋" w:eastAsia="仿宋" w:cs="仿宋"/>
          <w:color w:val="auto"/>
          <w:sz w:val="24"/>
          <w:highlight w:val="none"/>
        </w:rPr>
        <w:t>4.</w:t>
      </w:r>
      <w:r>
        <w:rPr>
          <w:rFonts w:hint="eastAsia" w:ascii="仿宋" w:hAnsi="仿宋" w:eastAsia="仿宋" w:cs="仿宋"/>
          <w:color w:val="auto"/>
          <w:sz w:val="24"/>
          <w:highlight w:val="none"/>
        </w:rPr>
        <w:t>乙方需根据本合同约定及国家、行业、项目所在地地方的相关标准、规范的规定，提供物业服务，制定相关服务规范和物业管理制度，为甲方受托管理的项目提供专业化的物业服务管理。乙方准备日常维护维修工具，严格培训和管理派驻的员工。</w:t>
      </w:r>
    </w:p>
    <w:p>
      <w:pPr>
        <w:spacing w:line="440" w:lineRule="exact"/>
        <w:ind w:firstLine="480" w:firstLineChars="200"/>
        <w:jc w:val="left"/>
        <w:rPr>
          <w:rFonts w:ascii="仿宋" w:hAnsi="仿宋" w:eastAsia="仿宋" w:cs="仿宋"/>
          <w:color w:val="auto"/>
          <w:sz w:val="24"/>
          <w:highlight w:val="none"/>
        </w:rPr>
      </w:pPr>
      <w:r>
        <w:rPr>
          <w:rFonts w:hint="eastAsia" w:ascii="仿宋" w:hAnsi="仿宋" w:eastAsia="仿宋" w:cs="仿宋"/>
          <w:color w:val="auto"/>
          <w:sz w:val="24"/>
          <w:highlight w:val="none"/>
        </w:rPr>
        <w:t>5.乙方按合同规定的服务内容和标准认真、及时完成服务工作，保证甲方服务区域内环境整洁、美观，各项服务高效、周到、优质。</w:t>
      </w:r>
    </w:p>
    <w:p>
      <w:pPr>
        <w:spacing w:line="500" w:lineRule="exact"/>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6.乙方管理人员必须爱护甲方的各种设施、设备，并节约用水用电。由于乙方原因造成甲方财产损坏等事故，责任由乙方承担，乙方负责免费修复或按原价赔偿。</w:t>
      </w:r>
    </w:p>
    <w:p>
      <w:pPr>
        <w:spacing w:line="500" w:lineRule="exact"/>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7.乙方必须加强本单位管理人员安全生产教育、培训工作，做到安全作业。在履行本合同期间，乙方工作人员如发生人身伤亡或造成其他责任事故，一切责任由乙方自行承担，与甲方无关。</w:t>
      </w:r>
    </w:p>
    <w:p>
      <w:pPr>
        <w:spacing w:line="440" w:lineRule="exact"/>
        <w:ind w:firstLine="480" w:firstLineChars="200"/>
        <w:jc w:val="left"/>
        <w:rPr>
          <w:rFonts w:ascii="仿宋" w:hAnsi="仿宋" w:eastAsia="仿宋" w:cs="仿宋"/>
          <w:color w:val="auto"/>
          <w:sz w:val="24"/>
          <w:highlight w:val="none"/>
        </w:rPr>
      </w:pPr>
      <w:r>
        <w:rPr>
          <w:rFonts w:hint="eastAsia" w:ascii="仿宋" w:hAnsi="仿宋" w:eastAsia="仿宋" w:cs="仿宋"/>
          <w:color w:val="auto"/>
          <w:sz w:val="24"/>
          <w:highlight w:val="none"/>
        </w:rPr>
        <w:t>8.乙方管理人员必须严格遵守甲方学校的物业管理有关规定及工作规章制度，服从甲方管理，不影响办公正常运转，文明工作，礼貌待人。</w:t>
      </w:r>
    </w:p>
    <w:p>
      <w:pPr>
        <w:spacing w:line="440" w:lineRule="exact"/>
        <w:ind w:firstLine="480" w:firstLineChars="200"/>
        <w:jc w:val="left"/>
        <w:rPr>
          <w:rFonts w:ascii="仿宋" w:hAnsi="仿宋" w:eastAsia="仿宋" w:cs="仿宋"/>
          <w:color w:val="auto"/>
          <w:sz w:val="24"/>
          <w:highlight w:val="none"/>
        </w:rPr>
      </w:pPr>
      <w:r>
        <w:rPr>
          <w:rFonts w:hint="eastAsia" w:ascii="仿宋" w:hAnsi="仿宋" w:eastAsia="仿宋" w:cs="仿宋"/>
          <w:color w:val="auto"/>
          <w:sz w:val="24"/>
          <w:highlight w:val="none"/>
        </w:rPr>
        <w:t>9.遇有甲方事先通知的重大礼仪、会议活动，或遇自然灾害等特殊情况时，乙方必须积极及时组织力量做好服务保障工作或搞好抢险救灾工作。</w:t>
      </w:r>
    </w:p>
    <w:p>
      <w:pPr>
        <w:spacing w:line="440" w:lineRule="exact"/>
        <w:ind w:firstLine="481" w:firstLineChars="200"/>
        <w:jc w:val="left"/>
        <w:rPr>
          <w:rFonts w:ascii="仿宋" w:hAnsi="仿宋" w:eastAsia="仿宋" w:cs="仿宋"/>
          <w:b/>
          <w:color w:val="auto"/>
          <w:sz w:val="24"/>
          <w:highlight w:val="none"/>
        </w:rPr>
      </w:pPr>
      <w:r>
        <w:rPr>
          <w:rFonts w:hint="eastAsia" w:ascii="仿宋" w:hAnsi="仿宋" w:eastAsia="仿宋" w:cs="仿宋"/>
          <w:b/>
          <w:color w:val="auto"/>
          <w:sz w:val="24"/>
          <w:highlight w:val="none"/>
        </w:rPr>
        <w:t>六、</w:t>
      </w:r>
      <w:r>
        <w:rPr>
          <w:rFonts w:ascii="仿宋" w:hAnsi="仿宋" w:eastAsia="仿宋" w:cs="仿宋"/>
          <w:b/>
          <w:color w:val="auto"/>
          <w:sz w:val="24"/>
          <w:highlight w:val="none"/>
        </w:rPr>
        <w:t>服务费用及付款方式</w:t>
      </w:r>
    </w:p>
    <w:p>
      <w:pPr>
        <w:spacing w:line="480" w:lineRule="exact"/>
        <w:ind w:firstLine="480" w:firstLineChars="200"/>
        <w:jc w:val="left"/>
        <w:rPr>
          <w:rFonts w:ascii="仿宋" w:hAnsi="仿宋" w:eastAsia="仿宋" w:cs="仿宋"/>
          <w:color w:val="auto"/>
          <w:sz w:val="24"/>
          <w:highlight w:val="none"/>
        </w:rPr>
      </w:pPr>
      <w:r>
        <w:rPr>
          <w:rFonts w:hint="eastAsia" w:ascii="仿宋" w:hAnsi="仿宋" w:eastAsia="仿宋" w:cs="仿宋"/>
          <w:color w:val="auto"/>
          <w:sz w:val="24"/>
          <w:highlight w:val="none"/>
        </w:rPr>
        <w:t>1.服务费用:合同总价为人民币</w:t>
      </w:r>
      <w:r>
        <w:rPr>
          <w:rFonts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 xml:space="preserve">元(大写: </w:t>
      </w:r>
      <w:r>
        <w:rPr>
          <w:rFonts w:hint="eastAsia" w:ascii="仿宋" w:hAnsi="仿宋" w:eastAsia="仿宋" w:cs="仿宋"/>
          <w:color w:val="auto"/>
          <w:sz w:val="24"/>
          <w:highlight w:val="none"/>
          <w:lang w:val="en-US" w:eastAsia="zh-CN"/>
        </w:rPr>
        <w:t xml:space="preserve">  </w:t>
      </w:r>
      <w:r>
        <w:rPr>
          <w:rFonts w:ascii="仿宋" w:hAnsi="仿宋" w:eastAsia="仿宋" w:cs="仿宋"/>
          <w:color w:val="auto"/>
          <w:sz w:val="24"/>
          <w:highlight w:val="none"/>
        </w:rPr>
        <w:t xml:space="preserve">  </w:t>
      </w:r>
      <w:r>
        <w:rPr>
          <w:rFonts w:hint="eastAsia" w:ascii="仿宋" w:hAnsi="仿宋" w:eastAsia="仿宋" w:cs="仿宋"/>
          <w:color w:val="auto"/>
          <w:sz w:val="24"/>
          <w:highlight w:val="none"/>
        </w:rPr>
        <w:t>)，年服务费：</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 xml:space="preserve">元（ </w:t>
      </w:r>
      <w:r>
        <w:rPr>
          <w:rFonts w:ascii="仿宋" w:hAnsi="仿宋" w:eastAsia="仿宋" w:cs="仿宋"/>
          <w:color w:val="auto"/>
          <w:sz w:val="24"/>
          <w:highlight w:val="none"/>
        </w:rPr>
        <w:t xml:space="preserve">   </w:t>
      </w:r>
      <w:r>
        <w:rPr>
          <w:rFonts w:hint="eastAsia" w:ascii="仿宋" w:hAnsi="仿宋" w:eastAsia="仿宋" w:cs="仿宋"/>
          <w:color w:val="auto"/>
          <w:sz w:val="24"/>
          <w:highlight w:val="none"/>
        </w:rPr>
        <w:t>），月服务费：</w:t>
      </w:r>
      <w:r>
        <w:rPr>
          <w:rFonts w:ascii="仿宋" w:hAnsi="仿宋" w:eastAsia="仿宋" w:cs="仿宋"/>
          <w:color w:val="auto"/>
          <w:sz w:val="24"/>
          <w:highlight w:val="none"/>
        </w:rPr>
        <w:t xml:space="preserve">  </w:t>
      </w:r>
      <w:r>
        <w:rPr>
          <w:rFonts w:hint="eastAsia" w:ascii="仿宋" w:hAnsi="仿宋" w:eastAsia="仿宋" w:cs="仿宋"/>
          <w:color w:val="auto"/>
          <w:sz w:val="24"/>
          <w:highlight w:val="none"/>
        </w:rPr>
        <w:t xml:space="preserve">元（ </w:t>
      </w:r>
      <w:r>
        <w:rPr>
          <w:rFonts w:ascii="仿宋" w:hAnsi="仿宋" w:eastAsia="仿宋" w:cs="仿宋"/>
          <w:color w:val="auto"/>
          <w:sz w:val="24"/>
          <w:highlight w:val="none"/>
        </w:rPr>
        <w:t xml:space="preserve">  </w:t>
      </w:r>
      <w:r>
        <w:rPr>
          <w:rFonts w:hint="eastAsia" w:ascii="仿宋" w:hAnsi="仿宋" w:eastAsia="仿宋" w:cs="仿宋"/>
          <w:color w:val="auto"/>
          <w:sz w:val="24"/>
          <w:highlight w:val="none"/>
        </w:rPr>
        <w:t>）。合同价格按此次中标价格执行，人民币</w:t>
      </w:r>
      <w:r>
        <w:rPr>
          <w:rFonts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 xml:space="preserve">元(大写: </w:t>
      </w:r>
      <w:r>
        <w:rPr>
          <w:rFonts w:ascii="仿宋" w:hAnsi="仿宋" w:eastAsia="仿宋" w:cs="仿宋"/>
          <w:color w:val="auto"/>
          <w:sz w:val="24"/>
          <w:highlight w:val="none"/>
        </w:rPr>
        <w:t xml:space="preserve">    </w:t>
      </w:r>
      <w:r>
        <w:rPr>
          <w:rFonts w:hint="eastAsia" w:ascii="仿宋" w:hAnsi="仿宋" w:eastAsia="仿宋" w:cs="仿宋"/>
          <w:color w:val="auto"/>
          <w:sz w:val="24"/>
          <w:highlight w:val="none"/>
        </w:rPr>
        <w:t>)。合同总价包括管理费、人员费用(含工资、奖金、社保及教育培训、暂住费用、处理一切伤亡事故等费用)、税收、生产资料(环保垃圾袋、消毒液、扫把、拖把、肥料、相关器械及其耗损、卫生保洁绿化养护等工具)等一切费用。除上述服务费用外，甲方不需向乙方支付其他任何费用。采用全包干形式，即业务包干、经费包干。</w:t>
      </w:r>
    </w:p>
    <w:p>
      <w:pPr>
        <w:spacing w:line="360" w:lineRule="auto"/>
        <w:ind w:firstLine="480" w:firstLineChars="200"/>
        <w:jc w:val="left"/>
        <w:rPr>
          <w:rFonts w:ascii="仿宋" w:hAnsi="仿宋" w:eastAsia="仿宋" w:cs="仿宋"/>
          <w:color w:val="auto"/>
          <w:sz w:val="24"/>
          <w:highlight w:val="none"/>
        </w:rPr>
      </w:pPr>
      <w:r>
        <w:rPr>
          <w:rFonts w:hint="eastAsia" w:ascii="仿宋" w:hAnsi="仿宋" w:eastAsia="仿宋" w:cs="仿宋"/>
          <w:color w:val="auto"/>
          <w:sz w:val="24"/>
          <w:highlight w:val="none"/>
        </w:rPr>
        <w:t>2.合同生效后，服务费采取先服务后付款的形式按季度结算。乙方在完成每季度服务经甲方确认达标后，根据考核评价情况，乙方开具正规等额服务发票，甲方在收到等额发票后，在完成付款审核审批手续后以转账方式将上季度款项支付给乙方（如中标单位提供服务不足一个季度时，按月计算，不足一个月时按日计算）。</w:t>
      </w:r>
    </w:p>
    <w:p>
      <w:pPr>
        <w:spacing w:line="440" w:lineRule="exact"/>
        <w:ind w:firstLine="481" w:firstLineChars="200"/>
        <w:jc w:val="left"/>
        <w:rPr>
          <w:rFonts w:ascii="仿宋" w:hAnsi="仿宋" w:eastAsia="仿宋" w:cs="仿宋"/>
          <w:b/>
          <w:color w:val="auto"/>
          <w:sz w:val="24"/>
          <w:highlight w:val="none"/>
        </w:rPr>
      </w:pPr>
      <w:r>
        <w:rPr>
          <w:rFonts w:hint="eastAsia" w:ascii="仿宋" w:hAnsi="仿宋" w:eastAsia="仿宋" w:cs="仿宋"/>
          <w:b/>
          <w:color w:val="auto"/>
          <w:sz w:val="24"/>
          <w:highlight w:val="none"/>
        </w:rPr>
        <w:t>七、奖惩机制</w:t>
      </w:r>
    </w:p>
    <w:p>
      <w:pPr>
        <w:autoSpaceDE w:val="0"/>
        <w:autoSpaceDN w:val="0"/>
        <w:adjustRightInd w:val="0"/>
        <w:spacing w:line="400" w:lineRule="exact"/>
        <w:ind w:firstLine="480" w:firstLineChars="200"/>
        <w:jc w:val="left"/>
        <w:rPr>
          <w:rFonts w:ascii="仿宋" w:hAnsi="仿宋" w:eastAsia="仿宋" w:cs="仿宋"/>
          <w:color w:val="auto"/>
          <w:sz w:val="24"/>
          <w:highlight w:val="none"/>
        </w:rPr>
      </w:pPr>
      <w:r>
        <w:rPr>
          <w:rFonts w:hint="eastAsia" w:ascii="仿宋" w:hAnsi="仿宋" w:eastAsia="仿宋" w:cs="仿宋"/>
          <w:color w:val="auto"/>
          <w:sz w:val="24"/>
          <w:highlight w:val="none"/>
        </w:rPr>
        <w:t>1</w:t>
      </w:r>
      <w:r>
        <w:rPr>
          <w:rFonts w:ascii="仿宋" w:hAnsi="仿宋" w:eastAsia="仿宋" w:cs="仿宋"/>
          <w:color w:val="auto"/>
          <w:sz w:val="24"/>
          <w:highlight w:val="none"/>
        </w:rPr>
        <w:t>.</w:t>
      </w:r>
      <w:r>
        <w:rPr>
          <w:rFonts w:hint="eastAsia" w:ascii="仿宋" w:hAnsi="仿宋" w:eastAsia="仿宋" w:cs="仿宋"/>
          <w:color w:val="auto"/>
          <w:sz w:val="24"/>
          <w:highlight w:val="none"/>
        </w:rPr>
        <w:t>采购单位对中标人的物业管理服务质量进行考核及季度扣罚，以季度为单位进行考核，每季度服务费用与考核评价结果挂钩。上季的扣罚费用在下季的服务费内进行扣减。</w:t>
      </w:r>
    </w:p>
    <w:p>
      <w:pPr>
        <w:autoSpaceDE w:val="0"/>
        <w:autoSpaceDN w:val="0"/>
        <w:adjustRightInd w:val="0"/>
        <w:spacing w:line="400" w:lineRule="exact"/>
        <w:ind w:firstLine="480" w:firstLineChars="200"/>
        <w:jc w:val="left"/>
        <w:rPr>
          <w:rFonts w:ascii="仿宋" w:hAnsi="仿宋" w:eastAsia="仿宋" w:cs="仿宋"/>
          <w:color w:val="auto"/>
          <w:sz w:val="24"/>
          <w:highlight w:val="none"/>
        </w:rPr>
      </w:pPr>
      <w:r>
        <w:rPr>
          <w:rFonts w:ascii="仿宋" w:hAnsi="仿宋" w:eastAsia="仿宋" w:cs="仿宋"/>
          <w:color w:val="auto"/>
          <w:sz w:val="24"/>
          <w:highlight w:val="none"/>
        </w:rPr>
        <w:t>2.</w:t>
      </w:r>
      <w:r>
        <w:rPr>
          <w:rFonts w:hint="eastAsia" w:ascii="仿宋" w:hAnsi="仿宋" w:eastAsia="仿宋" w:cs="仿宋"/>
          <w:color w:val="auto"/>
          <w:sz w:val="24"/>
          <w:highlight w:val="none"/>
        </w:rPr>
        <w:t>中标人未按照承诺配备使用机械设备，扣除当季合同服务金额的</w:t>
      </w:r>
      <w:r>
        <w:rPr>
          <w:rFonts w:ascii="仿宋" w:hAnsi="仿宋" w:eastAsia="仿宋" w:cs="仿宋"/>
          <w:color w:val="auto"/>
          <w:sz w:val="24"/>
          <w:highlight w:val="none"/>
        </w:rPr>
        <w:t>1%</w:t>
      </w:r>
      <w:r>
        <w:rPr>
          <w:rFonts w:hint="eastAsia" w:ascii="仿宋" w:hAnsi="仿宋" w:eastAsia="仿宋" w:cs="仿宋"/>
          <w:color w:val="auto"/>
          <w:sz w:val="24"/>
          <w:highlight w:val="none"/>
        </w:rPr>
        <w:t>，上季的扣罚费用在下季的服务费内进行扣减。</w:t>
      </w:r>
    </w:p>
    <w:p>
      <w:pPr>
        <w:autoSpaceDE w:val="0"/>
        <w:autoSpaceDN w:val="0"/>
        <w:adjustRightInd w:val="0"/>
        <w:spacing w:line="400" w:lineRule="exact"/>
        <w:ind w:firstLine="480" w:firstLineChars="200"/>
        <w:jc w:val="left"/>
        <w:rPr>
          <w:rFonts w:ascii="仿宋" w:hAnsi="仿宋" w:eastAsia="仿宋" w:cs="仿宋"/>
          <w:color w:val="auto"/>
          <w:sz w:val="24"/>
          <w:highlight w:val="none"/>
        </w:rPr>
      </w:pPr>
      <w:r>
        <w:rPr>
          <w:rFonts w:ascii="仿宋" w:hAnsi="仿宋" w:eastAsia="仿宋" w:cs="仿宋"/>
          <w:color w:val="auto"/>
          <w:sz w:val="24"/>
          <w:highlight w:val="none"/>
        </w:rPr>
        <w:t>3.</w:t>
      </w:r>
      <w:r>
        <w:rPr>
          <w:rFonts w:hint="eastAsia" w:ascii="仿宋" w:hAnsi="仿宋" w:eastAsia="仿宋" w:cs="仿宋"/>
          <w:color w:val="auto"/>
          <w:sz w:val="24"/>
          <w:highlight w:val="none"/>
        </w:rPr>
        <w:t>每季度物业管理费用＝中标合同金额合计÷物业管理服务的季度数-根据考核情况需要减值的部分费用。</w:t>
      </w:r>
    </w:p>
    <w:p>
      <w:pPr>
        <w:autoSpaceDE w:val="0"/>
        <w:autoSpaceDN w:val="0"/>
        <w:adjustRightInd w:val="0"/>
        <w:spacing w:line="400" w:lineRule="exact"/>
        <w:ind w:firstLine="480" w:firstLineChars="200"/>
        <w:jc w:val="left"/>
        <w:rPr>
          <w:rFonts w:hint="eastAsia" w:ascii="仿宋" w:hAnsi="仿宋" w:eastAsia="仿宋" w:cs="仿宋"/>
          <w:color w:val="auto"/>
          <w:sz w:val="24"/>
          <w:highlight w:val="none"/>
        </w:rPr>
      </w:pPr>
      <w:r>
        <w:rPr>
          <w:rFonts w:ascii="仿宋" w:hAnsi="仿宋" w:eastAsia="仿宋" w:cs="仿宋"/>
          <w:color w:val="auto"/>
          <w:sz w:val="24"/>
          <w:highlight w:val="none"/>
        </w:rPr>
        <w:t>4</w:t>
      </w:r>
      <w:r>
        <w:rPr>
          <w:rFonts w:hint="eastAsia" w:ascii="仿宋" w:hAnsi="仿宋" w:eastAsia="仿宋" w:cs="仿宋"/>
          <w:color w:val="auto"/>
          <w:sz w:val="24"/>
          <w:highlight w:val="none"/>
        </w:rPr>
        <w:t>.因中标人物业服务工作中失职或服务不达标，给采购单位造成人员伤害或财产损失，中标人承担由此造成的全部责任。</w:t>
      </w:r>
    </w:p>
    <w:p>
      <w:pPr>
        <w:autoSpaceDE w:val="0"/>
        <w:autoSpaceDN w:val="0"/>
        <w:adjustRightInd w:val="0"/>
        <w:spacing w:line="400" w:lineRule="exact"/>
        <w:ind w:firstLine="480" w:firstLineChars="200"/>
        <w:jc w:val="left"/>
        <w:rPr>
          <w:rFonts w:ascii="仿宋" w:hAnsi="仿宋" w:eastAsia="仿宋" w:cs="仿宋"/>
          <w:color w:val="auto"/>
          <w:sz w:val="24"/>
          <w:highlight w:val="none"/>
        </w:rPr>
      </w:pPr>
      <w:r>
        <w:rPr>
          <w:rFonts w:hint="eastAsia" w:ascii="仿宋" w:hAnsi="仿宋" w:eastAsia="仿宋" w:cs="仿宋"/>
          <w:color w:val="auto"/>
          <w:sz w:val="24"/>
          <w:highlight w:val="none"/>
        </w:rPr>
        <w:t>5.</w:t>
      </w:r>
      <w:r>
        <w:rPr>
          <w:rFonts w:ascii="仿宋" w:hAnsi="仿宋" w:eastAsia="仿宋" w:cs="仿宋"/>
          <w:color w:val="auto"/>
          <w:sz w:val="24"/>
          <w:highlight w:val="none"/>
        </w:rPr>
        <w:t>乙方在工作（如抗风抢险、学校重大活动等）中有突出贡献或创新举措可以适当给与奖励</w:t>
      </w:r>
      <w:r>
        <w:rPr>
          <w:rFonts w:hint="eastAsia" w:ascii="仿宋" w:hAnsi="仿宋" w:eastAsia="仿宋" w:cs="仿宋"/>
          <w:color w:val="auto"/>
          <w:sz w:val="24"/>
          <w:highlight w:val="none"/>
        </w:rPr>
        <w:t>。</w:t>
      </w:r>
    </w:p>
    <w:p>
      <w:pPr>
        <w:spacing w:line="440" w:lineRule="exact"/>
        <w:ind w:firstLine="481" w:firstLineChars="200"/>
        <w:jc w:val="left"/>
        <w:rPr>
          <w:rFonts w:ascii="仿宋" w:hAnsi="仿宋" w:eastAsia="仿宋" w:cs="仿宋"/>
          <w:b/>
          <w:color w:val="auto"/>
          <w:sz w:val="24"/>
          <w:highlight w:val="none"/>
        </w:rPr>
      </w:pPr>
      <w:r>
        <w:rPr>
          <w:rFonts w:hint="eastAsia" w:ascii="仿宋" w:hAnsi="仿宋" w:eastAsia="仿宋" w:cs="仿宋"/>
          <w:b/>
          <w:color w:val="auto"/>
          <w:sz w:val="24"/>
          <w:highlight w:val="none"/>
        </w:rPr>
        <w:t>八、违约责任</w:t>
      </w:r>
    </w:p>
    <w:p>
      <w:pPr>
        <w:autoSpaceDE w:val="0"/>
        <w:autoSpaceDN w:val="0"/>
        <w:adjustRightInd w:val="0"/>
        <w:spacing w:line="400" w:lineRule="exact"/>
        <w:ind w:firstLine="480" w:firstLineChars="200"/>
        <w:jc w:val="left"/>
        <w:rPr>
          <w:rFonts w:ascii="仿宋" w:hAnsi="仿宋" w:eastAsia="仿宋" w:cs="仿宋"/>
          <w:color w:val="auto"/>
          <w:sz w:val="24"/>
          <w:highlight w:val="none"/>
        </w:rPr>
      </w:pPr>
      <w:r>
        <w:rPr>
          <w:rFonts w:hint="eastAsia" w:ascii="仿宋" w:hAnsi="仿宋" w:eastAsia="仿宋" w:cs="仿宋"/>
          <w:color w:val="auto"/>
          <w:sz w:val="24"/>
          <w:highlight w:val="none"/>
        </w:rPr>
        <w:t>1.合同生效后，甲乙双方应按合同规定认真履约。合同履约责任只涉及合同甲乙双方，不考虑第三方因素。</w:t>
      </w:r>
    </w:p>
    <w:p>
      <w:pPr>
        <w:spacing w:line="440" w:lineRule="exact"/>
        <w:ind w:firstLine="480" w:firstLineChars="200"/>
        <w:jc w:val="left"/>
        <w:rPr>
          <w:rFonts w:ascii="仿宋" w:hAnsi="仿宋" w:eastAsia="仿宋" w:cs="仿宋"/>
          <w:color w:val="auto"/>
          <w:sz w:val="24"/>
          <w:highlight w:val="none"/>
        </w:rPr>
      </w:pPr>
      <w:r>
        <w:rPr>
          <w:rFonts w:hint="eastAsia" w:ascii="仿宋" w:hAnsi="仿宋" w:eastAsia="仿宋" w:cs="仿宋"/>
          <w:color w:val="auto"/>
          <w:sz w:val="24"/>
          <w:highlight w:val="none"/>
        </w:rPr>
        <w:t>2.乙方若因非不可抗力因素无法按时提供服务，乙方应从要求最迟服务起始日期的次日起，每日向甲方支付延迟服务部分服务费的千分之一的违约金，并赔偿甲方因乙方违约造成的实际损失。</w:t>
      </w:r>
    </w:p>
    <w:p>
      <w:pPr>
        <w:spacing w:line="440" w:lineRule="exact"/>
        <w:ind w:firstLine="480" w:firstLineChars="200"/>
        <w:jc w:val="left"/>
        <w:rPr>
          <w:rFonts w:ascii="仿宋" w:hAnsi="仿宋" w:eastAsia="仿宋" w:cs="仿宋"/>
          <w:color w:val="auto"/>
          <w:sz w:val="24"/>
          <w:highlight w:val="none"/>
        </w:rPr>
      </w:pPr>
      <w:r>
        <w:rPr>
          <w:rFonts w:hint="eastAsia" w:ascii="仿宋" w:hAnsi="仿宋" w:eastAsia="仿宋" w:cs="仿宋"/>
          <w:color w:val="auto"/>
          <w:sz w:val="24"/>
          <w:highlight w:val="none"/>
        </w:rPr>
        <w:t>3.除不可抗力原因外，如遇下列情况之一者，甲方有权单方面终止合同，并追究乙方的相关责任：（1）合同签订后不能按合同时限要求提供服务；（2）所供服务不合格或与合同不符；（3）不能按合同履约。</w:t>
      </w:r>
    </w:p>
    <w:p>
      <w:pPr>
        <w:spacing w:line="440" w:lineRule="exact"/>
        <w:ind w:firstLine="480" w:firstLineChars="200"/>
        <w:jc w:val="left"/>
        <w:rPr>
          <w:rFonts w:ascii="仿宋" w:hAnsi="仿宋" w:eastAsia="仿宋" w:cs="仿宋"/>
          <w:color w:val="auto"/>
          <w:sz w:val="24"/>
          <w:highlight w:val="none"/>
        </w:rPr>
      </w:pPr>
      <w:r>
        <w:rPr>
          <w:rFonts w:hint="eastAsia" w:ascii="仿宋" w:hAnsi="仿宋" w:eastAsia="仿宋" w:cs="仿宋"/>
          <w:color w:val="auto"/>
          <w:sz w:val="24"/>
          <w:highlight w:val="none"/>
        </w:rPr>
        <w:t>4.乙方对所供服务出现的问题推托、拖延，未在约定时间内做出服务响应的，每逾期一日按每年服务金额百分之一支付违约金，此项违约金额以服务年度服务金额的百分之十为限度。</w:t>
      </w:r>
    </w:p>
    <w:p>
      <w:pPr>
        <w:spacing w:line="440" w:lineRule="exact"/>
        <w:ind w:firstLine="480" w:firstLineChars="200"/>
        <w:jc w:val="left"/>
        <w:rPr>
          <w:rFonts w:ascii="仿宋" w:hAnsi="仿宋" w:eastAsia="仿宋" w:cs="仿宋"/>
          <w:color w:val="auto"/>
          <w:sz w:val="24"/>
          <w:highlight w:val="none"/>
        </w:rPr>
      </w:pPr>
      <w:r>
        <w:rPr>
          <w:rFonts w:hint="eastAsia" w:ascii="仿宋" w:hAnsi="仿宋" w:eastAsia="仿宋" w:cs="仿宋"/>
          <w:color w:val="auto"/>
          <w:sz w:val="24"/>
          <w:highlight w:val="none"/>
        </w:rPr>
        <w:t>5.合同履约过程中，甲方应积极配合乙方进行验收以及验收前的配合等工作，否则因此导致服务不能按期验收时，不能追究乙方责任。</w:t>
      </w:r>
    </w:p>
    <w:p>
      <w:pPr>
        <w:spacing w:line="440" w:lineRule="exact"/>
        <w:ind w:firstLine="480" w:firstLineChars="200"/>
        <w:jc w:val="left"/>
        <w:rPr>
          <w:rFonts w:ascii="仿宋" w:hAnsi="仿宋" w:eastAsia="仿宋" w:cs="仿宋"/>
          <w:color w:val="auto"/>
          <w:sz w:val="24"/>
          <w:highlight w:val="none"/>
        </w:rPr>
      </w:pPr>
      <w:r>
        <w:rPr>
          <w:rFonts w:hint="eastAsia" w:ascii="仿宋" w:hAnsi="仿宋" w:eastAsia="仿宋" w:cs="仿宋"/>
          <w:color w:val="auto"/>
          <w:sz w:val="24"/>
          <w:highlight w:val="none"/>
        </w:rPr>
        <w:t>6.甲方应在服务验收合格后15天内按规定向乙方付款，最长时间不能超过30天，甲方因财政审批和拨付原因造成付款迟延的不承担违约责任，付款前乙方应向甲方出具符合甲方要求的合法等额发票。若因乙方未提供发票或者提供的发票不合规的，甲方有权拒绝付款且不承担任何违约责任。</w:t>
      </w:r>
    </w:p>
    <w:p>
      <w:pPr>
        <w:pStyle w:val="2"/>
        <w:spacing w:line="360" w:lineRule="auto"/>
        <w:ind w:firstLine="420"/>
        <w:rPr>
          <w:rFonts w:eastAsia="仿宋"/>
          <w:color w:val="auto"/>
          <w:highlight w:val="none"/>
        </w:rPr>
      </w:pPr>
      <w:r>
        <w:rPr>
          <w:rFonts w:hint="eastAsia" w:ascii="仿宋" w:hAnsi="仿宋" w:eastAsia="仿宋" w:cs="仿宋"/>
          <w:color w:val="auto"/>
          <w:sz w:val="24"/>
          <w:highlight w:val="none"/>
        </w:rPr>
        <w:t>7.在合同履行过程中，乙方存在严重违约，致使合同根本目的不能实现，甲方有权解除合同，并重新聘请物业服务企业。乙方应自解除通知送达之日起，在一个月内完成物业服务交接工作。</w:t>
      </w:r>
    </w:p>
    <w:p>
      <w:pPr>
        <w:spacing w:line="360" w:lineRule="auto"/>
        <w:ind w:firstLine="481" w:firstLineChars="200"/>
        <w:jc w:val="left"/>
        <w:rPr>
          <w:rFonts w:ascii="仿宋" w:hAnsi="仿宋" w:eastAsia="仿宋" w:cs="仿宋"/>
          <w:b/>
          <w:color w:val="auto"/>
          <w:sz w:val="24"/>
          <w:highlight w:val="none"/>
        </w:rPr>
      </w:pPr>
      <w:r>
        <w:rPr>
          <w:rFonts w:hint="eastAsia" w:ascii="仿宋" w:hAnsi="仿宋" w:eastAsia="仿宋" w:cs="仿宋"/>
          <w:b/>
          <w:color w:val="auto"/>
          <w:sz w:val="24"/>
          <w:highlight w:val="none"/>
        </w:rPr>
        <w:t>九、不可抗力</w:t>
      </w:r>
    </w:p>
    <w:p>
      <w:pPr>
        <w:spacing w:line="440" w:lineRule="exact"/>
        <w:ind w:firstLine="480" w:firstLineChars="200"/>
        <w:jc w:val="left"/>
        <w:rPr>
          <w:rFonts w:ascii="仿宋" w:hAnsi="仿宋" w:eastAsia="仿宋" w:cs="仿宋"/>
          <w:color w:val="auto"/>
          <w:sz w:val="24"/>
          <w:highlight w:val="none"/>
        </w:rPr>
      </w:pPr>
      <w:r>
        <w:rPr>
          <w:rFonts w:hint="eastAsia" w:ascii="仿宋" w:hAnsi="仿宋" w:eastAsia="仿宋" w:cs="仿宋"/>
          <w:color w:val="auto"/>
          <w:sz w:val="24"/>
          <w:highlight w:val="none"/>
        </w:rPr>
        <w:t>1.不可抗力是指本合同生效后，发生合同订立时不能预见、不能避免，并不能克服的客观情况，如地震、台风、水灾、战争等，致使直接影响本合同的履行或不能按约定的条件履行。</w:t>
      </w:r>
    </w:p>
    <w:p>
      <w:pPr>
        <w:spacing w:line="440" w:lineRule="exact"/>
        <w:ind w:firstLine="480" w:firstLineChars="200"/>
        <w:jc w:val="left"/>
        <w:rPr>
          <w:rFonts w:ascii="仿宋" w:hAnsi="仿宋" w:eastAsia="仿宋" w:cs="仿宋"/>
          <w:color w:val="auto"/>
          <w:sz w:val="24"/>
          <w:highlight w:val="none"/>
        </w:rPr>
      </w:pPr>
      <w:r>
        <w:rPr>
          <w:rFonts w:hint="eastAsia" w:ascii="仿宋" w:hAnsi="仿宋" w:eastAsia="仿宋" w:cs="仿宋"/>
          <w:color w:val="auto"/>
          <w:sz w:val="24"/>
          <w:highlight w:val="none"/>
        </w:rPr>
        <w:t>2.发生不可抗力的一方应立即通知对方，并在十五天内提供不可抗力的详情及将有关证明文件送交对方。</w:t>
      </w:r>
    </w:p>
    <w:p>
      <w:pPr>
        <w:spacing w:line="440" w:lineRule="exact"/>
        <w:ind w:firstLine="480" w:firstLineChars="200"/>
        <w:jc w:val="left"/>
        <w:rPr>
          <w:rFonts w:ascii="仿宋" w:hAnsi="仿宋" w:eastAsia="仿宋" w:cs="仿宋"/>
          <w:color w:val="auto"/>
          <w:sz w:val="24"/>
          <w:highlight w:val="none"/>
        </w:rPr>
      </w:pPr>
      <w:r>
        <w:rPr>
          <w:rFonts w:hint="eastAsia" w:ascii="仿宋" w:hAnsi="仿宋" w:eastAsia="仿宋" w:cs="仿宋"/>
          <w:color w:val="auto"/>
          <w:sz w:val="24"/>
          <w:highlight w:val="none"/>
        </w:rPr>
        <w:t>3.发生不可抗力事件时，甲乙双方应协商以寻找合理的解决方法，双方不可放任不可抗力事件损害后果。</w:t>
      </w:r>
    </w:p>
    <w:p>
      <w:pPr>
        <w:spacing w:line="440" w:lineRule="exact"/>
        <w:ind w:firstLine="480" w:firstLineChars="200"/>
        <w:jc w:val="left"/>
        <w:rPr>
          <w:rFonts w:ascii="仿宋" w:hAnsi="仿宋" w:eastAsia="仿宋" w:cs="仿宋"/>
          <w:color w:val="auto"/>
          <w:sz w:val="24"/>
          <w:highlight w:val="none"/>
        </w:rPr>
      </w:pPr>
      <w:r>
        <w:rPr>
          <w:rFonts w:hint="eastAsia" w:ascii="仿宋" w:hAnsi="仿宋" w:eastAsia="仿宋" w:cs="仿宋"/>
          <w:color w:val="auto"/>
          <w:sz w:val="24"/>
          <w:highlight w:val="none"/>
        </w:rPr>
        <w:t>4.如不可抗力事件持续三十天时，甲乙双方应友好协商解决本合同是否继续履行或终止的问题。</w:t>
      </w:r>
    </w:p>
    <w:p>
      <w:pPr>
        <w:spacing w:line="440" w:lineRule="exact"/>
        <w:ind w:firstLine="481" w:firstLineChars="200"/>
        <w:jc w:val="left"/>
        <w:rPr>
          <w:rFonts w:ascii="仿宋" w:hAnsi="仿宋" w:eastAsia="仿宋" w:cs="仿宋"/>
          <w:b/>
          <w:color w:val="auto"/>
          <w:sz w:val="24"/>
          <w:highlight w:val="none"/>
        </w:rPr>
      </w:pPr>
      <w:r>
        <w:rPr>
          <w:rFonts w:hint="eastAsia" w:ascii="仿宋" w:hAnsi="仿宋" w:eastAsia="仿宋" w:cs="仿宋"/>
          <w:b/>
          <w:color w:val="auto"/>
          <w:sz w:val="24"/>
          <w:highlight w:val="none"/>
        </w:rPr>
        <w:t>十、合同生效与终止</w:t>
      </w:r>
    </w:p>
    <w:p>
      <w:pPr>
        <w:spacing w:line="440" w:lineRule="exact"/>
        <w:ind w:firstLine="480" w:firstLineChars="200"/>
        <w:jc w:val="left"/>
        <w:rPr>
          <w:rFonts w:ascii="仿宋" w:hAnsi="仿宋" w:eastAsia="仿宋" w:cs="仿宋"/>
          <w:color w:val="auto"/>
          <w:sz w:val="24"/>
          <w:highlight w:val="none"/>
        </w:rPr>
      </w:pPr>
      <w:r>
        <w:rPr>
          <w:rFonts w:hint="eastAsia" w:ascii="仿宋" w:hAnsi="仿宋" w:eastAsia="仿宋" w:cs="仿宋"/>
          <w:color w:val="auto"/>
          <w:sz w:val="24"/>
          <w:highlight w:val="none"/>
        </w:rPr>
        <w:t>1.本合同自甲乙双方签字且盖章之日起生效。本合同由双方法定代表人或委托代理人签字并加盖单位公章之日即为本合同的生效日期。如双方签字日期不一致时，以最后签字方的签字日期为合同的生效日期。</w:t>
      </w:r>
    </w:p>
    <w:p>
      <w:pPr>
        <w:spacing w:line="440" w:lineRule="exact"/>
        <w:ind w:firstLine="480" w:firstLineChars="200"/>
        <w:jc w:val="left"/>
        <w:rPr>
          <w:rFonts w:ascii="仿宋" w:hAnsi="仿宋" w:eastAsia="仿宋" w:cs="仿宋"/>
          <w:color w:val="auto"/>
          <w:sz w:val="24"/>
          <w:highlight w:val="none"/>
        </w:rPr>
      </w:pPr>
      <w:r>
        <w:rPr>
          <w:rFonts w:hint="eastAsia" w:ascii="仿宋" w:hAnsi="仿宋" w:eastAsia="仿宋" w:cs="仿宋"/>
          <w:color w:val="auto"/>
          <w:sz w:val="24"/>
          <w:highlight w:val="none"/>
        </w:rPr>
        <w:t>2.保密条款、争议解决和双方未了的债权和债务不受合同期满的影响，并且守约方有权提出索赔。</w:t>
      </w:r>
    </w:p>
    <w:p>
      <w:pPr>
        <w:spacing w:line="440" w:lineRule="exact"/>
        <w:ind w:firstLine="481" w:firstLineChars="200"/>
        <w:jc w:val="left"/>
        <w:rPr>
          <w:rFonts w:ascii="仿宋" w:hAnsi="仿宋" w:eastAsia="仿宋" w:cs="仿宋"/>
          <w:b/>
          <w:color w:val="auto"/>
          <w:sz w:val="24"/>
          <w:highlight w:val="none"/>
        </w:rPr>
      </w:pPr>
      <w:r>
        <w:rPr>
          <w:rFonts w:hint="eastAsia" w:ascii="仿宋" w:hAnsi="仿宋" w:eastAsia="仿宋" w:cs="仿宋"/>
          <w:b/>
          <w:color w:val="auto"/>
          <w:sz w:val="24"/>
          <w:highlight w:val="none"/>
        </w:rPr>
        <w:t>十一、争议解决方式</w:t>
      </w:r>
    </w:p>
    <w:p>
      <w:pPr>
        <w:pStyle w:val="5"/>
        <w:spacing w:line="440" w:lineRule="exact"/>
        <w:ind w:firstLine="480" w:firstLineChars="200"/>
        <w:rPr>
          <w:rFonts w:ascii="仿宋" w:hAnsi="仿宋" w:eastAsia="仿宋" w:cs="仿宋"/>
          <w:color w:val="auto"/>
          <w:highlight w:val="none"/>
        </w:rPr>
      </w:pPr>
      <w:r>
        <w:rPr>
          <w:rFonts w:hint="eastAsia" w:ascii="仿宋" w:hAnsi="仿宋" w:eastAsia="仿宋" w:cs="仿宋"/>
          <w:color w:val="auto"/>
          <w:highlight w:val="none"/>
        </w:rPr>
        <w:t>如有纠纷双方先行协商解决；协商不成任意一方均有权向三亚市有管辖权的人民法院提起诉讼。</w:t>
      </w:r>
    </w:p>
    <w:p>
      <w:pPr>
        <w:spacing w:line="440" w:lineRule="exact"/>
        <w:ind w:firstLine="481" w:firstLineChars="200"/>
        <w:jc w:val="left"/>
        <w:rPr>
          <w:rFonts w:ascii="仿宋" w:hAnsi="仿宋" w:eastAsia="仿宋" w:cs="仿宋"/>
          <w:b/>
          <w:color w:val="auto"/>
          <w:sz w:val="24"/>
          <w:highlight w:val="none"/>
        </w:rPr>
      </w:pPr>
      <w:r>
        <w:rPr>
          <w:rFonts w:hint="eastAsia" w:ascii="仿宋" w:hAnsi="仿宋" w:eastAsia="仿宋" w:cs="仿宋"/>
          <w:b/>
          <w:color w:val="auto"/>
          <w:sz w:val="24"/>
          <w:highlight w:val="none"/>
        </w:rPr>
        <w:t>十二、其它事项</w:t>
      </w:r>
    </w:p>
    <w:p>
      <w:pPr>
        <w:spacing w:line="440" w:lineRule="exact"/>
        <w:ind w:firstLine="480" w:firstLineChars="200"/>
        <w:jc w:val="left"/>
        <w:rPr>
          <w:rFonts w:ascii="仿宋" w:hAnsi="仿宋" w:eastAsia="仿宋" w:cs="仿宋"/>
          <w:color w:val="auto"/>
          <w:sz w:val="24"/>
          <w:highlight w:val="none"/>
        </w:rPr>
      </w:pPr>
      <w:r>
        <w:rPr>
          <w:rFonts w:hint="eastAsia" w:ascii="仿宋" w:hAnsi="仿宋" w:eastAsia="仿宋" w:cs="仿宋"/>
          <w:color w:val="auto"/>
          <w:sz w:val="24"/>
          <w:highlight w:val="none"/>
        </w:rPr>
        <w:t>1.在本合同执行过程中，甲、乙双方协商签订的补充合同与原合同具有同等法律效力。采购文件及其补遗文件、投标文件和有关说明承诺（若有）是本合同不可分割的部分，为本合同的重要补充内容，与本合同具有同等法律效力。</w:t>
      </w:r>
    </w:p>
    <w:p>
      <w:pPr>
        <w:spacing w:line="440" w:lineRule="exact"/>
        <w:ind w:firstLine="480" w:firstLineChars="200"/>
        <w:jc w:val="left"/>
        <w:rPr>
          <w:rFonts w:ascii="仿宋" w:hAnsi="仿宋" w:eastAsia="仿宋" w:cs="仿宋"/>
          <w:color w:val="auto"/>
          <w:sz w:val="24"/>
          <w:highlight w:val="none"/>
        </w:rPr>
      </w:pPr>
      <w:r>
        <w:rPr>
          <w:rFonts w:hint="eastAsia" w:ascii="仿宋" w:hAnsi="仿宋" w:eastAsia="仿宋" w:cs="仿宋"/>
          <w:color w:val="auto"/>
          <w:sz w:val="24"/>
          <w:highlight w:val="none"/>
        </w:rPr>
        <w:t>2.未尽事宜，双方协商解决。</w:t>
      </w:r>
    </w:p>
    <w:p>
      <w:pPr>
        <w:spacing w:line="440" w:lineRule="exact"/>
        <w:ind w:firstLine="480" w:firstLineChars="200"/>
        <w:jc w:val="left"/>
        <w:rPr>
          <w:rFonts w:ascii="仿宋" w:hAnsi="仿宋" w:eastAsia="仿宋" w:cs="仿宋"/>
          <w:color w:val="auto"/>
          <w:sz w:val="24"/>
          <w:highlight w:val="none"/>
        </w:rPr>
      </w:pPr>
      <w:r>
        <w:rPr>
          <w:rFonts w:hint="eastAsia" w:ascii="仿宋" w:hAnsi="仿宋" w:eastAsia="仿宋" w:cs="仿宋"/>
          <w:color w:val="auto"/>
          <w:sz w:val="24"/>
          <w:highlight w:val="none"/>
        </w:rPr>
        <w:t>3.合同签订地点、履行地点：三亚市海南热带海洋学院</w:t>
      </w:r>
    </w:p>
    <w:p>
      <w:pPr>
        <w:spacing w:line="440" w:lineRule="exact"/>
        <w:ind w:firstLine="480" w:firstLineChars="200"/>
        <w:jc w:val="left"/>
        <w:rPr>
          <w:rFonts w:ascii="仿宋" w:hAnsi="仿宋" w:eastAsia="仿宋" w:cs="仿宋"/>
          <w:color w:val="auto"/>
          <w:sz w:val="24"/>
          <w:highlight w:val="none"/>
        </w:rPr>
      </w:pPr>
      <w:r>
        <w:rPr>
          <w:rFonts w:hint="eastAsia" w:ascii="仿宋" w:hAnsi="仿宋" w:eastAsia="仿宋" w:cs="仿宋"/>
          <w:color w:val="auto"/>
          <w:sz w:val="24"/>
          <w:highlight w:val="none"/>
        </w:rPr>
        <w:t xml:space="preserve">4.本合同一式 </w:t>
      </w:r>
      <w:r>
        <w:rPr>
          <w:rFonts w:ascii="仿宋" w:hAnsi="仿宋" w:eastAsia="仿宋" w:cs="仿宋"/>
          <w:color w:val="auto"/>
          <w:sz w:val="24"/>
          <w:highlight w:val="none"/>
        </w:rPr>
        <w:t>8</w:t>
      </w:r>
      <w:r>
        <w:rPr>
          <w:rFonts w:hint="eastAsia" w:ascii="仿宋" w:hAnsi="仿宋" w:eastAsia="仿宋" w:cs="仿宋"/>
          <w:color w:val="auto"/>
          <w:sz w:val="24"/>
          <w:highlight w:val="none"/>
        </w:rPr>
        <w:t>份，甲方执 5 份，乙方执</w:t>
      </w:r>
      <w:r>
        <w:rPr>
          <w:rFonts w:ascii="仿宋" w:hAnsi="仿宋" w:eastAsia="仿宋" w:cs="仿宋"/>
          <w:color w:val="auto"/>
          <w:sz w:val="24"/>
          <w:highlight w:val="none"/>
        </w:rPr>
        <w:t>2</w:t>
      </w:r>
      <w:r>
        <w:rPr>
          <w:rFonts w:hint="eastAsia" w:ascii="仿宋" w:hAnsi="仿宋" w:eastAsia="仿宋" w:cs="仿宋"/>
          <w:color w:val="auto"/>
          <w:sz w:val="24"/>
          <w:highlight w:val="none"/>
        </w:rPr>
        <w:t xml:space="preserve"> 份，代理机构执1份。</w:t>
      </w:r>
    </w:p>
    <w:p>
      <w:pPr>
        <w:spacing w:line="440" w:lineRule="exact"/>
        <w:ind w:firstLine="481" w:firstLineChars="200"/>
        <w:jc w:val="left"/>
        <w:rPr>
          <w:rFonts w:ascii="仿宋" w:hAnsi="仿宋" w:eastAsia="仿宋" w:cs="仿宋"/>
          <w:b/>
          <w:color w:val="auto"/>
          <w:sz w:val="24"/>
          <w:highlight w:val="none"/>
        </w:rPr>
      </w:pPr>
      <w:r>
        <w:rPr>
          <w:rFonts w:hint="eastAsia" w:ascii="仿宋" w:hAnsi="仿宋" w:eastAsia="仿宋" w:cs="仿宋"/>
          <w:b/>
          <w:color w:val="auto"/>
          <w:sz w:val="24"/>
          <w:highlight w:val="none"/>
        </w:rPr>
        <w:t>十三、合同附件</w:t>
      </w:r>
    </w:p>
    <w:p>
      <w:pPr>
        <w:widowControl/>
        <w:adjustRightInd w:val="0"/>
        <w:snapToGrid w:val="0"/>
        <w:spacing w:line="440" w:lineRule="exact"/>
        <w:ind w:firstLine="480" w:firstLineChars="200"/>
        <w:jc w:val="left"/>
        <w:rPr>
          <w:rFonts w:ascii="仿宋" w:hAnsi="仿宋" w:eastAsia="仿宋" w:cs="仿宋"/>
          <w:color w:val="auto"/>
          <w:sz w:val="24"/>
          <w:highlight w:val="none"/>
        </w:rPr>
      </w:pPr>
      <w:r>
        <w:rPr>
          <w:rFonts w:hint="eastAsia" w:ascii="仿宋" w:hAnsi="仿宋" w:eastAsia="仿宋" w:cs="仿宋"/>
          <w:color w:val="auto"/>
          <w:sz w:val="24"/>
          <w:highlight w:val="none"/>
        </w:rPr>
        <w:t>1.本合同附件包括：《招标文件》《投标文件》《中标清单》《中标通知书》《海南热带海洋学院三亚校区部分卫生保洁、绿化养护等物业服务项目（</w:t>
      </w:r>
      <w:r>
        <w:rPr>
          <w:rFonts w:ascii="仿宋" w:hAnsi="仿宋" w:eastAsia="仿宋" w:cs="仿宋"/>
          <w:color w:val="auto"/>
          <w:sz w:val="24"/>
          <w:highlight w:val="none"/>
        </w:rPr>
        <w:t xml:space="preserve">2025-2028 </w:t>
      </w:r>
      <w:r>
        <w:rPr>
          <w:rFonts w:hint="eastAsia" w:ascii="仿宋" w:hAnsi="仿宋" w:eastAsia="仿宋" w:cs="仿宋"/>
          <w:color w:val="auto"/>
          <w:sz w:val="24"/>
          <w:highlight w:val="none"/>
        </w:rPr>
        <w:t>年度）考核办法及检查标准》，投标人提交的投标函、服务项目清单和服务验收标准、承诺书、规格响应表、技术规格（包括图纸）等。</w:t>
      </w:r>
    </w:p>
    <w:p>
      <w:pPr>
        <w:widowControl/>
        <w:adjustRightInd w:val="0"/>
        <w:snapToGrid w:val="0"/>
        <w:spacing w:line="440" w:lineRule="exact"/>
        <w:ind w:firstLine="480" w:firstLineChars="200"/>
        <w:jc w:val="left"/>
        <w:rPr>
          <w:rFonts w:ascii="仿宋" w:hAnsi="仿宋" w:eastAsia="仿宋" w:cs="仿宋"/>
          <w:color w:val="auto"/>
          <w:sz w:val="24"/>
          <w:highlight w:val="none"/>
        </w:rPr>
      </w:pPr>
      <w:r>
        <w:rPr>
          <w:rFonts w:hint="eastAsia" w:ascii="仿宋" w:hAnsi="仿宋" w:eastAsia="仿宋" w:cs="仿宋"/>
          <w:color w:val="auto"/>
          <w:sz w:val="24"/>
          <w:highlight w:val="none"/>
        </w:rPr>
        <w:t>2.本合同附件与本合同具有同等效力。</w:t>
      </w:r>
    </w:p>
    <w:p>
      <w:pPr>
        <w:widowControl/>
        <w:adjustRightInd w:val="0"/>
        <w:snapToGrid w:val="0"/>
        <w:spacing w:line="440" w:lineRule="exact"/>
        <w:ind w:firstLine="480" w:firstLineChars="200"/>
        <w:jc w:val="left"/>
        <w:rPr>
          <w:rFonts w:ascii="仿宋" w:hAnsi="仿宋" w:eastAsia="仿宋" w:cs="仿宋"/>
          <w:color w:val="auto"/>
          <w:sz w:val="24"/>
          <w:highlight w:val="none"/>
        </w:rPr>
      </w:pPr>
      <w:r>
        <w:rPr>
          <w:rFonts w:hint="eastAsia" w:ascii="仿宋" w:hAnsi="仿宋" w:eastAsia="仿宋" w:cs="仿宋"/>
          <w:color w:val="auto"/>
          <w:sz w:val="24"/>
          <w:highlight w:val="none"/>
        </w:rPr>
        <w:t>3.合同文件应能相互解释，互为说明。若合同文件之间有矛盾，则以最新的文件为准。</w:t>
      </w:r>
    </w:p>
    <w:p>
      <w:pPr>
        <w:widowControl/>
        <w:adjustRightInd w:val="0"/>
        <w:snapToGrid w:val="0"/>
        <w:spacing w:line="440" w:lineRule="exact"/>
        <w:rPr>
          <w:rFonts w:ascii="仿宋" w:hAnsi="仿宋" w:eastAsia="仿宋" w:cs="仿宋"/>
          <w:color w:val="auto"/>
          <w:sz w:val="24"/>
          <w:highlight w:val="none"/>
        </w:rPr>
      </w:pPr>
      <w:r>
        <w:rPr>
          <w:rFonts w:hint="eastAsia" w:ascii="仿宋" w:hAnsi="仿宋" w:eastAsia="仿宋" w:cs="仿宋"/>
          <w:color w:val="auto"/>
          <w:sz w:val="24"/>
          <w:highlight w:val="none"/>
        </w:rPr>
        <w:t>（以下无正文）</w:t>
      </w:r>
    </w:p>
    <w:p>
      <w:pPr>
        <w:widowControl/>
        <w:adjustRightInd w:val="0"/>
        <w:snapToGrid w:val="0"/>
        <w:spacing w:line="440" w:lineRule="exact"/>
        <w:rPr>
          <w:rFonts w:ascii="仿宋" w:hAnsi="仿宋" w:eastAsia="仿宋" w:cs="仿宋"/>
          <w:color w:val="auto"/>
          <w:sz w:val="24"/>
          <w:highlight w:val="none"/>
        </w:rPr>
      </w:pPr>
    </w:p>
    <w:p>
      <w:pPr>
        <w:widowControl/>
        <w:adjustRightInd w:val="0"/>
        <w:snapToGrid w:val="0"/>
        <w:spacing w:line="440" w:lineRule="exact"/>
        <w:rPr>
          <w:rFonts w:ascii="仿宋" w:hAnsi="仿宋" w:eastAsia="仿宋" w:cs="仿宋"/>
          <w:color w:val="auto"/>
          <w:sz w:val="24"/>
          <w:highlight w:val="none"/>
        </w:rPr>
      </w:pPr>
      <w:r>
        <w:rPr>
          <w:rFonts w:hint="eastAsia" w:ascii="仿宋" w:hAnsi="仿宋" w:eastAsia="仿宋" w:cs="仿宋"/>
          <w:color w:val="auto"/>
          <w:sz w:val="24"/>
          <w:highlight w:val="none"/>
        </w:rPr>
        <w:t>签约各方：</w:t>
      </w:r>
    </w:p>
    <w:p>
      <w:pPr>
        <w:widowControl/>
        <w:adjustRightInd w:val="0"/>
        <w:snapToGrid w:val="0"/>
        <w:spacing w:line="440" w:lineRule="exact"/>
        <w:rPr>
          <w:rFonts w:ascii="仿宋" w:hAnsi="仿宋" w:eastAsia="仿宋" w:cs="仿宋"/>
          <w:color w:val="auto"/>
          <w:sz w:val="24"/>
          <w:highlight w:val="none"/>
        </w:rPr>
      </w:pPr>
      <w:r>
        <w:rPr>
          <w:rFonts w:hint="eastAsia" w:ascii="仿宋" w:hAnsi="仿宋" w:eastAsia="仿宋" w:cs="仿宋"/>
          <w:color w:val="auto"/>
          <w:sz w:val="24"/>
          <w:highlight w:val="none"/>
        </w:rPr>
        <w:t xml:space="preserve">甲方(盖章)：                     乙方(盖章)：       </w:t>
      </w:r>
    </w:p>
    <w:p>
      <w:pPr>
        <w:widowControl/>
        <w:adjustRightInd w:val="0"/>
        <w:snapToGrid w:val="0"/>
        <w:spacing w:line="440" w:lineRule="exact"/>
        <w:rPr>
          <w:rFonts w:ascii="仿宋" w:hAnsi="仿宋" w:eastAsia="仿宋" w:cs="仿宋"/>
          <w:color w:val="auto"/>
          <w:sz w:val="24"/>
          <w:highlight w:val="none"/>
        </w:rPr>
      </w:pPr>
    </w:p>
    <w:p>
      <w:pPr>
        <w:widowControl/>
        <w:adjustRightInd w:val="0"/>
        <w:snapToGrid w:val="0"/>
        <w:spacing w:line="440" w:lineRule="exact"/>
        <w:rPr>
          <w:rFonts w:ascii="仿宋" w:hAnsi="仿宋" w:eastAsia="仿宋" w:cs="仿宋"/>
          <w:color w:val="auto"/>
          <w:sz w:val="24"/>
          <w:highlight w:val="none"/>
        </w:rPr>
      </w:pPr>
      <w:r>
        <w:rPr>
          <w:rFonts w:hint="eastAsia" w:ascii="仿宋" w:hAnsi="仿宋" w:eastAsia="仿宋" w:cs="仿宋"/>
          <w:color w:val="auto"/>
          <w:sz w:val="24"/>
          <w:highlight w:val="none"/>
        </w:rPr>
        <w:t>法定代表人(签章)                 法定代表人(签章)</w:t>
      </w:r>
    </w:p>
    <w:p>
      <w:pPr>
        <w:widowControl/>
        <w:adjustRightInd w:val="0"/>
        <w:snapToGrid w:val="0"/>
        <w:spacing w:line="440" w:lineRule="exact"/>
        <w:rPr>
          <w:rFonts w:ascii="仿宋" w:hAnsi="仿宋" w:eastAsia="仿宋" w:cs="仿宋"/>
          <w:color w:val="auto"/>
          <w:sz w:val="24"/>
          <w:highlight w:val="none"/>
        </w:rPr>
      </w:pPr>
      <w:r>
        <w:rPr>
          <w:rFonts w:hint="eastAsia" w:ascii="仿宋" w:hAnsi="仿宋" w:eastAsia="仿宋" w:cs="仿宋"/>
          <w:color w:val="auto"/>
          <w:sz w:val="24"/>
          <w:highlight w:val="none"/>
        </w:rPr>
        <w:t>或授权代表人：                     或授权代表人：</w:t>
      </w:r>
    </w:p>
    <w:p>
      <w:pPr>
        <w:widowControl/>
        <w:adjustRightInd w:val="0"/>
        <w:snapToGrid w:val="0"/>
        <w:spacing w:line="440" w:lineRule="exact"/>
        <w:rPr>
          <w:rFonts w:ascii="仿宋" w:hAnsi="仿宋" w:eastAsia="仿宋" w:cs="仿宋"/>
          <w:color w:val="auto"/>
          <w:sz w:val="24"/>
          <w:highlight w:val="none"/>
        </w:rPr>
      </w:pPr>
    </w:p>
    <w:p>
      <w:pPr>
        <w:widowControl/>
        <w:adjustRightInd w:val="0"/>
        <w:snapToGrid w:val="0"/>
        <w:spacing w:line="440" w:lineRule="exact"/>
        <w:rPr>
          <w:rFonts w:ascii="仿宋" w:hAnsi="仿宋" w:eastAsia="仿宋" w:cs="仿宋"/>
          <w:color w:val="auto"/>
          <w:sz w:val="24"/>
          <w:highlight w:val="none"/>
        </w:rPr>
      </w:pPr>
      <w:r>
        <w:rPr>
          <w:rFonts w:hint="eastAsia" w:ascii="仿宋" w:hAnsi="仿宋" w:eastAsia="仿宋" w:cs="仿宋"/>
          <w:color w:val="auto"/>
          <w:sz w:val="24"/>
          <w:highlight w:val="none"/>
        </w:rPr>
        <w:t>联系电话：                       联系电话：</w:t>
      </w:r>
    </w:p>
    <w:p>
      <w:pPr>
        <w:widowControl/>
        <w:adjustRightInd w:val="0"/>
        <w:snapToGrid w:val="0"/>
        <w:spacing w:line="440" w:lineRule="exact"/>
        <w:rPr>
          <w:rFonts w:ascii="仿宋" w:hAnsi="仿宋" w:eastAsia="仿宋" w:cs="仿宋"/>
          <w:color w:val="auto"/>
          <w:sz w:val="24"/>
          <w:highlight w:val="none"/>
        </w:rPr>
      </w:pPr>
    </w:p>
    <w:p>
      <w:pPr>
        <w:widowControl/>
        <w:adjustRightInd w:val="0"/>
        <w:snapToGrid w:val="0"/>
        <w:spacing w:line="440" w:lineRule="exact"/>
        <w:rPr>
          <w:rFonts w:ascii="仿宋" w:hAnsi="仿宋" w:eastAsia="仿宋" w:cs="仿宋"/>
          <w:color w:val="auto"/>
          <w:sz w:val="24"/>
          <w:highlight w:val="none"/>
        </w:rPr>
      </w:pPr>
      <w:r>
        <w:rPr>
          <w:rFonts w:hint="eastAsia" w:ascii="仿宋" w:hAnsi="仿宋" w:eastAsia="仿宋" w:cs="仿宋"/>
          <w:color w:val="auto"/>
          <w:sz w:val="24"/>
          <w:highlight w:val="none"/>
        </w:rPr>
        <w:t>合同签订地点：                   合同签订地点：</w:t>
      </w:r>
    </w:p>
    <w:p>
      <w:pPr>
        <w:widowControl/>
        <w:adjustRightInd w:val="0"/>
        <w:snapToGrid w:val="0"/>
        <w:spacing w:line="440" w:lineRule="exact"/>
        <w:rPr>
          <w:rFonts w:ascii="仿宋" w:hAnsi="仿宋" w:eastAsia="仿宋" w:cs="仿宋"/>
          <w:color w:val="auto"/>
          <w:sz w:val="24"/>
          <w:highlight w:val="none"/>
        </w:rPr>
      </w:pPr>
    </w:p>
    <w:p>
      <w:pPr>
        <w:widowControl/>
        <w:adjustRightInd w:val="0"/>
        <w:snapToGrid w:val="0"/>
        <w:spacing w:line="440" w:lineRule="exact"/>
        <w:ind w:firstLine="720" w:firstLineChars="300"/>
        <w:rPr>
          <w:rFonts w:ascii="仿宋" w:hAnsi="仿宋" w:eastAsia="仿宋" w:cs="仿宋"/>
          <w:color w:val="auto"/>
          <w:sz w:val="24"/>
          <w:highlight w:val="none"/>
        </w:rPr>
      </w:pPr>
      <w:r>
        <w:rPr>
          <w:rFonts w:hint="eastAsia" w:ascii="仿宋" w:hAnsi="仿宋" w:eastAsia="仿宋" w:cs="仿宋"/>
          <w:color w:val="auto"/>
          <w:sz w:val="24"/>
          <w:highlight w:val="none"/>
        </w:rPr>
        <w:t>年  月  日                  年  月  日</w:t>
      </w:r>
    </w:p>
    <w:p>
      <w:pPr>
        <w:spacing w:line="360" w:lineRule="auto"/>
        <w:rPr>
          <w:rFonts w:ascii="仿宋" w:hAnsi="仿宋" w:eastAsia="仿宋" w:cs="仿宋"/>
          <w:color w:val="auto"/>
          <w:kern w:val="0"/>
          <w:sz w:val="24"/>
          <w:highlight w:val="none"/>
        </w:rPr>
      </w:pPr>
    </w:p>
    <w:p>
      <w:pPr>
        <w:pStyle w:val="2"/>
        <w:rPr>
          <w:color w:val="auto"/>
          <w:highlight w:val="none"/>
        </w:rPr>
      </w:pPr>
    </w:p>
    <w:p>
      <w:pPr>
        <w:pStyle w:val="2"/>
        <w:rPr>
          <w:color w:val="auto"/>
          <w:highlight w:val="none"/>
        </w:rPr>
      </w:pPr>
    </w:p>
    <w:p>
      <w:pPr>
        <w:pStyle w:val="2"/>
        <w:rPr>
          <w:color w:val="auto"/>
          <w:highlight w:val="none"/>
        </w:rPr>
      </w:pPr>
    </w:p>
    <w:p>
      <w:pPr>
        <w:pStyle w:val="2"/>
        <w:rPr>
          <w:color w:val="auto"/>
          <w:highlight w:val="none"/>
        </w:rPr>
      </w:pPr>
    </w:p>
    <w:p>
      <w:pPr>
        <w:pStyle w:val="2"/>
        <w:rPr>
          <w:color w:val="auto"/>
          <w:highlight w:val="none"/>
        </w:rPr>
      </w:pPr>
    </w:p>
    <w:p>
      <w:pPr>
        <w:wordWrap w:val="0"/>
        <w:topLinePunct/>
        <w:spacing w:line="360" w:lineRule="auto"/>
        <w:outlineLvl w:val="0"/>
        <w:rPr>
          <w:rFonts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附件1：《招标文件》</w:t>
      </w:r>
    </w:p>
    <w:p>
      <w:pPr>
        <w:wordWrap w:val="0"/>
        <w:topLinePunct/>
        <w:spacing w:line="360" w:lineRule="auto"/>
        <w:rPr>
          <w:rFonts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单独另附</w:t>
      </w:r>
    </w:p>
    <w:p>
      <w:pPr>
        <w:pStyle w:val="2"/>
        <w:rPr>
          <w:color w:val="auto"/>
          <w:highlight w:val="none"/>
        </w:rPr>
      </w:pPr>
    </w:p>
    <w:p>
      <w:pPr>
        <w:pStyle w:val="2"/>
        <w:rPr>
          <w:color w:val="auto"/>
          <w:highlight w:val="none"/>
        </w:rPr>
      </w:pPr>
    </w:p>
    <w:p>
      <w:pPr>
        <w:pStyle w:val="2"/>
        <w:rPr>
          <w:color w:val="auto"/>
          <w:highlight w:val="none"/>
        </w:rPr>
      </w:pPr>
    </w:p>
    <w:p>
      <w:pPr>
        <w:wordWrap w:val="0"/>
        <w:topLinePunct/>
        <w:spacing w:line="360" w:lineRule="auto"/>
        <w:outlineLvl w:val="0"/>
        <w:rPr>
          <w:rFonts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附件2：《投标文件》</w:t>
      </w:r>
    </w:p>
    <w:p>
      <w:pPr>
        <w:wordWrap w:val="0"/>
        <w:topLinePunct/>
        <w:spacing w:line="360" w:lineRule="auto"/>
        <w:rPr>
          <w:rFonts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单独另附</w:t>
      </w:r>
    </w:p>
    <w:p>
      <w:pPr>
        <w:pStyle w:val="2"/>
        <w:rPr>
          <w:color w:val="auto"/>
          <w:highlight w:val="none"/>
        </w:rPr>
      </w:pPr>
    </w:p>
    <w:p>
      <w:pPr>
        <w:pStyle w:val="2"/>
        <w:rPr>
          <w:color w:val="auto"/>
          <w:highlight w:val="none"/>
        </w:rPr>
      </w:pPr>
    </w:p>
    <w:p>
      <w:pPr>
        <w:pStyle w:val="2"/>
        <w:rPr>
          <w:color w:val="auto"/>
          <w:highlight w:val="none"/>
        </w:rPr>
      </w:pPr>
    </w:p>
    <w:p>
      <w:pPr>
        <w:pStyle w:val="2"/>
        <w:rPr>
          <w:color w:val="auto"/>
          <w:highlight w:val="none"/>
        </w:rPr>
      </w:pPr>
    </w:p>
    <w:p>
      <w:pPr>
        <w:pStyle w:val="2"/>
        <w:rPr>
          <w:color w:val="auto"/>
          <w:highlight w:val="none"/>
        </w:rPr>
      </w:pPr>
      <w:r>
        <w:rPr>
          <w:color w:val="auto"/>
          <w:highlight w:val="none"/>
        </w:rPr>
        <w:br w:type="page"/>
      </w:r>
    </w:p>
    <w:p>
      <w:pPr>
        <w:pStyle w:val="2"/>
        <w:rPr>
          <w:color w:val="auto"/>
          <w:highlight w:val="none"/>
        </w:rPr>
      </w:pPr>
    </w:p>
    <w:p>
      <w:pPr>
        <w:wordWrap w:val="0"/>
        <w:topLinePunct/>
        <w:spacing w:line="360" w:lineRule="auto"/>
        <w:outlineLvl w:val="0"/>
        <w:rPr>
          <w:rFonts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附件3：《中标通知书》</w:t>
      </w:r>
    </w:p>
    <w:p>
      <w:pPr>
        <w:wordWrap w:val="0"/>
        <w:topLinePunct/>
        <w:spacing w:line="360" w:lineRule="auto"/>
        <w:outlineLvl w:val="0"/>
        <w:rPr>
          <w:rFonts w:ascii="仿宋" w:hAnsi="仿宋" w:eastAsia="仿宋" w:cs="仿宋"/>
          <w:color w:val="auto"/>
          <w:sz w:val="24"/>
          <w:highlight w:val="none"/>
        </w:rPr>
      </w:pPr>
      <w:r>
        <w:rPr>
          <w:rFonts w:hint="eastAsia" w:ascii="仿宋" w:hAnsi="仿宋" w:eastAsia="仿宋" w:cs="仿宋"/>
          <w:color w:val="auto"/>
          <w:sz w:val="24"/>
          <w:highlight w:val="none"/>
        </w:rPr>
        <w:t>附件4：《海南热带海洋学院三亚校区部分卫生保洁、绿化养护等物业服务项目（</w:t>
      </w:r>
      <w:r>
        <w:rPr>
          <w:rFonts w:ascii="仿宋" w:hAnsi="仿宋" w:eastAsia="仿宋" w:cs="仿宋"/>
          <w:color w:val="auto"/>
          <w:sz w:val="24"/>
          <w:highlight w:val="none"/>
        </w:rPr>
        <w:t xml:space="preserve">2025-2028 </w:t>
      </w:r>
      <w:r>
        <w:rPr>
          <w:rFonts w:hint="eastAsia" w:ascii="仿宋" w:hAnsi="仿宋" w:eastAsia="仿宋" w:cs="仿宋"/>
          <w:color w:val="auto"/>
          <w:sz w:val="24"/>
          <w:highlight w:val="none"/>
        </w:rPr>
        <w:t>年度）考核办法及检查标准》</w:t>
      </w:r>
    </w:p>
    <w:p>
      <w:pPr>
        <w:spacing w:line="360" w:lineRule="auto"/>
        <w:ind w:firstLine="562" w:firstLineChars="200"/>
        <w:rPr>
          <w:rFonts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一、考核办法及检查标准</w:t>
      </w:r>
    </w:p>
    <w:p>
      <w:pPr>
        <w:spacing w:line="360" w:lineRule="auto"/>
        <w:ind w:firstLine="481" w:firstLineChars="200"/>
        <w:rPr>
          <w:rFonts w:ascii="仿宋" w:hAnsi="仿宋" w:eastAsia="仿宋" w:cs="仿宋"/>
          <w:b/>
          <w:bCs/>
          <w:color w:val="auto"/>
          <w:sz w:val="28"/>
          <w:szCs w:val="28"/>
          <w:highlight w:val="none"/>
        </w:rPr>
      </w:pPr>
      <w:r>
        <w:rPr>
          <w:rFonts w:ascii="仿宋" w:hAnsi="仿宋" w:eastAsia="仿宋" w:cs="仿宋"/>
          <w:b/>
          <w:color w:val="auto"/>
          <w:sz w:val="24"/>
          <w:highlight w:val="none"/>
        </w:rPr>
        <w:t>1.考核原则</w:t>
      </w:r>
    </w:p>
    <w:p>
      <w:pPr>
        <w:spacing w:line="360" w:lineRule="auto"/>
        <w:ind w:firstLine="480" w:firstLineChars="200"/>
        <w:rPr>
          <w:rFonts w:ascii="仿宋" w:hAnsi="仿宋" w:eastAsia="仿宋" w:cs="仿宋"/>
          <w:b/>
          <w:bCs/>
          <w:color w:val="auto"/>
          <w:sz w:val="28"/>
          <w:szCs w:val="28"/>
          <w:highlight w:val="none"/>
        </w:rPr>
      </w:pPr>
      <w:r>
        <w:rPr>
          <w:rFonts w:hint="eastAsia" w:ascii="仿宋" w:hAnsi="仿宋" w:eastAsia="仿宋" w:cs="仿宋"/>
          <w:color w:val="auto"/>
          <w:sz w:val="24"/>
          <w:highlight w:val="none"/>
        </w:rPr>
        <w:t>坚持平时检查与集中考核相结合，按服务项目单项考核与综合考核相结合的原则。</w:t>
      </w:r>
    </w:p>
    <w:p>
      <w:pPr>
        <w:tabs>
          <w:tab w:val="left" w:pos="4893"/>
        </w:tabs>
        <w:spacing w:line="360" w:lineRule="auto"/>
        <w:ind w:firstLine="481" w:firstLineChars="200"/>
        <w:rPr>
          <w:rFonts w:ascii="仿宋" w:hAnsi="仿宋" w:eastAsia="仿宋" w:cs="仿宋"/>
          <w:b/>
          <w:color w:val="auto"/>
          <w:sz w:val="24"/>
          <w:highlight w:val="none"/>
        </w:rPr>
      </w:pPr>
      <w:r>
        <w:rPr>
          <w:rFonts w:ascii="仿宋" w:hAnsi="仿宋" w:eastAsia="仿宋" w:cs="仿宋"/>
          <w:b/>
          <w:color w:val="auto"/>
          <w:sz w:val="24"/>
          <w:highlight w:val="none"/>
        </w:rPr>
        <w:t>2.考核范围和内容</w:t>
      </w:r>
    </w:p>
    <w:p>
      <w:pPr>
        <w:tabs>
          <w:tab w:val="left" w:pos="4893"/>
        </w:tabs>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2.1考核范围：</w:t>
      </w:r>
    </w:p>
    <w:p>
      <w:pPr>
        <w:tabs>
          <w:tab w:val="left" w:pos="4893"/>
        </w:tabs>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根据校园</w:t>
      </w:r>
      <w:r>
        <w:rPr>
          <w:rFonts w:hint="eastAsia" w:ascii="仿宋" w:hAnsi="仿宋" w:eastAsia="仿宋" w:cs="仿宋"/>
          <w:color w:val="auto"/>
          <w:sz w:val="24"/>
          <w:highlight w:val="none"/>
          <w:lang w:val="en-US" w:eastAsia="zh-CN"/>
        </w:rPr>
        <w:t>清洁卫生服务、绿化养护服务等项目所涉及的内容和范围，重点考核校园环境卫生、绿化养护</w:t>
      </w:r>
      <w:r>
        <w:rPr>
          <w:rFonts w:hint="eastAsia" w:ascii="仿宋" w:hAnsi="仿宋" w:eastAsia="仿宋" w:cs="仿宋"/>
          <w:color w:val="auto"/>
          <w:sz w:val="24"/>
          <w:highlight w:val="none"/>
        </w:rPr>
        <w:t>服务等内容。</w:t>
      </w:r>
    </w:p>
    <w:p>
      <w:pPr>
        <w:tabs>
          <w:tab w:val="left" w:pos="4893"/>
        </w:tabs>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2.2考核内容：</w:t>
      </w:r>
    </w:p>
    <w:p>
      <w:pPr>
        <w:tabs>
          <w:tab w:val="left" w:pos="4893"/>
        </w:tabs>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依据本项目的管理服务质量标准与要求，对上述各服务项目的服务质量、综合管理进行考核。</w:t>
      </w:r>
    </w:p>
    <w:p>
      <w:pPr>
        <w:tabs>
          <w:tab w:val="left" w:pos="4893"/>
        </w:tabs>
        <w:spacing w:line="320" w:lineRule="exact"/>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2</w:t>
      </w:r>
      <w:r>
        <w:rPr>
          <w:rFonts w:ascii="仿宋" w:hAnsi="仿宋" w:eastAsia="仿宋" w:cs="仿宋"/>
          <w:color w:val="auto"/>
          <w:sz w:val="24"/>
          <w:highlight w:val="none"/>
        </w:rPr>
        <w:t>.3</w:t>
      </w:r>
      <w:r>
        <w:rPr>
          <w:rFonts w:hint="eastAsia" w:ascii="仿宋" w:hAnsi="仿宋" w:eastAsia="仿宋" w:cs="仿宋"/>
          <w:color w:val="auto"/>
          <w:sz w:val="24"/>
          <w:highlight w:val="none"/>
        </w:rPr>
        <w:t>考核机构</w:t>
      </w:r>
    </w:p>
    <w:p>
      <w:pPr>
        <w:tabs>
          <w:tab w:val="left" w:pos="4893"/>
        </w:tabs>
        <w:spacing w:line="320" w:lineRule="exact"/>
        <w:ind w:firstLine="480" w:firstLineChars="200"/>
        <w:rPr>
          <w:rFonts w:ascii="仿宋" w:hAnsi="仿宋" w:eastAsia="仿宋" w:cs="仿宋"/>
          <w:color w:val="auto"/>
          <w:sz w:val="24"/>
          <w:highlight w:val="none"/>
        </w:rPr>
      </w:pPr>
      <w:r>
        <w:rPr>
          <w:rFonts w:ascii="仿宋" w:hAnsi="仿宋" w:eastAsia="仿宋" w:cs="仿宋"/>
          <w:color w:val="auto"/>
          <w:sz w:val="24"/>
          <w:highlight w:val="none"/>
        </w:rPr>
        <w:t>2.3.1学校成立物业管理考核工作组(以下简称考核工作组)。组长由分管物业工作的校领导担任，成员由</w:t>
      </w:r>
      <w:r>
        <w:rPr>
          <w:rFonts w:hint="eastAsia" w:ascii="仿宋" w:hAnsi="仿宋" w:eastAsia="仿宋" w:cs="仿宋"/>
          <w:color w:val="auto"/>
          <w:sz w:val="24"/>
          <w:highlight w:val="none"/>
        </w:rPr>
        <w:t>基建与后勤管理处</w:t>
      </w:r>
      <w:r>
        <w:rPr>
          <w:rFonts w:ascii="仿宋" w:hAnsi="仿宋" w:eastAsia="仿宋" w:cs="仿宋"/>
          <w:color w:val="auto"/>
          <w:sz w:val="24"/>
          <w:highlight w:val="none"/>
        </w:rPr>
        <w:t>、图书馆、</w:t>
      </w:r>
      <w:r>
        <w:rPr>
          <w:rFonts w:hint="eastAsia" w:ascii="仿宋" w:hAnsi="仿宋" w:eastAsia="仿宋" w:cs="仿宋"/>
          <w:color w:val="auto"/>
          <w:sz w:val="24"/>
          <w:highlight w:val="none"/>
        </w:rPr>
        <w:t>实验管理中心、</w:t>
      </w:r>
      <w:r>
        <w:rPr>
          <w:rFonts w:ascii="仿宋" w:hAnsi="仿宋" w:eastAsia="仿宋" w:cs="仿宋"/>
          <w:color w:val="auto"/>
          <w:sz w:val="24"/>
          <w:highlight w:val="none"/>
        </w:rPr>
        <w:t>学生工作处、团委、保卫处、国有资产管理处、工会、</w:t>
      </w:r>
      <w:r>
        <w:rPr>
          <w:rFonts w:hint="eastAsia" w:ascii="仿宋" w:hAnsi="仿宋" w:eastAsia="仿宋" w:cs="仿宋"/>
          <w:color w:val="auto"/>
          <w:sz w:val="24"/>
          <w:highlight w:val="none"/>
        </w:rPr>
        <w:t>教务处、</w:t>
      </w:r>
      <w:r>
        <w:rPr>
          <w:rFonts w:ascii="仿宋" w:hAnsi="仿宋" w:eastAsia="仿宋" w:cs="仿宋"/>
          <w:color w:val="auto"/>
          <w:sz w:val="24"/>
          <w:highlight w:val="none"/>
        </w:rPr>
        <w:t>财务处、二级学院负责人构成。考核工作组主要负责物业管理考核工作的总体组织和协调</w:t>
      </w:r>
      <w:r>
        <w:rPr>
          <w:rFonts w:hint="eastAsia" w:ascii="仿宋" w:hAnsi="仿宋" w:eastAsia="仿宋" w:cs="仿宋"/>
          <w:color w:val="auto"/>
          <w:sz w:val="24"/>
          <w:highlight w:val="none"/>
        </w:rPr>
        <w:t>。</w:t>
      </w:r>
    </w:p>
    <w:p>
      <w:pPr>
        <w:tabs>
          <w:tab w:val="left" w:pos="4893"/>
        </w:tabs>
        <w:spacing w:line="320" w:lineRule="exact"/>
        <w:ind w:firstLine="480" w:firstLineChars="200"/>
        <w:rPr>
          <w:color w:val="auto"/>
          <w:highlight w:val="none"/>
        </w:rPr>
      </w:pPr>
      <w:bookmarkStart w:id="0" w:name="OLE_LINK15"/>
      <w:bookmarkStart w:id="1" w:name="OLE_LINK14"/>
      <w:r>
        <w:rPr>
          <w:rFonts w:hint="eastAsia" w:ascii="仿宋" w:hAnsi="仿宋" w:eastAsia="仿宋" w:cs="仿宋"/>
          <w:color w:val="auto"/>
          <w:sz w:val="24"/>
          <w:highlight w:val="none"/>
        </w:rPr>
        <w:t>2</w:t>
      </w:r>
      <w:r>
        <w:rPr>
          <w:rFonts w:ascii="仿宋" w:hAnsi="仿宋" w:eastAsia="仿宋" w:cs="仿宋"/>
          <w:color w:val="auto"/>
          <w:sz w:val="24"/>
          <w:highlight w:val="none"/>
        </w:rPr>
        <w:t>.3.2</w:t>
      </w:r>
      <w:bookmarkEnd w:id="0"/>
      <w:bookmarkEnd w:id="1"/>
      <w:r>
        <w:rPr>
          <w:rFonts w:ascii="仿宋" w:hAnsi="仿宋" w:eastAsia="仿宋" w:cs="仿宋"/>
          <w:color w:val="auto"/>
          <w:sz w:val="24"/>
          <w:highlight w:val="none"/>
        </w:rPr>
        <w:t>物业管理考核工作组设考核工作办公室，办公室设在</w:t>
      </w:r>
      <w:r>
        <w:rPr>
          <w:rFonts w:hint="eastAsia" w:ascii="仿宋" w:hAnsi="仿宋" w:eastAsia="仿宋" w:cs="仿宋"/>
          <w:color w:val="auto"/>
          <w:sz w:val="24"/>
          <w:highlight w:val="none"/>
        </w:rPr>
        <w:t>基建与后勤管理处</w:t>
      </w:r>
      <w:r>
        <w:rPr>
          <w:rFonts w:ascii="仿宋" w:hAnsi="仿宋" w:eastAsia="仿宋" w:cs="仿宋"/>
          <w:color w:val="auto"/>
          <w:sz w:val="24"/>
          <w:highlight w:val="none"/>
        </w:rPr>
        <w:t>。考核工作办公室主任由</w:t>
      </w:r>
      <w:r>
        <w:rPr>
          <w:rFonts w:hint="eastAsia" w:ascii="仿宋" w:hAnsi="仿宋" w:eastAsia="仿宋" w:cs="仿宋"/>
          <w:color w:val="auto"/>
          <w:sz w:val="24"/>
          <w:highlight w:val="none"/>
        </w:rPr>
        <w:t>基建与后勤管理处</w:t>
      </w:r>
      <w:r>
        <w:rPr>
          <w:rFonts w:ascii="仿宋" w:hAnsi="仿宋" w:eastAsia="仿宋" w:cs="仿宋"/>
          <w:color w:val="auto"/>
          <w:sz w:val="24"/>
          <w:highlight w:val="none"/>
        </w:rPr>
        <w:t>主要负责人担任，成员由工作组成员单位负责物业管理日常监管与考核工作的相关同志组成。考核工作办公室主要负责物业管理与服务工作的日常监管;负责物业管理考核工作的</w:t>
      </w:r>
      <w:r>
        <w:rPr>
          <w:rFonts w:hint="eastAsia" w:ascii="仿宋" w:hAnsi="仿宋" w:eastAsia="仿宋" w:cs="仿宋"/>
          <w:color w:val="auto"/>
          <w:sz w:val="24"/>
          <w:highlight w:val="none"/>
        </w:rPr>
        <w:t>具</w:t>
      </w:r>
      <w:r>
        <w:rPr>
          <w:rFonts w:ascii="仿宋" w:hAnsi="仿宋" w:eastAsia="仿宋" w:cs="仿宋"/>
          <w:color w:val="auto"/>
          <w:sz w:val="24"/>
          <w:highlight w:val="none"/>
        </w:rPr>
        <w:t>体组织和实施</w:t>
      </w:r>
      <w:r>
        <w:rPr>
          <w:rFonts w:hint="eastAsia" w:ascii="仿宋" w:hAnsi="仿宋" w:eastAsia="仿宋" w:cs="仿宋"/>
          <w:color w:val="auto"/>
          <w:sz w:val="24"/>
          <w:highlight w:val="none"/>
        </w:rPr>
        <w:t>。</w:t>
      </w:r>
    </w:p>
    <w:p>
      <w:pPr>
        <w:tabs>
          <w:tab w:val="left" w:pos="4893"/>
        </w:tabs>
        <w:spacing w:line="360" w:lineRule="auto"/>
        <w:ind w:firstLine="481" w:firstLineChars="200"/>
        <w:rPr>
          <w:rFonts w:ascii="仿宋" w:hAnsi="仿宋" w:eastAsia="仿宋" w:cs="仿宋"/>
          <w:b/>
          <w:color w:val="auto"/>
          <w:sz w:val="24"/>
          <w:highlight w:val="none"/>
        </w:rPr>
      </w:pPr>
      <w:r>
        <w:rPr>
          <w:rFonts w:ascii="仿宋" w:hAnsi="仿宋" w:eastAsia="仿宋" w:cs="仿宋"/>
          <w:b/>
          <w:color w:val="auto"/>
          <w:sz w:val="24"/>
          <w:highlight w:val="none"/>
        </w:rPr>
        <w:t>3.考核方式和标准</w:t>
      </w:r>
    </w:p>
    <w:p>
      <w:pPr>
        <w:tabs>
          <w:tab w:val="left" w:pos="4893"/>
        </w:tabs>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3</w:t>
      </w:r>
      <w:r>
        <w:rPr>
          <w:rFonts w:ascii="仿宋" w:hAnsi="仿宋" w:eastAsia="仿宋" w:cs="仿宋"/>
          <w:color w:val="auto"/>
          <w:sz w:val="24"/>
          <w:highlight w:val="none"/>
        </w:rPr>
        <w:t>.1</w:t>
      </w:r>
      <w:r>
        <w:rPr>
          <w:rFonts w:hint="eastAsia" w:ascii="仿宋" w:hAnsi="仿宋" w:eastAsia="仿宋" w:cs="仿宋"/>
          <w:color w:val="auto"/>
          <w:sz w:val="24"/>
          <w:highlight w:val="none"/>
        </w:rPr>
        <w:t>日常随机抽查：</w:t>
      </w:r>
    </w:p>
    <w:p>
      <w:pPr>
        <w:tabs>
          <w:tab w:val="left" w:pos="4893"/>
        </w:tabs>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学校职能部门通过不定期抽查，对服务质量进行日常考核。随机抽查时，对第一次、第二次发现的问题主要以批评教育和引导的方式随时进行通报，并限期整改，如第三次检查发现同样问题，则下发书面告知单。下发一次书面告知单，物业管理企业支付违约金500元，从当季物业服务费中扣除，如因失职造成重大损失的，根据损失程度确定违约金数额并扣除。</w:t>
      </w:r>
    </w:p>
    <w:p>
      <w:pPr>
        <w:tabs>
          <w:tab w:val="left" w:pos="4893"/>
        </w:tabs>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3</w:t>
      </w:r>
      <w:r>
        <w:rPr>
          <w:rFonts w:ascii="仿宋" w:hAnsi="仿宋" w:eastAsia="仿宋" w:cs="仿宋"/>
          <w:color w:val="auto"/>
          <w:sz w:val="24"/>
          <w:highlight w:val="none"/>
        </w:rPr>
        <w:t>.2</w:t>
      </w:r>
      <w:r>
        <w:rPr>
          <w:rFonts w:hint="eastAsia" w:ascii="仿宋" w:hAnsi="仿宋" w:eastAsia="仿宋" w:cs="仿宋"/>
          <w:color w:val="auto"/>
          <w:sz w:val="24"/>
          <w:highlight w:val="none"/>
        </w:rPr>
        <w:t>季度考核：</w:t>
      </w:r>
    </w:p>
    <w:p>
      <w:pPr>
        <w:pStyle w:val="10"/>
        <w:spacing w:line="320" w:lineRule="exact"/>
        <w:ind w:firstLine="480" w:firstLineChars="200"/>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学校</w:t>
      </w:r>
      <w:r>
        <w:rPr>
          <w:rFonts w:ascii="仿宋" w:hAnsi="仿宋" w:eastAsia="仿宋" w:cs="仿宋"/>
          <w:color w:val="auto"/>
          <w:sz w:val="24"/>
          <w:highlight w:val="none"/>
        </w:rPr>
        <w:t>考核工作组</w:t>
      </w:r>
      <w:r>
        <w:rPr>
          <w:rFonts w:hint="eastAsia" w:ascii="仿宋" w:hAnsi="仿宋" w:eastAsia="仿宋" w:cs="仿宋"/>
          <w:color w:val="auto"/>
          <w:sz w:val="24"/>
          <w:szCs w:val="24"/>
          <w:highlight w:val="none"/>
        </w:rPr>
        <w:t>对物业管理服务质量进行考核及每季度扣罚，</w:t>
      </w:r>
      <w:r>
        <w:rPr>
          <w:rFonts w:ascii="仿宋" w:hAnsi="仿宋" w:eastAsia="仿宋" w:cs="仿宋"/>
          <w:color w:val="auto"/>
          <w:sz w:val="24"/>
          <w:szCs w:val="24"/>
          <w:highlight w:val="none"/>
        </w:rPr>
        <w:t>考核工作办公室组建</w:t>
      </w:r>
      <w:r>
        <w:rPr>
          <w:rFonts w:hint="eastAsia" w:ascii="仿宋" w:hAnsi="仿宋" w:eastAsia="仿宋" w:cs="仿宋"/>
          <w:color w:val="auto"/>
          <w:sz w:val="24"/>
          <w:szCs w:val="24"/>
          <w:highlight w:val="none"/>
        </w:rPr>
        <w:t>季度</w:t>
      </w:r>
      <w:r>
        <w:rPr>
          <w:rFonts w:ascii="仿宋" w:hAnsi="仿宋" w:eastAsia="仿宋" w:cs="仿宋"/>
          <w:color w:val="auto"/>
          <w:sz w:val="24"/>
          <w:szCs w:val="24"/>
          <w:highlight w:val="none"/>
        </w:rPr>
        <w:t>考核小组，小组人员从</w:t>
      </w:r>
      <w:r>
        <w:rPr>
          <w:rFonts w:hint="eastAsia" w:ascii="仿宋" w:hAnsi="仿宋" w:eastAsia="仿宋" w:cs="仿宋"/>
          <w:color w:val="auto"/>
          <w:sz w:val="24"/>
          <w:highlight w:val="none"/>
        </w:rPr>
        <w:t>基建与后勤管理处</w:t>
      </w:r>
      <w:r>
        <w:rPr>
          <w:rFonts w:ascii="仿宋" w:hAnsi="仿宋" w:eastAsia="仿宋" w:cs="仿宋"/>
          <w:color w:val="auto"/>
          <w:sz w:val="24"/>
          <w:highlight w:val="none"/>
        </w:rPr>
        <w:t>、图书馆、</w:t>
      </w:r>
      <w:r>
        <w:rPr>
          <w:rFonts w:hint="eastAsia" w:ascii="仿宋" w:hAnsi="仿宋" w:eastAsia="仿宋" w:cs="仿宋"/>
          <w:color w:val="auto"/>
          <w:sz w:val="24"/>
          <w:highlight w:val="none"/>
        </w:rPr>
        <w:t>实验管理中心、</w:t>
      </w:r>
      <w:r>
        <w:rPr>
          <w:rFonts w:ascii="仿宋" w:hAnsi="仿宋" w:eastAsia="仿宋" w:cs="仿宋"/>
          <w:color w:val="auto"/>
          <w:sz w:val="24"/>
          <w:highlight w:val="none"/>
        </w:rPr>
        <w:t>学生工作处、保卫处、国有资产管理处</w:t>
      </w:r>
      <w:r>
        <w:rPr>
          <w:rFonts w:hint="eastAsia" w:ascii="仿宋" w:hAnsi="仿宋" w:eastAsia="仿宋" w:cs="仿宋"/>
          <w:color w:val="auto"/>
          <w:sz w:val="24"/>
          <w:highlight w:val="none"/>
        </w:rPr>
        <w:t>等部门</w:t>
      </w:r>
      <w:r>
        <w:rPr>
          <w:rFonts w:ascii="仿宋" w:hAnsi="仿宋" w:eastAsia="仿宋" w:cs="仿宋"/>
          <w:color w:val="auto"/>
          <w:sz w:val="24"/>
          <w:szCs w:val="24"/>
          <w:highlight w:val="none"/>
        </w:rPr>
        <w:t>考核工作组各成员单位抽调，人数为不少于5人的单数。</w:t>
      </w:r>
      <w:r>
        <w:rPr>
          <w:rFonts w:hint="eastAsia" w:ascii="仿宋" w:hAnsi="仿宋" w:eastAsia="仿宋" w:cs="仿宋"/>
          <w:color w:val="auto"/>
          <w:sz w:val="24"/>
          <w:szCs w:val="24"/>
          <w:highlight w:val="none"/>
        </w:rPr>
        <w:t>以季度为单位进行考核，以季度为单位进行汇总扣罚。上季度的扣罚费用在下季度的服务费内进行扣减。</w:t>
      </w:r>
    </w:p>
    <w:p>
      <w:pPr>
        <w:pStyle w:val="10"/>
        <w:spacing w:line="320" w:lineRule="exact"/>
        <w:ind w:firstLine="480" w:firstLineChars="200"/>
        <w:jc w:val="left"/>
        <w:rPr>
          <w:rFonts w:ascii="仿宋" w:hAnsi="仿宋" w:eastAsia="仿宋" w:cs="仿宋"/>
          <w:color w:val="auto"/>
          <w:sz w:val="24"/>
          <w:szCs w:val="24"/>
          <w:highlight w:val="none"/>
        </w:rPr>
      </w:pPr>
      <w:r>
        <w:rPr>
          <w:rFonts w:ascii="仿宋" w:hAnsi="仿宋" w:eastAsia="仿宋" w:cs="仿宋"/>
          <w:color w:val="auto"/>
          <w:sz w:val="24"/>
          <w:szCs w:val="24"/>
          <w:highlight w:val="none"/>
        </w:rPr>
        <w:t>每</w:t>
      </w:r>
      <w:r>
        <w:rPr>
          <w:rFonts w:hint="eastAsia" w:ascii="仿宋" w:hAnsi="仿宋" w:eastAsia="仿宋" w:cs="仿宋"/>
          <w:color w:val="auto"/>
          <w:sz w:val="24"/>
          <w:szCs w:val="24"/>
          <w:highlight w:val="none"/>
        </w:rPr>
        <w:t>季度</w:t>
      </w:r>
      <w:r>
        <w:rPr>
          <w:rFonts w:ascii="仿宋" w:hAnsi="仿宋" w:eastAsia="仿宋" w:cs="仿宋"/>
          <w:color w:val="auto"/>
          <w:sz w:val="24"/>
          <w:szCs w:val="24"/>
          <w:highlight w:val="none"/>
        </w:rPr>
        <w:t>物业管理费用＝中标合同金额合计÷物业管理服务的</w:t>
      </w:r>
      <w:r>
        <w:rPr>
          <w:rFonts w:hint="eastAsia" w:ascii="仿宋" w:hAnsi="仿宋" w:eastAsia="仿宋" w:cs="仿宋"/>
          <w:color w:val="auto"/>
          <w:sz w:val="24"/>
          <w:szCs w:val="24"/>
          <w:highlight w:val="none"/>
        </w:rPr>
        <w:t>季度</w:t>
      </w:r>
      <w:r>
        <w:rPr>
          <w:rFonts w:ascii="仿宋" w:hAnsi="仿宋" w:eastAsia="仿宋" w:cs="仿宋"/>
          <w:color w:val="auto"/>
          <w:sz w:val="24"/>
          <w:szCs w:val="24"/>
          <w:highlight w:val="none"/>
        </w:rPr>
        <w:t>数-根据考核情况需要减值的部分费用。</w:t>
      </w:r>
    </w:p>
    <w:p>
      <w:pPr>
        <w:pStyle w:val="10"/>
        <w:spacing w:line="320" w:lineRule="exact"/>
        <w:ind w:firstLine="480" w:firstLineChars="200"/>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季度考核等级分为优秀、良好、合格、不合格，其中评分</w:t>
      </w:r>
      <w:r>
        <w:rPr>
          <w:rFonts w:ascii="仿宋" w:hAnsi="仿宋" w:eastAsia="仿宋" w:cs="仿宋"/>
          <w:color w:val="auto"/>
          <w:sz w:val="24"/>
          <w:szCs w:val="24"/>
          <w:highlight w:val="none"/>
        </w:rPr>
        <w:t>90</w:t>
      </w:r>
      <w:r>
        <w:rPr>
          <w:rFonts w:hint="eastAsia" w:ascii="仿宋" w:hAnsi="仿宋" w:eastAsia="仿宋" w:cs="仿宋"/>
          <w:color w:val="auto"/>
          <w:sz w:val="24"/>
          <w:szCs w:val="24"/>
          <w:highlight w:val="none"/>
        </w:rPr>
        <w:t>分以上为优秀，</w:t>
      </w:r>
      <w:r>
        <w:rPr>
          <w:rFonts w:ascii="仿宋" w:hAnsi="仿宋" w:eastAsia="仿宋" w:cs="仿宋"/>
          <w:color w:val="auto"/>
          <w:sz w:val="24"/>
          <w:szCs w:val="24"/>
          <w:highlight w:val="none"/>
        </w:rPr>
        <w:t>80-90</w:t>
      </w:r>
      <w:r>
        <w:rPr>
          <w:rFonts w:hint="eastAsia" w:ascii="仿宋" w:hAnsi="仿宋" w:eastAsia="仿宋" w:cs="仿宋"/>
          <w:color w:val="auto"/>
          <w:sz w:val="24"/>
          <w:szCs w:val="24"/>
          <w:highlight w:val="none"/>
        </w:rPr>
        <w:t>分为良好，</w:t>
      </w:r>
      <w:r>
        <w:rPr>
          <w:rFonts w:ascii="仿宋" w:hAnsi="仿宋" w:eastAsia="仿宋" w:cs="仿宋"/>
          <w:color w:val="auto"/>
          <w:sz w:val="24"/>
          <w:szCs w:val="24"/>
          <w:highlight w:val="none"/>
        </w:rPr>
        <w:t>80</w:t>
      </w:r>
      <w:r>
        <w:rPr>
          <w:rFonts w:hint="eastAsia" w:ascii="仿宋" w:hAnsi="仿宋" w:eastAsia="仿宋" w:cs="仿宋"/>
          <w:color w:val="auto"/>
          <w:sz w:val="24"/>
          <w:szCs w:val="24"/>
          <w:highlight w:val="none"/>
        </w:rPr>
        <w:t>合格，</w:t>
      </w:r>
      <w:r>
        <w:rPr>
          <w:rFonts w:ascii="仿宋" w:hAnsi="仿宋" w:eastAsia="仿宋" w:cs="仿宋"/>
          <w:color w:val="auto"/>
          <w:sz w:val="24"/>
          <w:szCs w:val="24"/>
          <w:highlight w:val="none"/>
        </w:rPr>
        <w:t>80</w:t>
      </w:r>
      <w:r>
        <w:rPr>
          <w:rFonts w:hint="eastAsia" w:ascii="仿宋" w:hAnsi="仿宋" w:eastAsia="仿宋" w:cs="仿宋"/>
          <w:color w:val="auto"/>
          <w:sz w:val="24"/>
          <w:szCs w:val="24"/>
          <w:highlight w:val="none"/>
        </w:rPr>
        <w:t>分以下为不合格。</w:t>
      </w:r>
    </w:p>
    <w:p>
      <w:pPr>
        <w:pStyle w:val="10"/>
        <w:spacing w:line="320" w:lineRule="exact"/>
        <w:ind w:firstLine="480" w:firstLineChars="200"/>
        <w:jc w:val="left"/>
        <w:rPr>
          <w:rFonts w:ascii="仿宋" w:hAnsi="仿宋" w:eastAsia="仿宋" w:cs="仿宋"/>
          <w:color w:val="auto"/>
          <w:sz w:val="24"/>
          <w:szCs w:val="24"/>
          <w:highlight w:val="none"/>
        </w:rPr>
      </w:pPr>
      <w:r>
        <w:rPr>
          <w:rFonts w:ascii="仿宋" w:hAnsi="仿宋" w:eastAsia="仿宋" w:cs="仿宋"/>
          <w:color w:val="auto"/>
          <w:sz w:val="24"/>
          <w:szCs w:val="24"/>
          <w:highlight w:val="none"/>
        </w:rPr>
        <w:t>学校</w:t>
      </w:r>
      <w:r>
        <w:rPr>
          <w:rFonts w:hint="eastAsia" w:ascii="仿宋" w:hAnsi="仿宋" w:eastAsia="仿宋" w:cs="仿宋"/>
          <w:color w:val="auto"/>
          <w:sz w:val="24"/>
          <w:szCs w:val="24"/>
          <w:highlight w:val="none"/>
        </w:rPr>
        <w:t>监督考评部门对所有负责的考评项目进行考评，季度考评总分在 90 分及以上，不扣减相对应考评项目当季度应支付乙方的物业服务费;季度考评总分在90分以下，扣减相应考评项目当季度应支付乙方物业服务费</w:t>
      </w:r>
      <w:r>
        <w:rPr>
          <w:rFonts w:ascii="仿宋" w:hAnsi="仿宋" w:eastAsia="仿宋" w:cs="仿宋"/>
          <w:color w:val="auto"/>
          <w:sz w:val="24"/>
          <w:szCs w:val="24"/>
          <w:highlight w:val="none"/>
        </w:rPr>
        <w:t>，每</w:t>
      </w:r>
      <w:r>
        <w:rPr>
          <w:rFonts w:hint="eastAsia" w:ascii="仿宋" w:hAnsi="仿宋" w:eastAsia="仿宋" w:cs="仿宋"/>
          <w:color w:val="auto"/>
          <w:sz w:val="24"/>
          <w:szCs w:val="24"/>
          <w:highlight w:val="none"/>
        </w:rPr>
        <w:t>分</w:t>
      </w:r>
      <w:r>
        <w:rPr>
          <w:rFonts w:ascii="仿宋" w:hAnsi="仿宋" w:eastAsia="仿宋" w:cs="仿宋"/>
          <w:color w:val="auto"/>
          <w:sz w:val="24"/>
          <w:szCs w:val="24"/>
          <w:highlight w:val="none"/>
        </w:rPr>
        <w:t>扣</w:t>
      </w:r>
      <w:r>
        <w:rPr>
          <w:rFonts w:hint="eastAsia" w:ascii="仿宋" w:hAnsi="仿宋" w:eastAsia="仿宋" w:cs="仿宋"/>
          <w:color w:val="auto"/>
          <w:sz w:val="24"/>
          <w:szCs w:val="24"/>
          <w:highlight w:val="none"/>
        </w:rPr>
        <w:t>减</w:t>
      </w:r>
      <w:r>
        <w:rPr>
          <w:rFonts w:ascii="仿宋" w:hAnsi="仿宋" w:eastAsia="仿宋" w:cs="仿宋"/>
          <w:color w:val="auto"/>
          <w:sz w:val="24"/>
          <w:szCs w:val="24"/>
          <w:highlight w:val="none"/>
        </w:rPr>
        <w:t>500</w:t>
      </w:r>
      <w:r>
        <w:rPr>
          <w:rFonts w:hint="eastAsia" w:ascii="仿宋" w:hAnsi="仿宋" w:eastAsia="仿宋" w:cs="仿宋"/>
          <w:color w:val="auto"/>
          <w:sz w:val="24"/>
          <w:szCs w:val="24"/>
          <w:highlight w:val="none"/>
        </w:rPr>
        <w:t>元</w:t>
      </w:r>
      <w:r>
        <w:rPr>
          <w:rFonts w:ascii="仿宋" w:hAnsi="仿宋" w:eastAsia="仿宋" w:cs="仿宋"/>
          <w:color w:val="auto"/>
          <w:sz w:val="24"/>
          <w:szCs w:val="24"/>
          <w:highlight w:val="none"/>
        </w:rPr>
        <w:t>。</w:t>
      </w:r>
    </w:p>
    <w:p>
      <w:pPr>
        <w:pStyle w:val="10"/>
        <w:spacing w:line="360" w:lineRule="auto"/>
        <w:ind w:firstLine="480" w:firstLineChars="200"/>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连续</w:t>
      </w:r>
      <w:r>
        <w:rPr>
          <w:rFonts w:ascii="仿宋" w:hAnsi="仿宋" w:eastAsia="仿宋" w:cs="仿宋"/>
          <w:color w:val="auto"/>
          <w:sz w:val="24"/>
          <w:szCs w:val="24"/>
          <w:highlight w:val="none"/>
        </w:rPr>
        <w:t>2</w:t>
      </w:r>
      <w:r>
        <w:rPr>
          <w:rFonts w:hint="eastAsia" w:ascii="仿宋" w:hAnsi="仿宋" w:eastAsia="仿宋" w:cs="仿宋"/>
          <w:color w:val="auto"/>
          <w:sz w:val="24"/>
          <w:szCs w:val="24"/>
          <w:highlight w:val="none"/>
        </w:rPr>
        <w:t>次季度考核评分80分以下（不含80分），或一年内累计出现</w:t>
      </w:r>
      <w:r>
        <w:rPr>
          <w:rFonts w:ascii="仿宋" w:hAnsi="仿宋" w:eastAsia="仿宋" w:cs="仿宋"/>
          <w:color w:val="auto"/>
          <w:sz w:val="24"/>
          <w:szCs w:val="24"/>
          <w:highlight w:val="none"/>
        </w:rPr>
        <w:t>3</w:t>
      </w:r>
      <w:r>
        <w:rPr>
          <w:rFonts w:hint="eastAsia" w:ascii="仿宋" w:hAnsi="仿宋" w:eastAsia="仿宋" w:cs="仿宋"/>
          <w:color w:val="auto"/>
          <w:sz w:val="24"/>
          <w:szCs w:val="24"/>
          <w:highlight w:val="none"/>
        </w:rPr>
        <w:t>次季度考核评分80分以下（不含80分），采购人有权终止合同且无需承担责任。</w:t>
      </w:r>
    </w:p>
    <w:p>
      <w:pPr>
        <w:pStyle w:val="10"/>
        <w:spacing w:line="360" w:lineRule="auto"/>
        <w:ind w:firstLine="480" w:firstLineChars="200"/>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学校每季度对成交中标人该季度工作情况（包括工作内容、工作态度、问题处理速度、承诺配备人员是否在岗及被投诉情况等）进行考核打分。该项分数占最终年度考核评分</w:t>
      </w:r>
      <w:r>
        <w:rPr>
          <w:rFonts w:ascii="仿宋" w:hAnsi="仿宋" w:eastAsia="仿宋" w:cs="仿宋"/>
          <w:color w:val="auto"/>
          <w:sz w:val="24"/>
          <w:szCs w:val="24"/>
          <w:highlight w:val="none"/>
        </w:rPr>
        <w:t>7</w:t>
      </w:r>
      <w:r>
        <w:rPr>
          <w:rFonts w:hint="eastAsia" w:ascii="仿宋" w:hAnsi="仿宋" w:eastAsia="仿宋" w:cs="仿宋"/>
          <w:color w:val="auto"/>
          <w:sz w:val="24"/>
          <w:szCs w:val="24"/>
          <w:highlight w:val="none"/>
        </w:rPr>
        <w:t>0%。</w:t>
      </w:r>
    </w:p>
    <w:p>
      <w:pPr>
        <w:pStyle w:val="10"/>
        <w:spacing w:line="360" w:lineRule="auto"/>
        <w:ind w:firstLine="480" w:firstLineChars="200"/>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ascii="仿宋" w:hAnsi="仿宋" w:eastAsia="仿宋" w:cs="仿宋"/>
          <w:color w:val="auto"/>
          <w:sz w:val="24"/>
          <w:szCs w:val="24"/>
          <w:highlight w:val="none"/>
        </w:rPr>
        <w:t>.3</w:t>
      </w:r>
      <w:r>
        <w:rPr>
          <w:rFonts w:hint="eastAsia" w:ascii="仿宋" w:hAnsi="仿宋" w:eastAsia="仿宋" w:cs="仿宋"/>
          <w:color w:val="auto"/>
          <w:sz w:val="24"/>
          <w:szCs w:val="24"/>
          <w:highlight w:val="none"/>
        </w:rPr>
        <w:t>年度考核：</w:t>
      </w:r>
    </w:p>
    <w:p>
      <w:pPr>
        <w:pStyle w:val="10"/>
        <w:spacing w:line="320" w:lineRule="exact"/>
        <w:ind w:firstLine="480" w:firstLineChars="200"/>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学校</w:t>
      </w:r>
      <w:r>
        <w:rPr>
          <w:rFonts w:ascii="仿宋" w:hAnsi="仿宋" w:eastAsia="仿宋" w:cs="仿宋"/>
          <w:color w:val="auto"/>
          <w:sz w:val="24"/>
          <w:szCs w:val="24"/>
          <w:highlight w:val="none"/>
        </w:rPr>
        <w:t>考核工作组</w:t>
      </w:r>
      <w:r>
        <w:rPr>
          <w:rFonts w:hint="eastAsia" w:ascii="仿宋" w:hAnsi="仿宋" w:eastAsia="仿宋" w:cs="仿宋"/>
          <w:color w:val="auto"/>
          <w:sz w:val="24"/>
          <w:szCs w:val="24"/>
          <w:highlight w:val="none"/>
        </w:rPr>
        <w:t>及学生代表对物业管理服务全年工作情况进行年终抽样调查考评，</w:t>
      </w:r>
      <w:r>
        <w:rPr>
          <w:color w:val="auto"/>
          <w:highlight w:val="none"/>
        </w:rPr>
        <w:t>考核工作办公室组建学期考核小组，小组人员从考核工作组各成员单位抽调，人数为不少于7人的单数</w:t>
      </w:r>
      <w:r>
        <w:rPr>
          <w:rFonts w:hint="eastAsia" w:ascii="仿宋" w:hAnsi="仿宋" w:eastAsia="仿宋" w:cs="仿宋"/>
          <w:color w:val="auto"/>
          <w:sz w:val="24"/>
          <w:szCs w:val="24"/>
          <w:highlight w:val="none"/>
        </w:rPr>
        <w:t>。该项评分结果占最终年度考核评分</w:t>
      </w:r>
      <w:r>
        <w:rPr>
          <w:rFonts w:ascii="仿宋" w:hAnsi="仿宋" w:eastAsia="仿宋" w:cs="仿宋"/>
          <w:color w:val="auto"/>
          <w:sz w:val="24"/>
          <w:szCs w:val="24"/>
          <w:highlight w:val="none"/>
        </w:rPr>
        <w:t>4</w:t>
      </w:r>
      <w:r>
        <w:rPr>
          <w:rFonts w:hint="eastAsia" w:ascii="仿宋" w:hAnsi="仿宋" w:eastAsia="仿宋" w:cs="仿宋"/>
          <w:color w:val="auto"/>
          <w:sz w:val="24"/>
          <w:szCs w:val="24"/>
          <w:highlight w:val="none"/>
        </w:rPr>
        <w:t>0%。</w:t>
      </w:r>
    </w:p>
    <w:p>
      <w:pPr>
        <w:pStyle w:val="10"/>
        <w:spacing w:line="360" w:lineRule="auto"/>
        <w:ind w:firstLine="480" w:firstLineChars="200"/>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年度考核得分=季度考核平均分*</w:t>
      </w:r>
      <w:r>
        <w:rPr>
          <w:rFonts w:ascii="仿宋" w:hAnsi="仿宋" w:eastAsia="仿宋" w:cs="仿宋"/>
          <w:color w:val="auto"/>
          <w:sz w:val="24"/>
          <w:szCs w:val="24"/>
          <w:highlight w:val="none"/>
        </w:rPr>
        <w:t>4</w:t>
      </w:r>
      <w:r>
        <w:rPr>
          <w:rFonts w:hint="eastAsia" w:ascii="仿宋" w:hAnsi="仿宋" w:eastAsia="仿宋" w:cs="仿宋"/>
          <w:color w:val="auto"/>
          <w:sz w:val="24"/>
          <w:szCs w:val="24"/>
          <w:highlight w:val="none"/>
        </w:rPr>
        <w:t>0%+年终抽样考评分*</w:t>
      </w:r>
      <w:r>
        <w:rPr>
          <w:rFonts w:ascii="仿宋" w:hAnsi="仿宋" w:eastAsia="仿宋" w:cs="仿宋"/>
          <w:color w:val="auto"/>
          <w:sz w:val="24"/>
          <w:szCs w:val="24"/>
          <w:highlight w:val="none"/>
        </w:rPr>
        <w:t>6</w:t>
      </w:r>
      <w:r>
        <w:rPr>
          <w:rFonts w:hint="eastAsia" w:ascii="仿宋" w:hAnsi="仿宋" w:eastAsia="仿宋" w:cs="仿宋"/>
          <w:color w:val="auto"/>
          <w:sz w:val="24"/>
          <w:szCs w:val="24"/>
          <w:highlight w:val="none"/>
        </w:rPr>
        <w:t>0%</w:t>
      </w:r>
    </w:p>
    <w:p>
      <w:pPr>
        <w:pStyle w:val="10"/>
        <w:spacing w:line="360" w:lineRule="auto"/>
        <w:ind w:firstLine="480" w:firstLineChars="200"/>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年度考核等级分为优秀、良好、合格、不合格，其中评分</w:t>
      </w:r>
      <w:r>
        <w:rPr>
          <w:rFonts w:ascii="仿宋" w:hAnsi="仿宋" w:eastAsia="仿宋" w:cs="仿宋"/>
          <w:color w:val="auto"/>
          <w:sz w:val="24"/>
          <w:szCs w:val="24"/>
          <w:highlight w:val="none"/>
        </w:rPr>
        <w:t>90</w:t>
      </w:r>
      <w:r>
        <w:rPr>
          <w:rFonts w:hint="eastAsia" w:ascii="仿宋" w:hAnsi="仿宋" w:eastAsia="仿宋" w:cs="仿宋"/>
          <w:color w:val="auto"/>
          <w:sz w:val="24"/>
          <w:szCs w:val="24"/>
          <w:highlight w:val="none"/>
        </w:rPr>
        <w:t>分以上为优秀，</w:t>
      </w:r>
      <w:r>
        <w:rPr>
          <w:rFonts w:ascii="仿宋" w:hAnsi="仿宋" w:eastAsia="仿宋" w:cs="仿宋"/>
          <w:color w:val="auto"/>
          <w:sz w:val="24"/>
          <w:szCs w:val="24"/>
          <w:highlight w:val="none"/>
        </w:rPr>
        <w:t>80-90</w:t>
      </w:r>
      <w:r>
        <w:rPr>
          <w:rFonts w:hint="eastAsia" w:ascii="仿宋" w:hAnsi="仿宋" w:eastAsia="仿宋" w:cs="仿宋"/>
          <w:color w:val="auto"/>
          <w:sz w:val="24"/>
          <w:szCs w:val="24"/>
          <w:highlight w:val="none"/>
        </w:rPr>
        <w:t>分为良好，</w:t>
      </w:r>
      <w:r>
        <w:rPr>
          <w:rFonts w:ascii="仿宋" w:hAnsi="仿宋" w:eastAsia="仿宋" w:cs="仿宋"/>
          <w:color w:val="auto"/>
          <w:sz w:val="24"/>
          <w:szCs w:val="24"/>
          <w:highlight w:val="none"/>
        </w:rPr>
        <w:t>80</w:t>
      </w:r>
      <w:r>
        <w:rPr>
          <w:rFonts w:hint="eastAsia" w:ascii="仿宋" w:hAnsi="仿宋" w:eastAsia="仿宋" w:cs="仿宋"/>
          <w:color w:val="auto"/>
          <w:sz w:val="24"/>
          <w:szCs w:val="24"/>
          <w:highlight w:val="none"/>
        </w:rPr>
        <w:t>合格，</w:t>
      </w:r>
      <w:r>
        <w:rPr>
          <w:rFonts w:ascii="仿宋" w:hAnsi="仿宋" w:eastAsia="仿宋" w:cs="仿宋"/>
          <w:color w:val="auto"/>
          <w:sz w:val="24"/>
          <w:szCs w:val="24"/>
          <w:highlight w:val="none"/>
        </w:rPr>
        <w:t>80</w:t>
      </w:r>
      <w:r>
        <w:rPr>
          <w:rFonts w:hint="eastAsia" w:ascii="仿宋" w:hAnsi="仿宋" w:eastAsia="仿宋" w:cs="仿宋"/>
          <w:color w:val="auto"/>
          <w:sz w:val="24"/>
          <w:szCs w:val="24"/>
          <w:highlight w:val="none"/>
        </w:rPr>
        <w:t>分以下为不合格。年度考核评分在 90 分及以上，不扣减相对应考评项目当季度应支付乙方的物业服务费; 年度考核评分得分8</w:t>
      </w:r>
      <w:r>
        <w:rPr>
          <w:rFonts w:ascii="仿宋" w:hAnsi="仿宋" w:eastAsia="仿宋" w:cs="仿宋"/>
          <w:color w:val="auto"/>
          <w:sz w:val="24"/>
          <w:szCs w:val="24"/>
          <w:highlight w:val="none"/>
        </w:rPr>
        <w:t>5-89</w:t>
      </w:r>
      <w:r>
        <w:rPr>
          <w:rFonts w:hint="eastAsia" w:ascii="仿宋" w:hAnsi="仿宋" w:eastAsia="仿宋" w:cs="仿宋"/>
          <w:color w:val="auto"/>
          <w:sz w:val="24"/>
          <w:szCs w:val="24"/>
          <w:highlight w:val="none"/>
        </w:rPr>
        <w:t>分扣减相应考评季度应支付乙方物业服务费1</w:t>
      </w:r>
      <w:r>
        <w:rPr>
          <w:rFonts w:ascii="仿宋" w:hAnsi="仿宋" w:eastAsia="仿宋" w:cs="仿宋"/>
          <w:color w:val="auto"/>
          <w:sz w:val="24"/>
          <w:szCs w:val="24"/>
          <w:highlight w:val="none"/>
        </w:rPr>
        <w:t>0000</w:t>
      </w:r>
      <w:r>
        <w:rPr>
          <w:rFonts w:hint="eastAsia" w:ascii="仿宋" w:hAnsi="仿宋" w:eastAsia="仿宋" w:cs="仿宋"/>
          <w:color w:val="auto"/>
          <w:sz w:val="24"/>
          <w:szCs w:val="24"/>
          <w:highlight w:val="none"/>
        </w:rPr>
        <w:t>元</w:t>
      </w:r>
      <w:r>
        <w:rPr>
          <w:rFonts w:ascii="仿宋" w:hAnsi="仿宋" w:eastAsia="仿宋" w:cs="仿宋"/>
          <w:color w:val="auto"/>
          <w:sz w:val="24"/>
          <w:szCs w:val="24"/>
          <w:highlight w:val="none"/>
        </w:rPr>
        <w:t>，</w:t>
      </w:r>
      <w:r>
        <w:rPr>
          <w:rFonts w:hint="eastAsia" w:ascii="仿宋" w:hAnsi="仿宋" w:eastAsia="仿宋" w:cs="仿宋"/>
          <w:color w:val="auto"/>
          <w:sz w:val="24"/>
          <w:szCs w:val="24"/>
          <w:highlight w:val="none"/>
        </w:rPr>
        <w:t>年度考核评得分8</w:t>
      </w:r>
      <w:r>
        <w:rPr>
          <w:rFonts w:ascii="仿宋" w:hAnsi="仿宋" w:eastAsia="仿宋" w:cs="仿宋"/>
          <w:color w:val="auto"/>
          <w:sz w:val="24"/>
          <w:szCs w:val="24"/>
          <w:highlight w:val="none"/>
        </w:rPr>
        <w:t>0</w:t>
      </w:r>
      <w:r>
        <w:rPr>
          <w:rFonts w:hint="eastAsia" w:ascii="仿宋" w:hAnsi="仿宋" w:eastAsia="仿宋" w:cs="仿宋"/>
          <w:color w:val="auto"/>
          <w:sz w:val="24"/>
          <w:szCs w:val="24"/>
          <w:highlight w:val="none"/>
        </w:rPr>
        <w:t>-</w:t>
      </w:r>
      <w:r>
        <w:rPr>
          <w:rFonts w:ascii="仿宋" w:hAnsi="仿宋" w:eastAsia="仿宋" w:cs="仿宋"/>
          <w:color w:val="auto"/>
          <w:sz w:val="24"/>
          <w:szCs w:val="24"/>
          <w:highlight w:val="none"/>
        </w:rPr>
        <w:t>84</w:t>
      </w:r>
      <w:r>
        <w:rPr>
          <w:rFonts w:hint="eastAsia" w:ascii="仿宋" w:hAnsi="仿宋" w:eastAsia="仿宋" w:cs="仿宋"/>
          <w:color w:val="auto"/>
          <w:sz w:val="24"/>
          <w:szCs w:val="24"/>
          <w:highlight w:val="none"/>
        </w:rPr>
        <w:t>分扣减相应考评季度应支付乙方物业服务费</w:t>
      </w:r>
      <w:r>
        <w:rPr>
          <w:rFonts w:ascii="仿宋" w:hAnsi="仿宋" w:eastAsia="仿宋" w:cs="仿宋"/>
          <w:color w:val="auto"/>
          <w:sz w:val="24"/>
          <w:szCs w:val="24"/>
          <w:highlight w:val="none"/>
        </w:rPr>
        <w:t>20000</w:t>
      </w:r>
      <w:r>
        <w:rPr>
          <w:rFonts w:hint="eastAsia" w:ascii="仿宋" w:hAnsi="仿宋" w:eastAsia="仿宋" w:cs="仿宋"/>
          <w:color w:val="auto"/>
          <w:sz w:val="24"/>
          <w:szCs w:val="24"/>
          <w:highlight w:val="none"/>
        </w:rPr>
        <w:t>元</w:t>
      </w:r>
      <w:r>
        <w:rPr>
          <w:rFonts w:ascii="仿宋" w:hAnsi="仿宋" w:eastAsia="仿宋" w:cs="仿宋"/>
          <w:color w:val="auto"/>
          <w:sz w:val="24"/>
          <w:szCs w:val="24"/>
          <w:highlight w:val="none"/>
        </w:rPr>
        <w:t>，</w:t>
      </w:r>
      <w:r>
        <w:rPr>
          <w:rFonts w:hint="eastAsia" w:ascii="仿宋" w:hAnsi="仿宋" w:eastAsia="仿宋" w:cs="仿宋"/>
          <w:color w:val="auto"/>
          <w:sz w:val="24"/>
          <w:szCs w:val="24"/>
          <w:highlight w:val="none"/>
        </w:rPr>
        <w:t>年度考核评得分</w:t>
      </w:r>
      <w:r>
        <w:rPr>
          <w:rFonts w:ascii="仿宋" w:hAnsi="仿宋" w:eastAsia="仿宋" w:cs="仿宋"/>
          <w:color w:val="auto"/>
          <w:sz w:val="24"/>
          <w:szCs w:val="24"/>
          <w:highlight w:val="none"/>
        </w:rPr>
        <w:t>79</w:t>
      </w:r>
      <w:r>
        <w:rPr>
          <w:rFonts w:hint="eastAsia" w:ascii="仿宋" w:hAnsi="仿宋" w:eastAsia="仿宋" w:cs="仿宋"/>
          <w:color w:val="auto"/>
          <w:sz w:val="24"/>
          <w:szCs w:val="24"/>
          <w:highlight w:val="none"/>
        </w:rPr>
        <w:t>分及以下扣减相应考评季度应支付乙方物业服务费</w:t>
      </w:r>
      <w:r>
        <w:rPr>
          <w:rFonts w:ascii="仿宋" w:hAnsi="仿宋" w:eastAsia="仿宋" w:cs="仿宋"/>
          <w:color w:val="auto"/>
          <w:sz w:val="24"/>
          <w:szCs w:val="24"/>
          <w:highlight w:val="none"/>
        </w:rPr>
        <w:t>50000</w:t>
      </w:r>
      <w:r>
        <w:rPr>
          <w:rFonts w:hint="eastAsia" w:ascii="仿宋" w:hAnsi="仿宋" w:eastAsia="仿宋" w:cs="仿宋"/>
          <w:color w:val="auto"/>
          <w:sz w:val="24"/>
          <w:szCs w:val="24"/>
          <w:highlight w:val="none"/>
        </w:rPr>
        <w:t>元；</w:t>
      </w:r>
      <w:r>
        <w:rPr>
          <w:rFonts w:ascii="仿宋" w:hAnsi="仿宋" w:eastAsia="仿宋" w:cs="仿宋"/>
          <w:color w:val="auto"/>
          <w:sz w:val="24"/>
          <w:szCs w:val="24"/>
          <w:highlight w:val="none"/>
        </w:rPr>
        <w:t>年度考核不合格</w:t>
      </w:r>
      <w:r>
        <w:rPr>
          <w:rFonts w:hint="eastAsia" w:ascii="仿宋" w:hAnsi="仿宋" w:eastAsia="仿宋" w:cs="仿宋"/>
          <w:color w:val="auto"/>
          <w:sz w:val="24"/>
          <w:szCs w:val="24"/>
          <w:highlight w:val="none"/>
        </w:rPr>
        <w:t>采购人有权终止合同且无需承担责任。季度考核扣减物业费和年度考核扣减物业服务费叠加，在最近一次季度物业费支付时统一扣除。</w:t>
      </w:r>
    </w:p>
    <w:p>
      <w:pPr>
        <w:pStyle w:val="10"/>
        <w:spacing w:line="360" w:lineRule="auto"/>
        <w:ind w:firstLine="480" w:firstLineChars="200"/>
        <w:jc w:val="left"/>
        <w:rPr>
          <w:rFonts w:ascii="仿宋" w:hAnsi="仿宋" w:eastAsia="仿宋" w:cs="仿宋"/>
          <w:color w:val="auto"/>
          <w:sz w:val="24"/>
          <w:szCs w:val="24"/>
          <w:highlight w:val="none"/>
        </w:rPr>
      </w:pPr>
    </w:p>
    <w:p>
      <w:pPr>
        <w:pStyle w:val="10"/>
        <w:spacing w:line="320" w:lineRule="exact"/>
        <w:ind w:firstLine="480" w:firstLineChars="200"/>
        <w:jc w:val="left"/>
        <w:rPr>
          <w:rFonts w:ascii="仿宋" w:hAnsi="仿宋" w:eastAsia="仿宋" w:cs="仿宋"/>
          <w:color w:val="auto"/>
          <w:sz w:val="24"/>
          <w:szCs w:val="24"/>
          <w:highlight w:val="none"/>
        </w:rPr>
      </w:pPr>
    </w:p>
    <w:p>
      <w:pPr>
        <w:pStyle w:val="10"/>
        <w:spacing w:line="320" w:lineRule="exact"/>
        <w:ind w:firstLine="480" w:firstLineChars="200"/>
        <w:jc w:val="left"/>
        <w:rPr>
          <w:rFonts w:ascii="仿宋" w:hAnsi="仿宋" w:eastAsia="仿宋" w:cs="仿宋"/>
          <w:color w:val="auto"/>
          <w:sz w:val="24"/>
          <w:szCs w:val="24"/>
          <w:highlight w:val="none"/>
        </w:rPr>
      </w:pPr>
    </w:p>
    <w:p>
      <w:pPr>
        <w:pStyle w:val="10"/>
        <w:spacing w:line="320" w:lineRule="exact"/>
        <w:ind w:firstLine="480" w:firstLineChars="200"/>
        <w:jc w:val="left"/>
        <w:rPr>
          <w:rFonts w:ascii="仿宋" w:hAnsi="仿宋" w:eastAsia="仿宋" w:cs="仿宋"/>
          <w:color w:val="auto"/>
          <w:sz w:val="24"/>
          <w:szCs w:val="24"/>
          <w:highlight w:val="none"/>
        </w:rPr>
      </w:pPr>
    </w:p>
    <w:p>
      <w:pPr>
        <w:pStyle w:val="10"/>
        <w:spacing w:line="320" w:lineRule="exact"/>
        <w:ind w:firstLine="480" w:firstLineChars="200"/>
        <w:jc w:val="left"/>
        <w:rPr>
          <w:rFonts w:ascii="仿宋" w:hAnsi="仿宋" w:eastAsia="仿宋" w:cs="仿宋"/>
          <w:color w:val="auto"/>
          <w:sz w:val="24"/>
          <w:szCs w:val="24"/>
          <w:highlight w:val="none"/>
        </w:rPr>
      </w:pPr>
    </w:p>
    <w:p>
      <w:pPr>
        <w:pStyle w:val="10"/>
        <w:spacing w:line="320" w:lineRule="exact"/>
        <w:ind w:firstLine="480" w:firstLineChars="200"/>
        <w:jc w:val="left"/>
        <w:rPr>
          <w:rFonts w:ascii="仿宋" w:hAnsi="仿宋" w:eastAsia="仿宋" w:cs="仿宋"/>
          <w:color w:val="auto"/>
          <w:sz w:val="24"/>
          <w:szCs w:val="24"/>
          <w:highlight w:val="none"/>
        </w:rPr>
      </w:pPr>
    </w:p>
    <w:p>
      <w:pPr>
        <w:pStyle w:val="10"/>
        <w:spacing w:line="320" w:lineRule="exact"/>
        <w:ind w:firstLine="480" w:firstLineChars="200"/>
        <w:jc w:val="left"/>
        <w:rPr>
          <w:rFonts w:ascii="仿宋" w:hAnsi="仿宋" w:eastAsia="仿宋" w:cs="仿宋"/>
          <w:color w:val="auto"/>
          <w:sz w:val="24"/>
          <w:szCs w:val="24"/>
          <w:highlight w:val="none"/>
        </w:rPr>
      </w:pPr>
    </w:p>
    <w:p>
      <w:pPr>
        <w:pStyle w:val="10"/>
        <w:spacing w:line="320" w:lineRule="exact"/>
        <w:ind w:firstLine="480" w:firstLineChars="200"/>
        <w:jc w:val="left"/>
        <w:rPr>
          <w:rFonts w:ascii="仿宋" w:hAnsi="仿宋" w:eastAsia="仿宋" w:cs="仿宋"/>
          <w:color w:val="auto"/>
          <w:sz w:val="24"/>
          <w:szCs w:val="24"/>
          <w:highlight w:val="none"/>
        </w:rPr>
      </w:pPr>
    </w:p>
    <w:p>
      <w:pPr>
        <w:pStyle w:val="10"/>
        <w:spacing w:line="320" w:lineRule="exact"/>
        <w:ind w:firstLine="480" w:firstLineChars="200"/>
        <w:jc w:val="left"/>
        <w:rPr>
          <w:rFonts w:ascii="仿宋" w:hAnsi="仿宋" w:eastAsia="仿宋" w:cs="仿宋"/>
          <w:color w:val="auto"/>
          <w:sz w:val="24"/>
          <w:szCs w:val="24"/>
          <w:highlight w:val="none"/>
        </w:rPr>
      </w:pPr>
    </w:p>
    <w:p>
      <w:pPr>
        <w:pStyle w:val="10"/>
        <w:spacing w:line="320" w:lineRule="exact"/>
        <w:ind w:firstLine="480" w:firstLineChars="200"/>
        <w:jc w:val="left"/>
        <w:rPr>
          <w:rFonts w:ascii="仿宋" w:hAnsi="仿宋" w:eastAsia="仿宋" w:cs="仿宋"/>
          <w:color w:val="auto"/>
          <w:sz w:val="24"/>
          <w:szCs w:val="24"/>
          <w:highlight w:val="none"/>
        </w:rPr>
      </w:pPr>
    </w:p>
    <w:p>
      <w:pPr>
        <w:pStyle w:val="10"/>
        <w:spacing w:line="320" w:lineRule="exact"/>
        <w:ind w:firstLine="480" w:firstLineChars="200"/>
        <w:jc w:val="left"/>
        <w:rPr>
          <w:rFonts w:ascii="仿宋" w:hAnsi="仿宋" w:eastAsia="仿宋" w:cs="仿宋"/>
          <w:color w:val="auto"/>
          <w:sz w:val="24"/>
          <w:szCs w:val="24"/>
          <w:highlight w:val="none"/>
        </w:rPr>
      </w:pPr>
    </w:p>
    <w:p>
      <w:pPr>
        <w:wordWrap w:val="0"/>
        <w:topLinePunct/>
        <w:spacing w:line="360" w:lineRule="auto"/>
        <w:outlineLvl w:val="0"/>
        <w:rPr>
          <w:rFonts w:ascii="仿宋" w:hAnsi="仿宋" w:eastAsia="仿宋" w:cs="仿宋"/>
          <w:b/>
          <w:bCs/>
          <w:color w:val="auto"/>
          <w:sz w:val="28"/>
          <w:szCs w:val="28"/>
          <w:highlight w:val="none"/>
        </w:rPr>
      </w:pPr>
      <w:r>
        <w:rPr>
          <w:rFonts w:ascii="仿宋" w:hAnsi="仿宋" w:eastAsia="仿宋" w:cs="仿宋"/>
          <w:b/>
          <w:bCs/>
          <w:color w:val="auto"/>
          <w:sz w:val="28"/>
          <w:szCs w:val="28"/>
          <w:highlight w:val="none"/>
        </w:rPr>
        <w:t>二、海南热带海洋学院</w:t>
      </w:r>
      <w:r>
        <w:rPr>
          <w:rFonts w:hint="eastAsia" w:ascii="仿宋" w:hAnsi="仿宋" w:eastAsia="仿宋" w:cs="仿宋"/>
          <w:b/>
          <w:bCs/>
          <w:color w:val="auto"/>
          <w:sz w:val="28"/>
          <w:szCs w:val="28"/>
          <w:highlight w:val="none"/>
        </w:rPr>
        <w:t>三亚校区部分卫生保洁、绿化养护等物业服务项目（</w:t>
      </w:r>
      <w:r>
        <w:rPr>
          <w:rFonts w:ascii="仿宋" w:hAnsi="仿宋" w:eastAsia="仿宋" w:cs="仿宋"/>
          <w:b/>
          <w:bCs/>
          <w:color w:val="auto"/>
          <w:sz w:val="28"/>
          <w:szCs w:val="28"/>
          <w:highlight w:val="none"/>
        </w:rPr>
        <w:t xml:space="preserve">2025-2028 </w:t>
      </w:r>
      <w:r>
        <w:rPr>
          <w:rFonts w:hint="eastAsia" w:ascii="仿宋" w:hAnsi="仿宋" w:eastAsia="仿宋" w:cs="仿宋"/>
          <w:b/>
          <w:bCs/>
          <w:color w:val="auto"/>
          <w:sz w:val="28"/>
          <w:szCs w:val="28"/>
          <w:highlight w:val="none"/>
        </w:rPr>
        <w:t>年度）（季度、年终抽样考评分）</w:t>
      </w:r>
    </w:p>
    <w:p>
      <w:pPr>
        <w:pStyle w:val="3"/>
        <w:spacing w:before="156" w:beforeLines="50" w:after="156" w:afterLines="50" w:line="360" w:lineRule="auto"/>
        <w:ind w:firstLine="1927" w:firstLineChars="800"/>
        <w:rPr>
          <w:rFonts w:hint="default" w:ascii="仿宋" w:hAnsi="仿宋" w:eastAsia="仿宋" w:cs="仿宋"/>
          <w:color w:val="auto"/>
          <w:sz w:val="24"/>
          <w:szCs w:val="24"/>
          <w:highlight w:val="none"/>
        </w:rPr>
      </w:pPr>
      <w:r>
        <w:rPr>
          <w:rFonts w:ascii="仿宋" w:hAnsi="仿宋" w:eastAsia="仿宋" w:cs="仿宋"/>
          <w:color w:val="auto"/>
          <w:sz w:val="24"/>
          <w:szCs w:val="24"/>
          <w:highlight w:val="none"/>
        </w:rPr>
        <w:t>（一）清洁卫生服务（100分）</w:t>
      </w: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43"/>
        <w:gridCol w:w="677"/>
        <w:gridCol w:w="2475"/>
        <w:gridCol w:w="8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6"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 w:hAnsi="仿宋" w:eastAsia="仿宋" w:cs="仿宋"/>
                <w:b/>
                <w:bCs/>
                <w:color w:val="auto"/>
                <w:sz w:val="24"/>
                <w:highlight w:val="none"/>
              </w:rPr>
            </w:pPr>
            <w:r>
              <w:rPr>
                <w:rFonts w:hint="eastAsia" w:ascii="仿宋" w:hAnsi="仿宋" w:eastAsia="仿宋" w:cs="仿宋"/>
                <w:b/>
                <w:bCs/>
                <w:color w:val="auto"/>
                <w:sz w:val="24"/>
                <w:highlight w:val="none"/>
              </w:rPr>
              <w:t>标准内容</w:t>
            </w:r>
          </w:p>
        </w:tc>
        <w:tc>
          <w:tcPr>
            <w:tcW w:w="397"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 w:hAnsi="仿宋" w:eastAsia="仿宋" w:cs="仿宋"/>
                <w:b/>
                <w:bCs/>
                <w:color w:val="auto"/>
                <w:sz w:val="24"/>
                <w:highlight w:val="none"/>
              </w:rPr>
            </w:pPr>
            <w:r>
              <w:rPr>
                <w:rFonts w:hint="eastAsia" w:ascii="仿宋" w:hAnsi="仿宋" w:eastAsia="仿宋" w:cs="仿宋"/>
                <w:b/>
                <w:bCs/>
                <w:color w:val="auto"/>
                <w:sz w:val="24"/>
                <w:highlight w:val="none"/>
              </w:rPr>
              <w:t>分值</w:t>
            </w:r>
          </w:p>
        </w:tc>
        <w:tc>
          <w:tcPr>
            <w:tcW w:w="1452"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 w:hAnsi="仿宋" w:eastAsia="仿宋" w:cs="仿宋"/>
                <w:b/>
                <w:bCs/>
                <w:color w:val="auto"/>
                <w:sz w:val="24"/>
                <w:highlight w:val="none"/>
              </w:rPr>
            </w:pPr>
            <w:r>
              <w:rPr>
                <w:rFonts w:hint="eastAsia" w:ascii="仿宋" w:hAnsi="仿宋" w:eastAsia="仿宋" w:cs="仿宋"/>
                <w:b/>
                <w:bCs/>
                <w:color w:val="auto"/>
                <w:sz w:val="24"/>
                <w:highlight w:val="none"/>
              </w:rPr>
              <w:t>监管评分参考</w:t>
            </w:r>
          </w:p>
        </w:tc>
        <w:tc>
          <w:tcPr>
            <w:tcW w:w="485"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 w:hAnsi="仿宋" w:eastAsia="仿宋" w:cs="仿宋"/>
                <w:b/>
                <w:bCs/>
                <w:color w:val="auto"/>
                <w:sz w:val="24"/>
                <w:highlight w:val="none"/>
              </w:rPr>
            </w:pPr>
            <w:r>
              <w:rPr>
                <w:rFonts w:hint="eastAsia" w:ascii="仿宋" w:hAnsi="仿宋" w:eastAsia="仿宋" w:cs="仿宋"/>
                <w:b/>
                <w:bCs/>
                <w:color w:val="auto"/>
                <w:sz w:val="24"/>
                <w:highlight w:val="none"/>
              </w:rPr>
              <w:t>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4"/>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 w:hAnsi="仿宋" w:eastAsia="仿宋" w:cs="仿宋"/>
                <w:b/>
                <w:bCs/>
                <w:color w:val="auto"/>
                <w:sz w:val="24"/>
                <w:highlight w:val="none"/>
              </w:rPr>
            </w:pPr>
            <w:r>
              <w:rPr>
                <w:rFonts w:hint="eastAsia" w:ascii="仿宋" w:hAnsi="仿宋" w:eastAsia="仿宋" w:cs="仿宋"/>
                <w:b/>
                <w:bCs/>
                <w:color w:val="auto"/>
                <w:sz w:val="24"/>
                <w:highlight w:val="none"/>
              </w:rPr>
              <w:t>一、管理总则（30分）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6" w:type="pct"/>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项目经理及主管资质要求：从事本行业年限、相关学历、职称等要求以上。</w:t>
            </w:r>
          </w:p>
        </w:tc>
        <w:tc>
          <w:tcPr>
            <w:tcW w:w="397"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rPr>
              <w:t>3</w:t>
            </w:r>
          </w:p>
        </w:tc>
        <w:tc>
          <w:tcPr>
            <w:tcW w:w="1452" w:type="pct"/>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资质不符合要求的，每扣</w:t>
            </w:r>
            <w:r>
              <w:rPr>
                <w:rFonts w:ascii="仿宋" w:hAnsi="仿宋" w:eastAsia="仿宋" w:cs="仿宋"/>
                <w:color w:val="auto"/>
                <w:sz w:val="24"/>
                <w:highlight w:val="none"/>
              </w:rPr>
              <w:t>1</w:t>
            </w:r>
            <w:r>
              <w:rPr>
                <w:rFonts w:hint="eastAsia" w:ascii="仿宋" w:hAnsi="仿宋" w:eastAsia="仿宋" w:cs="仿宋"/>
                <w:color w:val="auto"/>
                <w:sz w:val="24"/>
                <w:highlight w:val="none"/>
              </w:rPr>
              <w:t>分。</w:t>
            </w:r>
          </w:p>
        </w:tc>
        <w:tc>
          <w:tcPr>
            <w:tcW w:w="485"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666" w:type="pct"/>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管理制度和标准完善，建立有效工作签到制度和工作质量考核制度；有完备的《清洁应急工作预案》等。</w:t>
            </w:r>
          </w:p>
        </w:tc>
        <w:tc>
          <w:tcPr>
            <w:tcW w:w="397"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rPr>
              <w:t>6</w:t>
            </w:r>
          </w:p>
        </w:tc>
        <w:tc>
          <w:tcPr>
            <w:tcW w:w="1452" w:type="pct"/>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无管理制度和标准，扣2分；管理制度和标准不完善，扣1分。</w:t>
            </w:r>
          </w:p>
        </w:tc>
        <w:tc>
          <w:tcPr>
            <w:tcW w:w="485"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6" w:type="pct"/>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上岗培训、工作态度、服务态度。</w:t>
            </w:r>
          </w:p>
        </w:tc>
        <w:tc>
          <w:tcPr>
            <w:tcW w:w="397"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rPr>
              <w:t>8</w:t>
            </w:r>
          </w:p>
        </w:tc>
        <w:tc>
          <w:tcPr>
            <w:tcW w:w="1452" w:type="pct"/>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未培训上岗，每人次扣1分；违反工作制度，每人次扣1分；服务态度不好，引起师生投诉，每人次扣2分。</w:t>
            </w:r>
          </w:p>
        </w:tc>
        <w:tc>
          <w:tcPr>
            <w:tcW w:w="485"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6" w:type="pct"/>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环卫工具设备设施齐全，定期维护和保证保洁设备及工具完整，工具收纳于指定区域并摆放整齐。</w:t>
            </w:r>
          </w:p>
        </w:tc>
        <w:tc>
          <w:tcPr>
            <w:tcW w:w="397"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rPr>
              <w:t>6</w:t>
            </w:r>
          </w:p>
        </w:tc>
        <w:tc>
          <w:tcPr>
            <w:tcW w:w="1452" w:type="pct"/>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工具设施不齐全，每人次扣</w:t>
            </w:r>
            <w:r>
              <w:rPr>
                <w:rFonts w:ascii="仿宋" w:hAnsi="仿宋" w:eastAsia="仿宋" w:cs="仿宋"/>
                <w:color w:val="auto"/>
                <w:sz w:val="24"/>
                <w:highlight w:val="none"/>
              </w:rPr>
              <w:t>0.2</w:t>
            </w:r>
            <w:r>
              <w:rPr>
                <w:rFonts w:hint="eastAsia" w:ascii="仿宋" w:hAnsi="仿宋" w:eastAsia="仿宋" w:cs="仿宋"/>
                <w:color w:val="auto"/>
                <w:sz w:val="24"/>
                <w:highlight w:val="none"/>
              </w:rPr>
              <w:t>分；工具设施未放置在指定区域，每人次扣</w:t>
            </w:r>
            <w:r>
              <w:rPr>
                <w:rFonts w:ascii="仿宋" w:hAnsi="仿宋" w:eastAsia="仿宋" w:cs="仿宋"/>
                <w:color w:val="auto"/>
                <w:sz w:val="24"/>
                <w:highlight w:val="none"/>
              </w:rPr>
              <w:t>0.5</w:t>
            </w:r>
            <w:r>
              <w:rPr>
                <w:rFonts w:hint="eastAsia" w:ascii="仿宋" w:hAnsi="仿宋" w:eastAsia="仿宋" w:cs="仿宋"/>
                <w:color w:val="auto"/>
                <w:sz w:val="24"/>
                <w:highlight w:val="none"/>
              </w:rPr>
              <w:t>分。</w:t>
            </w:r>
          </w:p>
        </w:tc>
        <w:tc>
          <w:tcPr>
            <w:tcW w:w="485"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6" w:type="pct"/>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有完善的月度工作计划并分区落实到人。</w:t>
            </w:r>
          </w:p>
        </w:tc>
        <w:tc>
          <w:tcPr>
            <w:tcW w:w="397"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 w:hAnsi="仿宋" w:eastAsia="仿宋" w:cs="仿宋"/>
                <w:color w:val="auto"/>
                <w:sz w:val="24"/>
                <w:highlight w:val="none"/>
              </w:rPr>
            </w:pPr>
            <w:r>
              <w:rPr>
                <w:rFonts w:ascii="仿宋" w:hAnsi="仿宋" w:eastAsia="仿宋" w:cs="仿宋"/>
                <w:color w:val="auto"/>
                <w:sz w:val="24"/>
                <w:highlight w:val="none"/>
              </w:rPr>
              <w:t>3</w:t>
            </w:r>
          </w:p>
        </w:tc>
        <w:tc>
          <w:tcPr>
            <w:tcW w:w="1452" w:type="pct"/>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没有落实月度工作计划扣</w:t>
            </w:r>
            <w:r>
              <w:rPr>
                <w:rFonts w:ascii="仿宋" w:hAnsi="仿宋" w:eastAsia="仿宋" w:cs="仿宋"/>
                <w:color w:val="auto"/>
                <w:sz w:val="24"/>
                <w:highlight w:val="none"/>
              </w:rPr>
              <w:t>2</w:t>
            </w:r>
            <w:r>
              <w:rPr>
                <w:rFonts w:hint="eastAsia" w:ascii="仿宋" w:hAnsi="仿宋" w:eastAsia="仿宋" w:cs="仿宋"/>
                <w:color w:val="auto"/>
                <w:sz w:val="24"/>
                <w:highlight w:val="none"/>
              </w:rPr>
              <w:t>分，工作计划未落实每项扣1分。</w:t>
            </w:r>
          </w:p>
        </w:tc>
        <w:tc>
          <w:tcPr>
            <w:tcW w:w="485"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666" w:type="pct"/>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每月按时上报甲方材料，包括：在岗人员花名册、本月工作计划、上月工作总结（工作计划执行情况、服务质量评价、安全生产情况等）。</w:t>
            </w:r>
          </w:p>
          <w:p>
            <w:pPr>
              <w:pStyle w:val="2"/>
              <w:rPr>
                <w:color w:val="auto"/>
                <w:highlight w:val="none"/>
              </w:rPr>
            </w:pPr>
          </w:p>
        </w:tc>
        <w:tc>
          <w:tcPr>
            <w:tcW w:w="397"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 w:hAnsi="仿宋" w:eastAsia="仿宋" w:cs="仿宋"/>
                <w:color w:val="auto"/>
                <w:sz w:val="24"/>
                <w:highlight w:val="none"/>
              </w:rPr>
            </w:pPr>
            <w:r>
              <w:rPr>
                <w:rFonts w:ascii="仿宋" w:hAnsi="仿宋" w:eastAsia="仿宋" w:cs="仿宋"/>
                <w:color w:val="auto"/>
                <w:sz w:val="24"/>
                <w:highlight w:val="none"/>
              </w:rPr>
              <w:t>4</w:t>
            </w:r>
          </w:p>
        </w:tc>
        <w:tc>
          <w:tcPr>
            <w:tcW w:w="1452" w:type="pct"/>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未上报的每次、每项扣1分。</w:t>
            </w:r>
          </w:p>
        </w:tc>
        <w:tc>
          <w:tcPr>
            <w:tcW w:w="485"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 w:hAnsi="仿宋" w:eastAsia="仿宋" w:cs="仿宋"/>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4"/>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 w:hAnsi="仿宋" w:eastAsia="仿宋" w:cs="仿宋"/>
                <w:color w:val="auto"/>
                <w:sz w:val="24"/>
                <w:highlight w:val="none"/>
              </w:rPr>
            </w:pPr>
            <w:r>
              <w:rPr>
                <w:rFonts w:hint="eastAsia" w:ascii="仿宋" w:hAnsi="仿宋" w:eastAsia="仿宋" w:cs="仿宋"/>
                <w:b/>
                <w:bCs/>
                <w:color w:val="auto"/>
                <w:sz w:val="24"/>
                <w:highlight w:val="none"/>
              </w:rPr>
              <w:t>二、室内环境卫生管理（</w:t>
            </w:r>
            <w:r>
              <w:rPr>
                <w:rFonts w:ascii="仿宋" w:hAnsi="仿宋" w:eastAsia="仿宋" w:cs="仿宋"/>
                <w:b/>
                <w:bCs/>
                <w:color w:val="auto"/>
                <w:sz w:val="24"/>
                <w:highlight w:val="none"/>
              </w:rPr>
              <w:t>3</w:t>
            </w:r>
            <w:r>
              <w:rPr>
                <w:rFonts w:hint="eastAsia" w:ascii="仿宋" w:hAnsi="仿宋" w:eastAsia="仿宋" w:cs="仿宋"/>
                <w:b/>
                <w:bCs/>
                <w:color w:val="auto"/>
                <w:sz w:val="24"/>
                <w:highlight w:val="none"/>
              </w:rPr>
              <w:t>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6" w:type="pct"/>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公共建筑公共区域：（1）每周一次清洗垃圾桶，每周二次消毒；每日至少清倒生活垃圾桶两次，垃圾袋装化且使用可降解垃圾袋；（2）每日清洁2次公共洗手间（重点部位加强），并循环保洁；（3）地面、走道、楼梯等每日清扫二次，每月清洗一次；（</w:t>
            </w:r>
            <w:r>
              <w:rPr>
                <w:rFonts w:ascii="仿宋" w:hAnsi="仿宋" w:eastAsia="仿宋" w:cs="仿宋"/>
                <w:color w:val="auto"/>
                <w:sz w:val="24"/>
                <w:highlight w:val="none"/>
              </w:rPr>
              <w:t>4</w:t>
            </w:r>
            <w:r>
              <w:rPr>
                <w:rFonts w:hint="eastAsia" w:ascii="仿宋" w:hAnsi="仿宋" w:eastAsia="仿宋" w:cs="仿宋"/>
                <w:color w:val="auto"/>
                <w:sz w:val="24"/>
                <w:highlight w:val="none"/>
              </w:rPr>
              <w:t>）每日二次电梯轿厢擦拭、一次电梯门、门套、指示板保洁；（5）每日一次扶手、栏杆、办公室入户门等保洁；（</w:t>
            </w:r>
            <w:r>
              <w:rPr>
                <w:rFonts w:ascii="仿宋" w:hAnsi="仿宋" w:eastAsia="仿宋" w:cs="仿宋"/>
                <w:color w:val="auto"/>
                <w:sz w:val="24"/>
                <w:highlight w:val="none"/>
              </w:rPr>
              <w:t>6</w:t>
            </w:r>
            <w:r>
              <w:rPr>
                <w:rFonts w:hint="eastAsia" w:ascii="仿宋" w:hAnsi="仿宋" w:eastAsia="仿宋" w:cs="仿宋"/>
                <w:color w:val="auto"/>
                <w:sz w:val="24"/>
                <w:highlight w:val="none"/>
              </w:rPr>
              <w:t>）每半月一次墙身扫尘和清理过期及不规范张贴物、悬挂物；（</w:t>
            </w:r>
            <w:r>
              <w:rPr>
                <w:rFonts w:ascii="仿宋" w:hAnsi="仿宋" w:eastAsia="仿宋" w:cs="仿宋"/>
                <w:color w:val="auto"/>
                <w:sz w:val="24"/>
                <w:highlight w:val="none"/>
              </w:rPr>
              <w:t>7</w:t>
            </w:r>
            <w:r>
              <w:rPr>
                <w:rFonts w:hint="eastAsia" w:ascii="仿宋" w:hAnsi="仿宋" w:eastAsia="仿宋" w:cs="仿宋"/>
                <w:color w:val="auto"/>
                <w:sz w:val="24"/>
                <w:highlight w:val="none"/>
              </w:rPr>
              <w:t>）每半月清扫一次公寓天面，包括天面、地面和排水口等。 （</w:t>
            </w:r>
            <w:r>
              <w:rPr>
                <w:rFonts w:ascii="仿宋" w:hAnsi="仿宋" w:eastAsia="仿宋" w:cs="仿宋"/>
                <w:color w:val="auto"/>
                <w:sz w:val="24"/>
                <w:highlight w:val="none"/>
              </w:rPr>
              <w:t>8</w:t>
            </w:r>
            <w:r>
              <w:rPr>
                <w:rFonts w:hint="eastAsia" w:ascii="仿宋" w:hAnsi="仿宋" w:eastAsia="仿宋" w:cs="仿宋"/>
                <w:color w:val="auto"/>
                <w:sz w:val="24"/>
                <w:highlight w:val="none"/>
              </w:rPr>
              <w:t>）每月清洁一次公共部位的玻璃、天花板。</w:t>
            </w:r>
            <w:r>
              <w:rPr>
                <w:rFonts w:ascii="仿宋" w:hAnsi="仿宋" w:eastAsia="仿宋" w:cs="仿宋"/>
                <w:color w:val="auto"/>
                <w:sz w:val="24"/>
                <w:highlight w:val="none"/>
              </w:rPr>
              <w:t xml:space="preserve"> </w:t>
            </w:r>
          </w:p>
        </w:tc>
        <w:tc>
          <w:tcPr>
            <w:tcW w:w="397"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 w:hAnsi="仿宋" w:eastAsia="仿宋" w:cs="仿宋"/>
                <w:color w:val="auto"/>
                <w:sz w:val="24"/>
                <w:highlight w:val="none"/>
              </w:rPr>
            </w:pPr>
            <w:r>
              <w:rPr>
                <w:rFonts w:ascii="仿宋" w:hAnsi="仿宋" w:eastAsia="仿宋" w:cs="仿宋"/>
                <w:color w:val="auto"/>
                <w:sz w:val="24"/>
                <w:highlight w:val="none"/>
              </w:rPr>
              <w:t>20</w:t>
            </w:r>
          </w:p>
        </w:tc>
        <w:tc>
          <w:tcPr>
            <w:tcW w:w="1452" w:type="pct"/>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未履行职责，每项每次扣</w:t>
            </w:r>
            <w:r>
              <w:rPr>
                <w:rFonts w:ascii="仿宋" w:hAnsi="仿宋" w:eastAsia="仿宋" w:cs="仿宋"/>
                <w:color w:val="auto"/>
                <w:sz w:val="24"/>
                <w:highlight w:val="none"/>
              </w:rPr>
              <w:t>0.5</w:t>
            </w:r>
            <w:r>
              <w:rPr>
                <w:rFonts w:hint="eastAsia" w:ascii="仿宋" w:hAnsi="仿宋" w:eastAsia="仿宋" w:cs="仿宋"/>
                <w:color w:val="auto"/>
                <w:sz w:val="24"/>
                <w:highlight w:val="none"/>
              </w:rPr>
              <w:t>分；重复出现的问题或师生投诉，每项每次扣</w:t>
            </w:r>
            <w:r>
              <w:rPr>
                <w:rFonts w:ascii="仿宋" w:hAnsi="仿宋" w:eastAsia="仿宋" w:cs="仿宋"/>
                <w:color w:val="auto"/>
                <w:sz w:val="24"/>
                <w:highlight w:val="none"/>
              </w:rPr>
              <w:t>1</w:t>
            </w:r>
            <w:r>
              <w:rPr>
                <w:rFonts w:hint="eastAsia" w:ascii="仿宋" w:hAnsi="仿宋" w:eastAsia="仿宋" w:cs="仿宋"/>
                <w:color w:val="auto"/>
                <w:sz w:val="24"/>
                <w:highlight w:val="none"/>
              </w:rPr>
              <w:t>分。</w:t>
            </w:r>
          </w:p>
        </w:tc>
        <w:tc>
          <w:tcPr>
            <w:tcW w:w="485"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6" w:type="pct"/>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教学楼课室、教师休息室等：（1）每日在第一节课、第五节课、第九节课、第十节前后对所有课室的地面进行清扫、桌面、桌内、座椅、黑板、讲台等用具进行清理；（2）每周全方位清洁一次教学楼室内所有家具、门、指示牌等；（3）每间课室、教师休息室设一个垃圾篓并每日至少二次清倒垃圾（周末除外）；（4）每日一次清洁教师休息室桌椅、地面（周末除外）。</w:t>
            </w:r>
          </w:p>
          <w:p>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卫生间清洁：（1）每日第一节课、第五节课、第九节课前对所有大小便器、洗手台、隔门、地面等进行全面的清洁；（2）每日至少三次以上的巡回保洁，清理地面垃圾，清理墙面、台面、门上乱张贴的物品，抹干台面水迹，清倒垃圾；（3）每周至少1次用消毒水对洗手盆及大小便器、地板、及蹲位门板进行消毒。</w:t>
            </w:r>
          </w:p>
        </w:tc>
        <w:tc>
          <w:tcPr>
            <w:tcW w:w="397"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 w:hAnsi="仿宋" w:eastAsia="仿宋" w:cs="仿宋"/>
                <w:color w:val="auto"/>
                <w:sz w:val="24"/>
                <w:highlight w:val="none"/>
              </w:rPr>
            </w:pPr>
            <w:r>
              <w:rPr>
                <w:rFonts w:ascii="仿宋" w:hAnsi="仿宋" w:eastAsia="仿宋" w:cs="仿宋"/>
                <w:color w:val="auto"/>
                <w:sz w:val="24"/>
                <w:highlight w:val="none"/>
              </w:rPr>
              <w:t>10</w:t>
            </w:r>
          </w:p>
        </w:tc>
        <w:tc>
          <w:tcPr>
            <w:tcW w:w="1452" w:type="pct"/>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80"/>
              <w:rPr>
                <w:rFonts w:ascii="仿宋" w:hAnsi="仿宋" w:eastAsia="仿宋" w:cs="仿宋"/>
                <w:color w:val="auto"/>
                <w:sz w:val="24"/>
                <w:highlight w:val="none"/>
              </w:rPr>
            </w:pPr>
            <w:r>
              <w:rPr>
                <w:rFonts w:hint="eastAsia" w:ascii="仿宋" w:hAnsi="仿宋" w:eastAsia="仿宋" w:cs="仿宋"/>
                <w:color w:val="auto"/>
                <w:sz w:val="24"/>
                <w:highlight w:val="none"/>
              </w:rPr>
              <w:t>未及时履行职责，每次扣</w:t>
            </w:r>
            <w:r>
              <w:rPr>
                <w:rFonts w:ascii="仿宋" w:hAnsi="仿宋" w:eastAsia="仿宋" w:cs="仿宋"/>
                <w:color w:val="auto"/>
                <w:sz w:val="24"/>
                <w:highlight w:val="none"/>
              </w:rPr>
              <w:t>0.5</w:t>
            </w:r>
            <w:r>
              <w:rPr>
                <w:rFonts w:hint="eastAsia" w:ascii="仿宋" w:hAnsi="仿宋" w:eastAsia="仿宋" w:cs="仿宋"/>
                <w:color w:val="auto"/>
                <w:sz w:val="24"/>
                <w:highlight w:val="none"/>
              </w:rPr>
              <w:t>分；重复出现的问题或师生投诉，每项每次扣</w:t>
            </w:r>
            <w:r>
              <w:rPr>
                <w:rFonts w:ascii="仿宋" w:hAnsi="仿宋" w:eastAsia="仿宋" w:cs="仿宋"/>
                <w:color w:val="auto"/>
                <w:sz w:val="24"/>
                <w:highlight w:val="none"/>
              </w:rPr>
              <w:t>1</w:t>
            </w:r>
            <w:r>
              <w:rPr>
                <w:rFonts w:hint="eastAsia" w:ascii="仿宋" w:hAnsi="仿宋" w:eastAsia="仿宋" w:cs="仿宋"/>
                <w:color w:val="auto"/>
                <w:sz w:val="24"/>
                <w:highlight w:val="none"/>
              </w:rPr>
              <w:t>分。</w:t>
            </w:r>
          </w:p>
        </w:tc>
        <w:tc>
          <w:tcPr>
            <w:tcW w:w="485" w:type="pct"/>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80"/>
              <w:jc w:val="center"/>
              <w:rPr>
                <w:rFonts w:ascii="仿宋" w:hAnsi="仿宋" w:eastAsia="仿宋" w:cs="仿宋"/>
                <w:color w:val="auto"/>
                <w:sz w:val="24"/>
                <w:highlight w:val="none"/>
              </w:rPr>
            </w:pPr>
            <w:r>
              <w:rPr>
                <w:rFonts w:hint="eastAsia" w:ascii="仿宋" w:hAnsi="仿宋" w:eastAsia="仿宋" w:cs="仿宋"/>
                <w:color w:val="auto"/>
                <w:sz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jc w:val="center"/>
        </w:trPr>
        <w:tc>
          <w:tcPr>
            <w:tcW w:w="5000" w:type="pct"/>
            <w:gridSpan w:val="4"/>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 w:hAnsi="仿宋" w:eastAsia="仿宋" w:cs="仿宋"/>
                <w:color w:val="auto"/>
                <w:sz w:val="24"/>
                <w:highlight w:val="none"/>
              </w:rPr>
            </w:pPr>
            <w:r>
              <w:rPr>
                <w:rFonts w:hint="eastAsia" w:ascii="仿宋" w:hAnsi="仿宋" w:eastAsia="仿宋" w:cs="仿宋"/>
                <w:b/>
                <w:bCs/>
                <w:color w:val="auto"/>
                <w:sz w:val="24"/>
                <w:highlight w:val="none"/>
              </w:rPr>
              <w:t>教室及楼宇管理服务（</w:t>
            </w:r>
            <w:r>
              <w:rPr>
                <w:rFonts w:ascii="仿宋" w:hAnsi="仿宋" w:eastAsia="仿宋" w:cs="仿宋"/>
                <w:b/>
                <w:bCs/>
                <w:color w:val="auto"/>
                <w:sz w:val="24"/>
                <w:highlight w:val="none"/>
              </w:rPr>
              <w:t>10</w:t>
            </w:r>
            <w:r>
              <w:rPr>
                <w:rFonts w:hint="eastAsia" w:ascii="仿宋" w:hAnsi="仿宋" w:eastAsia="仿宋" w:cs="仿宋"/>
                <w:b/>
                <w:bCs/>
                <w:color w:val="auto"/>
                <w:sz w:val="24"/>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6" w:type="pct"/>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配置各类档案：包括但不限于：本岗位职责及工作流程介绍、日常巡查记录表、失物登记表、维修登记表、楼宇管理应急预案等；</w:t>
            </w:r>
          </w:p>
          <w:p>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各类档案在发生变更后，应在一个工作日内更新，并记录。</w:t>
            </w:r>
          </w:p>
        </w:tc>
        <w:tc>
          <w:tcPr>
            <w:tcW w:w="397"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 w:hAnsi="仿宋" w:eastAsia="仿宋" w:cs="仿宋"/>
                <w:color w:val="auto"/>
                <w:sz w:val="24"/>
                <w:highlight w:val="none"/>
              </w:rPr>
            </w:pPr>
            <w:r>
              <w:rPr>
                <w:rFonts w:ascii="仿宋" w:hAnsi="仿宋" w:eastAsia="仿宋" w:cs="仿宋"/>
                <w:color w:val="auto"/>
                <w:sz w:val="24"/>
                <w:highlight w:val="none"/>
              </w:rPr>
              <w:t>2</w:t>
            </w:r>
          </w:p>
        </w:tc>
        <w:tc>
          <w:tcPr>
            <w:tcW w:w="1452" w:type="pct"/>
            <w:tcBorders>
              <w:top w:val="single" w:color="auto" w:sz="4" w:space="0"/>
              <w:left w:val="single" w:color="auto" w:sz="4" w:space="0"/>
              <w:bottom w:val="single" w:color="auto" w:sz="4" w:space="0"/>
              <w:right w:val="single" w:color="auto" w:sz="4" w:space="0"/>
            </w:tcBorders>
            <w:noWrap w:val="0"/>
            <w:vAlign w:val="center"/>
          </w:tcPr>
          <w:p>
            <w:pPr>
              <w:tabs>
                <w:tab w:val="left" w:pos="312"/>
              </w:tabs>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1）未建立档案扣1分；（2）档案不完整、清晰，扣0.5分；（3）更新不及时，扣0.5分。</w:t>
            </w:r>
          </w:p>
        </w:tc>
        <w:tc>
          <w:tcPr>
            <w:tcW w:w="485" w:type="pct"/>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80"/>
              <w:jc w:val="center"/>
              <w:rPr>
                <w:rFonts w:ascii="仿宋" w:hAnsi="仿宋" w:eastAsia="仿宋" w:cs="仿宋"/>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6" w:type="pct"/>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对进入责任范围内楼宇、场地的施工、安装的材料物品监督按校方要求堆放在指定地点，并做好安全监管工作。</w:t>
            </w:r>
          </w:p>
          <w:p>
            <w:pPr>
              <w:spacing w:line="360" w:lineRule="auto"/>
              <w:rPr>
                <w:rFonts w:ascii="仿宋" w:hAnsi="仿宋" w:eastAsia="仿宋" w:cs="仿宋"/>
                <w:color w:val="auto"/>
                <w:sz w:val="24"/>
                <w:highlight w:val="none"/>
              </w:rPr>
            </w:pPr>
          </w:p>
        </w:tc>
        <w:tc>
          <w:tcPr>
            <w:tcW w:w="397"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 w:hAnsi="仿宋" w:eastAsia="仿宋" w:cs="仿宋"/>
                <w:color w:val="auto"/>
                <w:sz w:val="24"/>
                <w:highlight w:val="none"/>
              </w:rPr>
            </w:pPr>
            <w:r>
              <w:rPr>
                <w:rFonts w:ascii="仿宋" w:hAnsi="仿宋" w:eastAsia="仿宋" w:cs="仿宋"/>
                <w:color w:val="auto"/>
                <w:sz w:val="24"/>
                <w:highlight w:val="none"/>
              </w:rPr>
              <w:t>2</w:t>
            </w:r>
          </w:p>
        </w:tc>
        <w:tc>
          <w:tcPr>
            <w:tcW w:w="1452" w:type="pct"/>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对禁止进入教学楼的大件物品未禁止，每次扣0.5分。 对进入楼宇的施工、安装的材料物品未监管的，每次扣0.5分。</w:t>
            </w:r>
          </w:p>
        </w:tc>
        <w:tc>
          <w:tcPr>
            <w:tcW w:w="485" w:type="pct"/>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80"/>
              <w:jc w:val="center"/>
              <w:rPr>
                <w:rFonts w:ascii="仿宋" w:hAnsi="仿宋" w:eastAsia="仿宋" w:cs="仿宋"/>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6" w:type="pct"/>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 w:hAnsi="仿宋" w:eastAsia="仿宋" w:cs="仿宋"/>
                <w:b/>
                <w:color w:val="auto"/>
                <w:sz w:val="24"/>
                <w:highlight w:val="none"/>
              </w:rPr>
            </w:pPr>
            <w:r>
              <w:rPr>
                <w:rFonts w:hint="eastAsia" w:ascii="仿宋" w:hAnsi="仿宋" w:eastAsia="仿宋" w:cs="仿宋"/>
                <w:b/>
                <w:color w:val="auto"/>
                <w:sz w:val="24"/>
                <w:highlight w:val="none"/>
              </w:rPr>
              <w:t>巡查管理服务：</w:t>
            </w:r>
          </w:p>
          <w:p>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1）巡查公共教学楼宇的卫生保洁情况，门窗、走廊照明及地面砖、电梯、消防设施设备摆放等使用情况，管理员履职情况、人员及物品进出管理情况、课室情况等。并做好巡查登记，内容包括但不限于：巡查时间、巡查地点、巡查内容、巡查情况、巡查人员。</w:t>
            </w:r>
          </w:p>
          <w:p>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w:t>
            </w:r>
            <w:r>
              <w:rPr>
                <w:rFonts w:ascii="仿宋" w:hAnsi="仿宋" w:eastAsia="仿宋" w:cs="仿宋"/>
                <w:color w:val="auto"/>
                <w:sz w:val="24"/>
                <w:highlight w:val="none"/>
              </w:rPr>
              <w:t>2</w:t>
            </w:r>
            <w:r>
              <w:rPr>
                <w:rFonts w:hint="eastAsia" w:ascii="仿宋" w:hAnsi="仿宋" w:eastAsia="仿宋" w:cs="仿宋"/>
                <w:color w:val="auto"/>
                <w:sz w:val="24"/>
                <w:highlight w:val="none"/>
              </w:rPr>
              <w:t>）做好公共教学楼宇突发事件的应急处置等工作。</w:t>
            </w:r>
          </w:p>
        </w:tc>
        <w:tc>
          <w:tcPr>
            <w:tcW w:w="397"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 w:hAnsi="仿宋" w:eastAsia="仿宋" w:cs="仿宋"/>
                <w:color w:val="auto"/>
                <w:sz w:val="24"/>
                <w:highlight w:val="none"/>
              </w:rPr>
            </w:pPr>
            <w:r>
              <w:rPr>
                <w:rFonts w:ascii="仿宋" w:hAnsi="仿宋" w:eastAsia="仿宋" w:cs="仿宋"/>
                <w:color w:val="auto"/>
                <w:sz w:val="24"/>
                <w:highlight w:val="none"/>
              </w:rPr>
              <w:t>2</w:t>
            </w:r>
          </w:p>
        </w:tc>
        <w:tc>
          <w:tcPr>
            <w:tcW w:w="1452" w:type="pct"/>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（1）未巡查或无巡查记录的，每次扣0.2分；</w:t>
            </w:r>
          </w:p>
          <w:p>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（2）发现问题未报告或处理，每次扣0.5分；</w:t>
            </w:r>
          </w:p>
          <w:p>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（3）因巡查不力、协同不到位造成较大影响的，每次扣1分。</w:t>
            </w:r>
          </w:p>
        </w:tc>
        <w:tc>
          <w:tcPr>
            <w:tcW w:w="485" w:type="pct"/>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80"/>
              <w:jc w:val="center"/>
              <w:rPr>
                <w:rFonts w:ascii="仿宋" w:hAnsi="仿宋" w:eastAsia="仿宋" w:cs="仿宋"/>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6" w:type="pct"/>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日检：按日检要求每天巡视设备使用情况，清点多媒体设备是否齐全、正常，注意设备防火防盗，发现问题及时报告、处理并记录。</w:t>
            </w:r>
          </w:p>
        </w:tc>
        <w:tc>
          <w:tcPr>
            <w:tcW w:w="397"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 w:hAnsi="仿宋" w:eastAsia="仿宋" w:cs="仿宋"/>
                <w:color w:val="auto"/>
                <w:sz w:val="24"/>
                <w:highlight w:val="none"/>
              </w:rPr>
            </w:pPr>
            <w:r>
              <w:rPr>
                <w:rFonts w:ascii="仿宋" w:hAnsi="仿宋" w:eastAsia="仿宋" w:cs="仿宋"/>
                <w:color w:val="auto"/>
                <w:sz w:val="24"/>
                <w:highlight w:val="none"/>
              </w:rPr>
              <w:t>2</w:t>
            </w:r>
          </w:p>
        </w:tc>
        <w:tc>
          <w:tcPr>
            <w:tcW w:w="1452" w:type="pct"/>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（1）未履行职责，每项每次扣0.2分；</w:t>
            </w:r>
          </w:p>
          <w:p>
            <w:pPr>
              <w:snapToGrid w:val="0"/>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（2）检查不力，扣1分；（3）造成较大教学事故，扣2分。</w:t>
            </w:r>
          </w:p>
        </w:tc>
        <w:tc>
          <w:tcPr>
            <w:tcW w:w="485" w:type="pct"/>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80"/>
              <w:jc w:val="center"/>
              <w:rPr>
                <w:rFonts w:ascii="仿宋" w:hAnsi="仿宋" w:eastAsia="仿宋" w:cs="仿宋"/>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6" w:type="pct"/>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1）按教务部提供的课室使用情况，提前开门，准备好课室（包括但不限于开灯、开空调、开窗等），检查课室、实验室情况，若发现异常及时处理或上报甲方，若因空调、电灯等问题无法立即解决而影响教学时，应立即更换教室。</w:t>
            </w:r>
          </w:p>
          <w:p>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（2）课后检查课室、实验室情况，包括但不限于：关灯、关空调、关窗、黑板清洁及课室卫生情况等。</w:t>
            </w:r>
          </w:p>
          <w:p>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（3）整合及关闭空置和利用率低的教室，节约能源。</w:t>
            </w:r>
          </w:p>
          <w:p>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w:t>
            </w:r>
            <w:r>
              <w:rPr>
                <w:rFonts w:ascii="仿宋" w:hAnsi="仿宋" w:eastAsia="仿宋" w:cs="仿宋"/>
                <w:color w:val="auto"/>
                <w:sz w:val="24"/>
                <w:highlight w:val="none"/>
              </w:rPr>
              <w:t>4</w:t>
            </w:r>
            <w:r>
              <w:rPr>
                <w:rFonts w:hint="eastAsia" w:ascii="仿宋" w:hAnsi="仿宋" w:eastAsia="仿宋" w:cs="仿宋"/>
                <w:color w:val="auto"/>
                <w:sz w:val="24"/>
                <w:highlight w:val="none"/>
              </w:rPr>
              <w:t>）对于教学单位、学生社团使用课室举办讲座等活动，使用实验室进行竞赛训练活动，经相关部门批准后给予配合，及时安排。</w:t>
            </w:r>
          </w:p>
          <w:p>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w:t>
            </w:r>
            <w:r>
              <w:rPr>
                <w:rFonts w:ascii="仿宋" w:hAnsi="仿宋" w:eastAsia="仿宋" w:cs="仿宋"/>
                <w:color w:val="auto"/>
                <w:sz w:val="24"/>
                <w:highlight w:val="none"/>
              </w:rPr>
              <w:t>5</w:t>
            </w:r>
            <w:r>
              <w:rPr>
                <w:rFonts w:hint="eastAsia" w:ascii="仿宋" w:hAnsi="仿宋" w:eastAsia="仿宋" w:cs="仿宋"/>
                <w:color w:val="auto"/>
                <w:sz w:val="24"/>
                <w:highlight w:val="none"/>
              </w:rPr>
              <w:t>）按要求做好课室、实验室整体管理工作。</w:t>
            </w:r>
          </w:p>
          <w:p>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w:t>
            </w:r>
            <w:r>
              <w:rPr>
                <w:rFonts w:ascii="仿宋" w:hAnsi="仿宋" w:eastAsia="仿宋" w:cs="仿宋"/>
                <w:color w:val="auto"/>
                <w:sz w:val="24"/>
                <w:highlight w:val="none"/>
              </w:rPr>
              <w:t>6</w:t>
            </w:r>
            <w:r>
              <w:rPr>
                <w:rFonts w:hint="eastAsia" w:ascii="仿宋" w:hAnsi="仿宋" w:eastAsia="仿宋" w:cs="仿宋"/>
                <w:color w:val="auto"/>
                <w:sz w:val="24"/>
                <w:highlight w:val="none"/>
              </w:rPr>
              <w:t>）按教务部门课室使用通知文件规范安排使用课室，并配合做好各项工作，不得擅自将课室开放给他人使用。</w:t>
            </w:r>
          </w:p>
          <w:p>
            <w:pPr>
              <w:rPr>
                <w:color w:val="auto"/>
                <w:highlight w:val="none"/>
              </w:rPr>
            </w:pPr>
          </w:p>
        </w:tc>
        <w:tc>
          <w:tcPr>
            <w:tcW w:w="397"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 w:hAnsi="仿宋" w:eastAsia="仿宋" w:cs="仿宋"/>
                <w:color w:val="auto"/>
                <w:sz w:val="24"/>
                <w:highlight w:val="none"/>
              </w:rPr>
            </w:pPr>
            <w:r>
              <w:rPr>
                <w:rFonts w:ascii="仿宋" w:hAnsi="仿宋" w:eastAsia="仿宋" w:cs="仿宋"/>
                <w:color w:val="auto"/>
                <w:sz w:val="24"/>
                <w:highlight w:val="none"/>
              </w:rPr>
              <w:t>2</w:t>
            </w:r>
          </w:p>
        </w:tc>
        <w:tc>
          <w:tcPr>
            <w:tcW w:w="1452" w:type="pct"/>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（1）未及时履行职责，每次扣0.</w:t>
            </w:r>
            <w:r>
              <w:rPr>
                <w:rFonts w:ascii="仿宋" w:hAnsi="仿宋" w:eastAsia="仿宋" w:cs="仿宋"/>
                <w:color w:val="auto"/>
                <w:sz w:val="24"/>
                <w:highlight w:val="none"/>
              </w:rPr>
              <w:t>5</w:t>
            </w:r>
            <w:r>
              <w:rPr>
                <w:rFonts w:hint="eastAsia" w:ascii="仿宋" w:hAnsi="仿宋" w:eastAsia="仿宋" w:cs="仿宋"/>
                <w:color w:val="auto"/>
                <w:sz w:val="24"/>
                <w:highlight w:val="none"/>
              </w:rPr>
              <w:t>分；</w:t>
            </w:r>
          </w:p>
          <w:p>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（2）若造成一定影响，每次扣1分。</w:t>
            </w:r>
          </w:p>
        </w:tc>
        <w:tc>
          <w:tcPr>
            <w:tcW w:w="485" w:type="pct"/>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80"/>
              <w:jc w:val="center"/>
              <w:rPr>
                <w:rFonts w:ascii="仿宋" w:hAnsi="仿宋" w:eastAsia="仿宋" w:cs="仿宋"/>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4"/>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 w:hAnsi="仿宋" w:eastAsia="仿宋" w:cs="仿宋"/>
                <w:color w:val="auto"/>
                <w:sz w:val="24"/>
                <w:highlight w:val="none"/>
              </w:rPr>
            </w:pPr>
            <w:r>
              <w:rPr>
                <w:rFonts w:hint="eastAsia" w:ascii="仿宋" w:hAnsi="仿宋" w:eastAsia="仿宋" w:cs="仿宋"/>
                <w:b/>
                <w:bCs/>
                <w:color w:val="auto"/>
                <w:sz w:val="24"/>
                <w:highlight w:val="none"/>
              </w:rPr>
              <w:t>三、室外环境卫生管理（</w:t>
            </w:r>
            <w:r>
              <w:rPr>
                <w:rFonts w:ascii="仿宋" w:hAnsi="仿宋" w:eastAsia="仿宋" w:cs="仿宋"/>
                <w:b/>
                <w:bCs/>
                <w:color w:val="auto"/>
                <w:sz w:val="24"/>
                <w:highlight w:val="none"/>
              </w:rPr>
              <w:t>30</w:t>
            </w:r>
            <w:r>
              <w:rPr>
                <w:rFonts w:hint="eastAsia" w:ascii="仿宋" w:hAnsi="仿宋" w:eastAsia="仿宋" w:cs="仿宋"/>
                <w:b/>
                <w:bCs/>
                <w:color w:val="auto"/>
                <w:sz w:val="24"/>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6" w:type="pct"/>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垃圾桶、果皮箱清理：每天二次清理垃圾，无隔夜垃圾；每周清洗一次，每周消毒二次；对损坏的及时更换、补缺。</w:t>
            </w:r>
          </w:p>
        </w:tc>
        <w:tc>
          <w:tcPr>
            <w:tcW w:w="397"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 w:hAnsi="仿宋" w:eastAsia="仿宋" w:cs="仿宋"/>
                <w:color w:val="auto"/>
                <w:sz w:val="24"/>
                <w:highlight w:val="none"/>
              </w:rPr>
            </w:pPr>
            <w:r>
              <w:rPr>
                <w:rFonts w:ascii="仿宋" w:hAnsi="仿宋" w:eastAsia="仿宋" w:cs="仿宋"/>
                <w:color w:val="auto"/>
                <w:sz w:val="24"/>
                <w:highlight w:val="none"/>
              </w:rPr>
              <w:t>4</w:t>
            </w:r>
          </w:p>
        </w:tc>
        <w:tc>
          <w:tcPr>
            <w:tcW w:w="1452" w:type="pct"/>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未及时履行职责，每处每次扣</w:t>
            </w:r>
            <w:r>
              <w:rPr>
                <w:rFonts w:ascii="仿宋" w:hAnsi="仿宋" w:eastAsia="仿宋" w:cs="仿宋"/>
                <w:color w:val="auto"/>
                <w:sz w:val="24"/>
                <w:highlight w:val="none"/>
              </w:rPr>
              <w:t>0.5</w:t>
            </w:r>
            <w:r>
              <w:rPr>
                <w:rFonts w:hint="eastAsia" w:ascii="仿宋" w:hAnsi="仿宋" w:eastAsia="仿宋" w:cs="仿宋"/>
                <w:color w:val="auto"/>
                <w:sz w:val="24"/>
                <w:highlight w:val="none"/>
              </w:rPr>
              <w:t>分；若情节严重，扣</w:t>
            </w:r>
            <w:r>
              <w:rPr>
                <w:rFonts w:ascii="仿宋" w:hAnsi="仿宋" w:eastAsia="仿宋" w:cs="仿宋"/>
                <w:color w:val="auto"/>
                <w:sz w:val="24"/>
                <w:highlight w:val="none"/>
              </w:rPr>
              <w:t>1</w:t>
            </w:r>
            <w:r>
              <w:rPr>
                <w:rFonts w:hint="eastAsia" w:ascii="仿宋" w:hAnsi="仿宋" w:eastAsia="仿宋" w:cs="仿宋"/>
                <w:color w:val="auto"/>
                <w:sz w:val="24"/>
                <w:highlight w:val="none"/>
              </w:rPr>
              <w:t>分.</w:t>
            </w:r>
          </w:p>
        </w:tc>
        <w:tc>
          <w:tcPr>
            <w:tcW w:w="485"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6" w:type="pct"/>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排洪沟、渠、雨水井、污水井：每天巡查一次；每月全面清理、疏通一次。</w:t>
            </w:r>
          </w:p>
        </w:tc>
        <w:tc>
          <w:tcPr>
            <w:tcW w:w="397"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 w:hAnsi="仿宋" w:eastAsia="仿宋" w:cs="仿宋"/>
                <w:color w:val="auto"/>
                <w:sz w:val="24"/>
                <w:highlight w:val="none"/>
              </w:rPr>
            </w:pPr>
            <w:r>
              <w:rPr>
                <w:rFonts w:ascii="仿宋" w:hAnsi="仿宋" w:eastAsia="仿宋" w:cs="仿宋"/>
                <w:color w:val="auto"/>
                <w:sz w:val="24"/>
                <w:highlight w:val="none"/>
              </w:rPr>
              <w:t>4</w:t>
            </w:r>
          </w:p>
        </w:tc>
        <w:tc>
          <w:tcPr>
            <w:tcW w:w="1452" w:type="pct"/>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 w:hAnsi="仿宋" w:eastAsia="仿宋" w:cs="仿宋"/>
                <w:color w:val="auto"/>
                <w:szCs w:val="21"/>
                <w:highlight w:val="none"/>
              </w:rPr>
            </w:pPr>
            <w:r>
              <w:rPr>
                <w:rFonts w:hint="eastAsia" w:ascii="仿宋" w:hAnsi="仿宋" w:eastAsia="仿宋" w:cs="仿宋"/>
                <w:color w:val="auto"/>
                <w:sz w:val="24"/>
                <w:highlight w:val="none"/>
              </w:rPr>
              <w:t>未及时履行职责，每次扣0.5分；若造成一定影响，每次每处扣1分。</w:t>
            </w:r>
          </w:p>
        </w:tc>
        <w:tc>
          <w:tcPr>
            <w:tcW w:w="485"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6" w:type="pct"/>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标识牌、宣传栏和室外桌椅：每周一次清洁。</w:t>
            </w:r>
          </w:p>
        </w:tc>
        <w:tc>
          <w:tcPr>
            <w:tcW w:w="397"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 w:hAnsi="仿宋" w:eastAsia="仿宋" w:cs="仿宋"/>
                <w:color w:val="auto"/>
                <w:sz w:val="24"/>
                <w:highlight w:val="none"/>
              </w:rPr>
            </w:pPr>
            <w:r>
              <w:rPr>
                <w:rFonts w:ascii="仿宋" w:hAnsi="仿宋" w:eastAsia="仿宋" w:cs="仿宋"/>
                <w:color w:val="auto"/>
                <w:sz w:val="24"/>
                <w:highlight w:val="none"/>
              </w:rPr>
              <w:t>3</w:t>
            </w:r>
          </w:p>
        </w:tc>
        <w:tc>
          <w:tcPr>
            <w:tcW w:w="1452" w:type="pct"/>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未及时履行职责，每处每次扣</w:t>
            </w:r>
            <w:r>
              <w:rPr>
                <w:rFonts w:ascii="仿宋" w:hAnsi="仿宋" w:eastAsia="仿宋" w:cs="仿宋"/>
                <w:color w:val="auto"/>
                <w:sz w:val="24"/>
                <w:highlight w:val="none"/>
              </w:rPr>
              <w:t>0.2</w:t>
            </w:r>
            <w:r>
              <w:rPr>
                <w:rFonts w:hint="eastAsia" w:ascii="仿宋" w:hAnsi="仿宋" w:eastAsia="仿宋" w:cs="仿宋"/>
                <w:color w:val="auto"/>
                <w:sz w:val="24"/>
                <w:highlight w:val="none"/>
              </w:rPr>
              <w:t>分；若情节严重，扣</w:t>
            </w:r>
            <w:r>
              <w:rPr>
                <w:rFonts w:ascii="仿宋" w:hAnsi="仿宋" w:eastAsia="仿宋" w:cs="仿宋"/>
                <w:color w:val="auto"/>
                <w:sz w:val="24"/>
                <w:highlight w:val="none"/>
              </w:rPr>
              <w:t>1</w:t>
            </w:r>
            <w:r>
              <w:rPr>
                <w:rFonts w:hint="eastAsia" w:ascii="仿宋" w:hAnsi="仿宋" w:eastAsia="仿宋" w:cs="仿宋"/>
                <w:color w:val="auto"/>
                <w:sz w:val="24"/>
                <w:highlight w:val="none"/>
              </w:rPr>
              <w:t>分。</w:t>
            </w:r>
          </w:p>
        </w:tc>
        <w:tc>
          <w:tcPr>
            <w:tcW w:w="485"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6" w:type="pct"/>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道路：每天清扫</w:t>
            </w:r>
            <w:r>
              <w:rPr>
                <w:rFonts w:hint="eastAsia"/>
                <w:color w:val="auto"/>
                <w:sz w:val="24"/>
                <w:szCs w:val="21"/>
                <w:highlight w:val="none"/>
                <w:lang w:val="en-US" w:eastAsia="zh-CN"/>
              </w:rPr>
              <w:t>三</w:t>
            </w:r>
            <w:r>
              <w:rPr>
                <w:rFonts w:hint="eastAsia" w:ascii="仿宋" w:hAnsi="仿宋" w:eastAsia="仿宋" w:cs="仿宋"/>
                <w:color w:val="auto"/>
                <w:sz w:val="24"/>
                <w:highlight w:val="none"/>
              </w:rPr>
              <w:t>次。无明显泥沙、污垢、纸屑、枯树枝树叶，无积水，无垃圾堆积物，无杂草延伸。</w:t>
            </w:r>
          </w:p>
        </w:tc>
        <w:tc>
          <w:tcPr>
            <w:tcW w:w="397"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 w:hAnsi="仿宋" w:eastAsia="仿宋" w:cs="仿宋"/>
                <w:color w:val="auto"/>
                <w:sz w:val="24"/>
                <w:highlight w:val="none"/>
              </w:rPr>
            </w:pPr>
            <w:r>
              <w:rPr>
                <w:rFonts w:ascii="仿宋" w:hAnsi="仿宋" w:eastAsia="仿宋" w:cs="仿宋"/>
                <w:color w:val="auto"/>
                <w:sz w:val="24"/>
                <w:highlight w:val="none"/>
              </w:rPr>
              <w:t>3</w:t>
            </w:r>
          </w:p>
        </w:tc>
        <w:tc>
          <w:tcPr>
            <w:tcW w:w="1452" w:type="pct"/>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未及时履行职责，每处每次扣</w:t>
            </w:r>
            <w:r>
              <w:rPr>
                <w:rFonts w:ascii="仿宋" w:hAnsi="仿宋" w:eastAsia="仿宋" w:cs="仿宋"/>
                <w:color w:val="auto"/>
                <w:sz w:val="24"/>
                <w:highlight w:val="none"/>
              </w:rPr>
              <w:t>0.5</w:t>
            </w:r>
            <w:r>
              <w:rPr>
                <w:rFonts w:hint="eastAsia" w:ascii="仿宋" w:hAnsi="仿宋" w:eastAsia="仿宋" w:cs="仿宋"/>
                <w:color w:val="auto"/>
                <w:sz w:val="24"/>
                <w:highlight w:val="none"/>
              </w:rPr>
              <w:t>分；若情节严重，扣</w:t>
            </w:r>
            <w:r>
              <w:rPr>
                <w:rFonts w:ascii="仿宋" w:hAnsi="仿宋" w:eastAsia="仿宋" w:cs="仿宋"/>
                <w:color w:val="auto"/>
                <w:sz w:val="24"/>
                <w:highlight w:val="none"/>
              </w:rPr>
              <w:t>1</w:t>
            </w:r>
            <w:r>
              <w:rPr>
                <w:rFonts w:hint="eastAsia" w:ascii="仿宋" w:hAnsi="仿宋" w:eastAsia="仿宋" w:cs="仿宋"/>
                <w:color w:val="auto"/>
                <w:sz w:val="24"/>
                <w:highlight w:val="none"/>
              </w:rPr>
              <w:t>分。</w:t>
            </w:r>
          </w:p>
        </w:tc>
        <w:tc>
          <w:tcPr>
            <w:tcW w:w="485"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6" w:type="pct"/>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路灯：每月二次清洁灯杆，每年一次结合灯具维修对灯罩进行内外清洁。</w:t>
            </w:r>
          </w:p>
        </w:tc>
        <w:tc>
          <w:tcPr>
            <w:tcW w:w="397"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 w:hAnsi="仿宋" w:eastAsia="仿宋" w:cs="仿宋"/>
                <w:color w:val="auto"/>
                <w:sz w:val="24"/>
                <w:highlight w:val="none"/>
              </w:rPr>
            </w:pPr>
            <w:r>
              <w:rPr>
                <w:rFonts w:ascii="仿宋" w:hAnsi="仿宋" w:eastAsia="仿宋" w:cs="仿宋"/>
                <w:color w:val="auto"/>
                <w:sz w:val="24"/>
                <w:highlight w:val="none"/>
              </w:rPr>
              <w:t>3</w:t>
            </w:r>
          </w:p>
        </w:tc>
        <w:tc>
          <w:tcPr>
            <w:tcW w:w="1452" w:type="pct"/>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未及时履行职责，每处每次扣</w:t>
            </w:r>
            <w:r>
              <w:rPr>
                <w:rFonts w:ascii="仿宋" w:hAnsi="仿宋" w:eastAsia="仿宋" w:cs="仿宋"/>
                <w:color w:val="auto"/>
                <w:sz w:val="24"/>
                <w:highlight w:val="none"/>
              </w:rPr>
              <w:t>0.2</w:t>
            </w:r>
            <w:r>
              <w:rPr>
                <w:rFonts w:hint="eastAsia" w:ascii="仿宋" w:hAnsi="仿宋" w:eastAsia="仿宋" w:cs="仿宋"/>
                <w:color w:val="auto"/>
                <w:sz w:val="24"/>
                <w:highlight w:val="none"/>
              </w:rPr>
              <w:t>分；若情节严重，扣2分。</w:t>
            </w:r>
          </w:p>
        </w:tc>
        <w:tc>
          <w:tcPr>
            <w:tcW w:w="485"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6" w:type="pct"/>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垃圾转运及中转站管理：（1）每日对垃圾箱、垃圾场地进行一次清洗消毒；（2）垃圾清运工具应保持清洁无破损，清运过程中不得产生二次污染；（3）每日打包垃圾按时运至垃圾中转站，不在学校内其他区域堆积。</w:t>
            </w:r>
          </w:p>
        </w:tc>
        <w:tc>
          <w:tcPr>
            <w:tcW w:w="397"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 w:hAnsi="仿宋" w:eastAsia="仿宋" w:cs="仿宋"/>
                <w:color w:val="auto"/>
                <w:sz w:val="24"/>
                <w:highlight w:val="none"/>
              </w:rPr>
            </w:pPr>
            <w:r>
              <w:rPr>
                <w:rFonts w:ascii="仿宋" w:hAnsi="仿宋" w:eastAsia="仿宋" w:cs="仿宋"/>
                <w:color w:val="auto"/>
                <w:sz w:val="24"/>
                <w:highlight w:val="none"/>
              </w:rPr>
              <w:t>5</w:t>
            </w:r>
          </w:p>
        </w:tc>
        <w:tc>
          <w:tcPr>
            <w:tcW w:w="1452" w:type="pct"/>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未及时履行职责，每次扣0.5分；若造成一定影响，每次每处扣1分。</w:t>
            </w:r>
          </w:p>
        </w:tc>
        <w:tc>
          <w:tcPr>
            <w:tcW w:w="485" w:type="pct"/>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6" w:type="pct"/>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天面：非雨季每月1次清理所有楼宇天面，包括天面和下水口等；雨季每10日1次。</w:t>
            </w:r>
          </w:p>
        </w:tc>
        <w:tc>
          <w:tcPr>
            <w:tcW w:w="397"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 w:hAnsi="仿宋" w:eastAsia="仿宋" w:cs="仿宋"/>
                <w:color w:val="auto"/>
                <w:sz w:val="24"/>
                <w:highlight w:val="none"/>
              </w:rPr>
            </w:pPr>
            <w:r>
              <w:rPr>
                <w:rFonts w:ascii="仿宋" w:hAnsi="仿宋" w:eastAsia="仿宋" w:cs="仿宋"/>
                <w:color w:val="auto"/>
                <w:sz w:val="24"/>
                <w:highlight w:val="none"/>
              </w:rPr>
              <w:t>4</w:t>
            </w:r>
          </w:p>
        </w:tc>
        <w:tc>
          <w:tcPr>
            <w:tcW w:w="1452" w:type="pct"/>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未及时履行职责，每次扣0.5分；若造成一定影响，每次每处扣1分。</w:t>
            </w:r>
          </w:p>
        </w:tc>
        <w:tc>
          <w:tcPr>
            <w:tcW w:w="485" w:type="pct"/>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6" w:type="pct"/>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绿化带、湖边：每日一次清理。</w:t>
            </w:r>
          </w:p>
        </w:tc>
        <w:tc>
          <w:tcPr>
            <w:tcW w:w="397"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 w:hAnsi="仿宋" w:eastAsia="仿宋" w:cs="仿宋"/>
                <w:color w:val="auto"/>
                <w:sz w:val="24"/>
                <w:highlight w:val="none"/>
              </w:rPr>
            </w:pPr>
            <w:r>
              <w:rPr>
                <w:rFonts w:ascii="仿宋" w:hAnsi="仿宋" w:eastAsia="仿宋" w:cs="仿宋"/>
                <w:color w:val="auto"/>
                <w:sz w:val="24"/>
                <w:highlight w:val="none"/>
              </w:rPr>
              <w:t>4</w:t>
            </w:r>
          </w:p>
        </w:tc>
        <w:tc>
          <w:tcPr>
            <w:tcW w:w="1452" w:type="pct"/>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未及时履行职责，每处每次扣0.</w:t>
            </w:r>
            <w:r>
              <w:rPr>
                <w:rFonts w:ascii="仿宋" w:hAnsi="仿宋" w:eastAsia="仿宋" w:cs="仿宋"/>
                <w:color w:val="auto"/>
                <w:sz w:val="24"/>
                <w:highlight w:val="none"/>
              </w:rPr>
              <w:t>2</w:t>
            </w:r>
            <w:r>
              <w:rPr>
                <w:rFonts w:hint="eastAsia" w:ascii="仿宋" w:hAnsi="仿宋" w:eastAsia="仿宋" w:cs="仿宋"/>
                <w:color w:val="auto"/>
                <w:sz w:val="24"/>
                <w:highlight w:val="none"/>
              </w:rPr>
              <w:t>分；若情节严重，扣1分。</w:t>
            </w:r>
          </w:p>
        </w:tc>
        <w:tc>
          <w:tcPr>
            <w:tcW w:w="485" w:type="pct"/>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5000" w:type="pct"/>
            <w:gridSpan w:val="4"/>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 w:hAnsi="仿宋" w:eastAsia="仿宋" w:cs="仿宋"/>
                <w:b/>
                <w:color w:val="auto"/>
                <w:sz w:val="24"/>
                <w:highlight w:val="none"/>
              </w:rPr>
            </w:pPr>
            <w:r>
              <w:rPr>
                <w:rFonts w:hint="eastAsia" w:ascii="仿宋" w:hAnsi="仿宋" w:eastAsia="仿宋" w:cs="仿宋"/>
                <w:b/>
                <w:color w:val="auto"/>
                <w:sz w:val="24"/>
                <w:highlight w:val="none"/>
              </w:rPr>
              <w:t>本单项考评最终得分：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5000" w:type="pct"/>
            <w:gridSpan w:val="4"/>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 w:hAnsi="仿宋" w:eastAsia="仿宋" w:cs="仿宋"/>
                <w:b/>
                <w:bCs/>
                <w:color w:val="auto"/>
                <w:sz w:val="24"/>
                <w:highlight w:val="none"/>
              </w:rPr>
            </w:pPr>
            <w:r>
              <w:rPr>
                <w:rFonts w:hint="eastAsia" w:ascii="仿宋" w:hAnsi="仿宋" w:eastAsia="仿宋" w:cs="仿宋"/>
                <w:b/>
                <w:bCs/>
                <w:color w:val="auto"/>
                <w:sz w:val="24"/>
                <w:highlight w:val="none"/>
              </w:rPr>
              <w:t>考评人签名：</w:t>
            </w:r>
          </w:p>
        </w:tc>
      </w:tr>
    </w:tbl>
    <w:p>
      <w:pPr>
        <w:pStyle w:val="3"/>
        <w:spacing w:before="156" w:beforeLines="50" w:after="156" w:afterLines="50" w:line="360" w:lineRule="auto"/>
        <w:jc w:val="center"/>
        <w:rPr>
          <w:rFonts w:hint="default" w:ascii="仿宋" w:hAnsi="仿宋" w:eastAsia="仿宋" w:cs="仿宋"/>
          <w:color w:val="auto"/>
          <w:sz w:val="24"/>
          <w:szCs w:val="24"/>
          <w:highlight w:val="none"/>
        </w:rPr>
      </w:pPr>
    </w:p>
    <w:p>
      <w:pPr>
        <w:pStyle w:val="3"/>
        <w:spacing w:before="156" w:beforeLines="50" w:after="156" w:afterLines="50" w:line="360" w:lineRule="auto"/>
        <w:jc w:val="center"/>
        <w:rPr>
          <w:rFonts w:hint="default" w:ascii="仿宋" w:hAnsi="仿宋" w:eastAsia="仿宋" w:cs="仿宋"/>
          <w:color w:val="auto"/>
          <w:sz w:val="24"/>
          <w:szCs w:val="24"/>
          <w:highlight w:val="none"/>
        </w:rPr>
      </w:pPr>
      <w:r>
        <w:rPr>
          <w:rFonts w:ascii="仿宋" w:hAnsi="仿宋" w:eastAsia="仿宋" w:cs="仿宋"/>
          <w:color w:val="auto"/>
          <w:sz w:val="24"/>
          <w:szCs w:val="24"/>
          <w:highlight w:val="none"/>
        </w:rPr>
        <w:t>（二）绿化养护服务（100分）</w:t>
      </w: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61"/>
        <w:gridCol w:w="677"/>
        <w:gridCol w:w="2478"/>
        <w:gridCol w:w="8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76"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 w:hAnsi="仿宋" w:eastAsia="仿宋" w:cs="仿宋"/>
                <w:b/>
                <w:bCs/>
                <w:color w:val="auto"/>
                <w:sz w:val="24"/>
                <w:highlight w:val="none"/>
              </w:rPr>
            </w:pPr>
            <w:r>
              <w:rPr>
                <w:rFonts w:hint="eastAsia" w:ascii="仿宋" w:hAnsi="仿宋" w:eastAsia="仿宋" w:cs="仿宋"/>
                <w:b/>
                <w:bCs/>
                <w:color w:val="auto"/>
                <w:sz w:val="24"/>
                <w:highlight w:val="none"/>
              </w:rPr>
              <w:t>标准内容</w:t>
            </w:r>
          </w:p>
        </w:tc>
        <w:tc>
          <w:tcPr>
            <w:tcW w:w="397"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 w:hAnsi="仿宋" w:eastAsia="仿宋" w:cs="仿宋"/>
                <w:b/>
                <w:bCs/>
                <w:color w:val="auto"/>
                <w:sz w:val="24"/>
                <w:highlight w:val="none"/>
              </w:rPr>
            </w:pPr>
            <w:r>
              <w:rPr>
                <w:rFonts w:hint="eastAsia" w:ascii="仿宋" w:hAnsi="仿宋" w:eastAsia="仿宋" w:cs="仿宋"/>
                <w:b/>
                <w:bCs/>
                <w:color w:val="auto"/>
                <w:sz w:val="24"/>
                <w:highlight w:val="none"/>
              </w:rPr>
              <w:t>分值</w:t>
            </w:r>
          </w:p>
        </w:tc>
        <w:tc>
          <w:tcPr>
            <w:tcW w:w="1454"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 w:hAnsi="仿宋" w:eastAsia="仿宋" w:cs="仿宋"/>
                <w:b/>
                <w:bCs/>
                <w:color w:val="auto"/>
                <w:sz w:val="24"/>
                <w:highlight w:val="none"/>
              </w:rPr>
            </w:pPr>
            <w:r>
              <w:rPr>
                <w:rFonts w:hint="eastAsia" w:ascii="仿宋" w:hAnsi="仿宋" w:eastAsia="仿宋" w:cs="仿宋"/>
                <w:b/>
                <w:bCs/>
                <w:color w:val="auto"/>
                <w:sz w:val="24"/>
                <w:highlight w:val="none"/>
              </w:rPr>
              <w:t>监管评分参考</w:t>
            </w:r>
          </w:p>
        </w:tc>
        <w:tc>
          <w:tcPr>
            <w:tcW w:w="473"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 w:hAnsi="仿宋" w:eastAsia="仿宋" w:cs="仿宋"/>
                <w:b/>
                <w:bCs/>
                <w:color w:val="auto"/>
                <w:sz w:val="24"/>
                <w:highlight w:val="none"/>
              </w:rPr>
            </w:pPr>
            <w:r>
              <w:rPr>
                <w:rFonts w:hint="eastAsia" w:ascii="仿宋" w:hAnsi="仿宋" w:eastAsia="仿宋" w:cs="仿宋"/>
                <w:b/>
                <w:bCs/>
                <w:color w:val="auto"/>
                <w:sz w:val="24"/>
                <w:highlight w:val="none"/>
              </w:rPr>
              <w:t>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4"/>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 w:hAnsi="仿宋" w:eastAsia="仿宋" w:cs="仿宋"/>
                <w:b/>
                <w:bCs/>
                <w:color w:val="auto"/>
                <w:sz w:val="24"/>
                <w:highlight w:val="none"/>
              </w:rPr>
            </w:pPr>
            <w:r>
              <w:rPr>
                <w:rFonts w:hint="eastAsia" w:ascii="仿宋" w:hAnsi="仿宋" w:eastAsia="仿宋" w:cs="仿宋"/>
                <w:b/>
                <w:bCs/>
                <w:color w:val="auto"/>
                <w:sz w:val="24"/>
                <w:highlight w:val="none"/>
              </w:rPr>
              <w:t>一、管理总则（30分）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76" w:type="pct"/>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主管资质要求：从事本行业年限、相关学历、职称等要求以上。</w:t>
            </w:r>
          </w:p>
        </w:tc>
        <w:tc>
          <w:tcPr>
            <w:tcW w:w="397"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rPr>
              <w:t>3</w:t>
            </w:r>
          </w:p>
        </w:tc>
        <w:tc>
          <w:tcPr>
            <w:tcW w:w="1454" w:type="pct"/>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资质不符合要求的，每扣</w:t>
            </w:r>
            <w:r>
              <w:rPr>
                <w:rFonts w:ascii="仿宋" w:hAnsi="仿宋" w:eastAsia="仿宋" w:cs="仿宋"/>
                <w:color w:val="auto"/>
                <w:sz w:val="24"/>
                <w:highlight w:val="none"/>
              </w:rPr>
              <w:t>1</w:t>
            </w:r>
            <w:r>
              <w:rPr>
                <w:rFonts w:hint="eastAsia" w:ascii="仿宋" w:hAnsi="仿宋" w:eastAsia="仿宋" w:cs="仿宋"/>
                <w:color w:val="auto"/>
                <w:sz w:val="24"/>
                <w:highlight w:val="none"/>
              </w:rPr>
              <w:t>分。</w:t>
            </w:r>
          </w:p>
        </w:tc>
        <w:tc>
          <w:tcPr>
            <w:tcW w:w="473"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676" w:type="pct"/>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管理制度和标准完善，建立有效工作签到制度和工作质量考核制度；有完备的《绿化养护应急工作预案》。</w:t>
            </w:r>
          </w:p>
        </w:tc>
        <w:tc>
          <w:tcPr>
            <w:tcW w:w="397"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rPr>
              <w:t>6</w:t>
            </w:r>
          </w:p>
        </w:tc>
        <w:tc>
          <w:tcPr>
            <w:tcW w:w="1454" w:type="pct"/>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无管理制度和标准，扣2分；管理制度和标准不完善，扣1分。</w:t>
            </w:r>
          </w:p>
        </w:tc>
        <w:tc>
          <w:tcPr>
            <w:tcW w:w="473"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76" w:type="pct"/>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上岗培训、工作态度、服务态度。</w:t>
            </w:r>
          </w:p>
        </w:tc>
        <w:tc>
          <w:tcPr>
            <w:tcW w:w="397"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rPr>
              <w:t>8</w:t>
            </w:r>
          </w:p>
        </w:tc>
        <w:tc>
          <w:tcPr>
            <w:tcW w:w="1454" w:type="pct"/>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未培训上岗，每人次扣1分；违反工作制度，每人次扣1分；服务态度不好，引起师生投诉，每人次扣2分。</w:t>
            </w:r>
          </w:p>
        </w:tc>
        <w:tc>
          <w:tcPr>
            <w:tcW w:w="473"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76" w:type="pct"/>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绿化工具设备设施齐全，定期维护和保证绿化设备及工具完整，工具收纳于指定区域并摆放整齐。</w:t>
            </w:r>
          </w:p>
        </w:tc>
        <w:tc>
          <w:tcPr>
            <w:tcW w:w="397"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rPr>
              <w:t>6</w:t>
            </w:r>
          </w:p>
        </w:tc>
        <w:tc>
          <w:tcPr>
            <w:tcW w:w="1454" w:type="pct"/>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工具设施不齐全，每人次扣1分；工具设施未放置在指定区域，每人次扣1分；未配置，扣1分。</w:t>
            </w:r>
          </w:p>
        </w:tc>
        <w:tc>
          <w:tcPr>
            <w:tcW w:w="473"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76" w:type="pct"/>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有完善的月度工作计划并分区落实到人。</w:t>
            </w:r>
          </w:p>
        </w:tc>
        <w:tc>
          <w:tcPr>
            <w:tcW w:w="397"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rPr>
              <w:t>4</w:t>
            </w:r>
          </w:p>
        </w:tc>
        <w:tc>
          <w:tcPr>
            <w:tcW w:w="1454" w:type="pct"/>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没有月度工作计划扣</w:t>
            </w:r>
            <w:r>
              <w:rPr>
                <w:rFonts w:ascii="仿宋" w:hAnsi="仿宋" w:eastAsia="仿宋" w:cs="仿宋"/>
                <w:color w:val="auto"/>
                <w:sz w:val="24"/>
                <w:highlight w:val="none"/>
              </w:rPr>
              <w:t>1</w:t>
            </w:r>
            <w:r>
              <w:rPr>
                <w:rFonts w:hint="eastAsia" w:ascii="仿宋" w:hAnsi="仿宋" w:eastAsia="仿宋" w:cs="仿宋"/>
                <w:color w:val="auto"/>
                <w:sz w:val="24"/>
                <w:highlight w:val="none"/>
              </w:rPr>
              <w:t>分，工作计划未落实每项扣1分。</w:t>
            </w:r>
          </w:p>
        </w:tc>
        <w:tc>
          <w:tcPr>
            <w:tcW w:w="473"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676" w:type="pct"/>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每月按时上报甲方材料，包括：在岗人员花名册、本月工作计划、上月工作总结等（工作计划执行情况、服务质量评价、安全生产情况等）。</w:t>
            </w:r>
          </w:p>
        </w:tc>
        <w:tc>
          <w:tcPr>
            <w:tcW w:w="397"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rPr>
              <w:t>3</w:t>
            </w:r>
          </w:p>
        </w:tc>
        <w:tc>
          <w:tcPr>
            <w:tcW w:w="1454" w:type="pct"/>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未上报每次扣1分。</w:t>
            </w:r>
          </w:p>
        </w:tc>
        <w:tc>
          <w:tcPr>
            <w:tcW w:w="473"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 w:hAnsi="仿宋" w:eastAsia="仿宋" w:cs="仿宋"/>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4"/>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 w:hAnsi="仿宋" w:eastAsia="仿宋" w:cs="仿宋"/>
                <w:color w:val="auto"/>
                <w:sz w:val="24"/>
                <w:highlight w:val="none"/>
              </w:rPr>
            </w:pPr>
            <w:r>
              <w:rPr>
                <w:rFonts w:hint="eastAsia" w:ascii="仿宋" w:hAnsi="仿宋" w:eastAsia="仿宋" w:cs="仿宋"/>
                <w:b/>
                <w:bCs/>
                <w:color w:val="auto"/>
                <w:sz w:val="24"/>
                <w:highlight w:val="none"/>
              </w:rPr>
              <w:t>二、绿化养护管理（70分）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76" w:type="pct"/>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负责合同规定内的所有校区的日常管理和草坪的养护工作。维保期和接管过程内负责监督施工单位的养护工作。</w:t>
            </w:r>
          </w:p>
        </w:tc>
        <w:tc>
          <w:tcPr>
            <w:tcW w:w="397"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rPr>
              <w:t>10</w:t>
            </w:r>
          </w:p>
        </w:tc>
        <w:tc>
          <w:tcPr>
            <w:tcW w:w="1454" w:type="pct"/>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不符合服务要求，每次扣</w:t>
            </w:r>
            <w:r>
              <w:rPr>
                <w:rFonts w:ascii="仿宋" w:hAnsi="仿宋" w:eastAsia="仿宋" w:cs="仿宋"/>
                <w:color w:val="auto"/>
                <w:sz w:val="24"/>
                <w:highlight w:val="none"/>
              </w:rPr>
              <w:t>0.5</w:t>
            </w:r>
            <w:r>
              <w:rPr>
                <w:rFonts w:hint="eastAsia" w:ascii="仿宋" w:hAnsi="仿宋" w:eastAsia="仿宋" w:cs="仿宋"/>
                <w:color w:val="auto"/>
                <w:sz w:val="24"/>
                <w:highlight w:val="none"/>
              </w:rPr>
              <w:t>分。</w:t>
            </w:r>
          </w:p>
        </w:tc>
        <w:tc>
          <w:tcPr>
            <w:tcW w:w="473"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76" w:type="pct"/>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按规定做好相关绿化养护服务以及完成临时性卫生清洁任务。</w:t>
            </w:r>
          </w:p>
        </w:tc>
        <w:tc>
          <w:tcPr>
            <w:tcW w:w="397"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rPr>
              <w:t>10</w:t>
            </w:r>
          </w:p>
        </w:tc>
        <w:tc>
          <w:tcPr>
            <w:tcW w:w="1454" w:type="pct"/>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不符合服务要求，每次扣1分。</w:t>
            </w:r>
          </w:p>
        </w:tc>
        <w:tc>
          <w:tcPr>
            <w:tcW w:w="473"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676" w:type="pct"/>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实行标准化作业，有专人负责检查、监督，并设置相应的质量记录，每月抽查，记录在案。</w:t>
            </w:r>
          </w:p>
        </w:tc>
        <w:tc>
          <w:tcPr>
            <w:tcW w:w="397"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rPr>
              <w:t>10</w:t>
            </w:r>
          </w:p>
        </w:tc>
        <w:tc>
          <w:tcPr>
            <w:tcW w:w="1454" w:type="pct"/>
            <w:tcBorders>
              <w:top w:val="single" w:color="auto" w:sz="4" w:space="0"/>
              <w:left w:val="single" w:color="auto" w:sz="4" w:space="0"/>
              <w:bottom w:val="single" w:color="auto" w:sz="4" w:space="0"/>
              <w:right w:val="single" w:color="auto" w:sz="4" w:space="0"/>
            </w:tcBorders>
            <w:noWrap w:val="0"/>
            <w:vAlign w:val="center"/>
          </w:tcPr>
          <w:p>
            <w:pPr>
              <w:pStyle w:val="11"/>
              <w:spacing w:line="360" w:lineRule="auto"/>
              <w:jc w:val="both"/>
              <w:rPr>
                <w:rFonts w:ascii="仿宋" w:hAnsi="仿宋" w:eastAsia="仿宋" w:cs="仿宋"/>
                <w:color w:val="auto"/>
                <w:highlight w:val="none"/>
              </w:rPr>
            </w:pPr>
            <w:r>
              <w:rPr>
                <w:rFonts w:hint="eastAsia" w:ascii="仿宋" w:hAnsi="仿宋" w:eastAsia="仿宋" w:cs="仿宋"/>
                <w:color w:val="auto"/>
                <w:highlight w:val="none"/>
              </w:rPr>
              <w:t xml:space="preserve">不符合服务要求，每次扣1分。 </w:t>
            </w:r>
          </w:p>
        </w:tc>
        <w:tc>
          <w:tcPr>
            <w:tcW w:w="473" w:type="pct"/>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80"/>
              <w:jc w:val="center"/>
              <w:rPr>
                <w:rFonts w:ascii="仿宋" w:hAnsi="仿宋" w:eastAsia="仿宋" w:cs="仿宋"/>
                <w:color w:val="auto"/>
                <w:sz w:val="24"/>
                <w:highlight w:val="none"/>
              </w:rPr>
            </w:pPr>
            <w:r>
              <w:rPr>
                <w:rFonts w:hint="eastAsia" w:ascii="仿宋" w:hAnsi="仿宋" w:eastAsia="仿宋" w:cs="仿宋"/>
                <w:color w:val="auto"/>
                <w:sz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76" w:type="pct"/>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协助学校在重大活动和应急突发事件中做好校园绿化保障工作。</w:t>
            </w:r>
          </w:p>
        </w:tc>
        <w:tc>
          <w:tcPr>
            <w:tcW w:w="397"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rPr>
              <w:t>10</w:t>
            </w:r>
          </w:p>
        </w:tc>
        <w:tc>
          <w:tcPr>
            <w:tcW w:w="1454" w:type="pct"/>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不符合服务要求，每次扣1分。</w:t>
            </w:r>
          </w:p>
        </w:tc>
        <w:tc>
          <w:tcPr>
            <w:tcW w:w="473" w:type="pct"/>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80"/>
              <w:jc w:val="center"/>
              <w:rPr>
                <w:rFonts w:ascii="仿宋" w:hAnsi="仿宋" w:eastAsia="仿宋" w:cs="仿宋"/>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76" w:type="pct"/>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定期巡查、浇水、施肥，少见病虫害，成活率达</w:t>
            </w:r>
            <w:r>
              <w:rPr>
                <w:rFonts w:ascii="仿宋" w:hAnsi="仿宋" w:eastAsia="仿宋" w:cs="仿宋"/>
                <w:color w:val="auto"/>
                <w:sz w:val="24"/>
                <w:highlight w:val="none"/>
              </w:rPr>
              <w:t>95</w:t>
            </w:r>
            <w:r>
              <w:rPr>
                <w:rFonts w:hint="eastAsia" w:ascii="仿宋" w:hAnsi="仿宋" w:eastAsia="仿宋" w:cs="仿宋"/>
                <w:color w:val="auto"/>
                <w:sz w:val="24"/>
                <w:highlight w:val="none"/>
              </w:rPr>
              <w:t>%以上，发现人为或车辆损坏的及时制止、汇报，妥善处理。</w:t>
            </w:r>
          </w:p>
        </w:tc>
        <w:tc>
          <w:tcPr>
            <w:tcW w:w="397"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rPr>
              <w:t>10</w:t>
            </w:r>
          </w:p>
        </w:tc>
        <w:tc>
          <w:tcPr>
            <w:tcW w:w="1454" w:type="pct"/>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花草、树木、草坪有缺损现象每处扣0.2分；发现人为或车辆损坏未及时制止、处理的扣</w:t>
            </w:r>
            <w:r>
              <w:rPr>
                <w:rFonts w:ascii="仿宋" w:hAnsi="仿宋" w:eastAsia="仿宋" w:cs="仿宋"/>
                <w:color w:val="auto"/>
                <w:sz w:val="24"/>
                <w:highlight w:val="none"/>
              </w:rPr>
              <w:t>0.5</w:t>
            </w:r>
            <w:r>
              <w:rPr>
                <w:rFonts w:hint="eastAsia" w:ascii="仿宋" w:hAnsi="仿宋" w:eastAsia="仿宋" w:cs="仿宋"/>
                <w:color w:val="auto"/>
                <w:sz w:val="24"/>
                <w:highlight w:val="none"/>
              </w:rPr>
              <w:t>分。</w:t>
            </w:r>
          </w:p>
        </w:tc>
        <w:tc>
          <w:tcPr>
            <w:tcW w:w="473" w:type="pct"/>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80"/>
              <w:jc w:val="center"/>
              <w:rPr>
                <w:rFonts w:ascii="仿宋" w:hAnsi="仿宋" w:eastAsia="仿宋" w:cs="仿宋"/>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76" w:type="pct"/>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负责各类场地绿化的管理工作，配合学校维护喷淋设施、水龙头、花池、绿化牌、计量表等整理工作。</w:t>
            </w:r>
          </w:p>
        </w:tc>
        <w:tc>
          <w:tcPr>
            <w:tcW w:w="397"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rPr>
              <w:t>10</w:t>
            </w:r>
          </w:p>
        </w:tc>
        <w:tc>
          <w:tcPr>
            <w:tcW w:w="1454" w:type="pct"/>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不符合服务要求，每次扣1分。</w:t>
            </w:r>
          </w:p>
        </w:tc>
        <w:tc>
          <w:tcPr>
            <w:tcW w:w="473" w:type="pct"/>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80"/>
              <w:jc w:val="center"/>
              <w:rPr>
                <w:rFonts w:ascii="仿宋" w:hAnsi="仿宋" w:eastAsia="仿宋" w:cs="仿宋"/>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676" w:type="pct"/>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加强防治病虫害管理，每周抽查，每月普查，并记录在案；根据草木生长情况及时打药，保证无病虫危害，一旦发生，半月内得到控制。</w:t>
            </w:r>
          </w:p>
        </w:tc>
        <w:tc>
          <w:tcPr>
            <w:tcW w:w="397"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rPr>
              <w:t>10</w:t>
            </w:r>
          </w:p>
        </w:tc>
        <w:tc>
          <w:tcPr>
            <w:tcW w:w="1454" w:type="pct"/>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不符合服务要求，每次扣1分。</w:t>
            </w:r>
          </w:p>
        </w:tc>
        <w:tc>
          <w:tcPr>
            <w:tcW w:w="473" w:type="pct"/>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80"/>
              <w:jc w:val="center"/>
              <w:rPr>
                <w:rFonts w:ascii="仿宋" w:hAnsi="仿宋" w:eastAsia="仿宋" w:cs="仿宋"/>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5000" w:type="pct"/>
            <w:gridSpan w:val="4"/>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 w:hAnsi="仿宋" w:eastAsia="仿宋" w:cs="仿宋"/>
                <w:b/>
                <w:color w:val="auto"/>
                <w:sz w:val="24"/>
                <w:highlight w:val="none"/>
              </w:rPr>
            </w:pPr>
            <w:r>
              <w:rPr>
                <w:rFonts w:hint="eastAsia" w:ascii="仿宋" w:hAnsi="仿宋" w:eastAsia="仿宋" w:cs="仿宋"/>
                <w:b/>
                <w:color w:val="auto"/>
                <w:sz w:val="24"/>
                <w:highlight w:val="none"/>
              </w:rPr>
              <w:t>本单项考评最终得分：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5000" w:type="pct"/>
            <w:gridSpan w:val="4"/>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 w:hAnsi="仿宋" w:eastAsia="仿宋" w:cs="仿宋"/>
                <w:b/>
                <w:bCs/>
                <w:color w:val="auto"/>
                <w:sz w:val="24"/>
                <w:highlight w:val="none"/>
              </w:rPr>
            </w:pPr>
            <w:r>
              <w:rPr>
                <w:rFonts w:hint="eastAsia" w:ascii="仿宋" w:hAnsi="仿宋" w:eastAsia="仿宋" w:cs="仿宋"/>
                <w:b/>
                <w:bCs/>
                <w:color w:val="auto"/>
                <w:sz w:val="24"/>
                <w:highlight w:val="none"/>
              </w:rPr>
              <w:t>考评人签名：</w:t>
            </w:r>
          </w:p>
        </w:tc>
      </w:tr>
    </w:tbl>
    <w:p>
      <w:pPr>
        <w:pStyle w:val="3"/>
        <w:spacing w:before="156" w:beforeLines="50" w:after="156" w:afterLines="50" w:line="360" w:lineRule="auto"/>
        <w:jc w:val="center"/>
        <w:rPr>
          <w:rFonts w:hint="default" w:ascii="仿宋" w:hAnsi="仿宋" w:eastAsia="仿宋" w:cs="仿宋"/>
          <w:color w:val="auto"/>
          <w:sz w:val="24"/>
          <w:szCs w:val="24"/>
          <w:highlight w:val="none"/>
        </w:rPr>
      </w:pPr>
    </w:p>
    <w:p>
      <w:pPr>
        <w:rPr>
          <w:color w:val="auto"/>
          <w:highlight w:val="none"/>
        </w:rPr>
      </w:pPr>
    </w:p>
    <w:p>
      <w:pPr>
        <w:pStyle w:val="2"/>
        <w:rPr>
          <w:color w:val="auto"/>
          <w:highlight w:val="none"/>
        </w:rPr>
      </w:pPr>
    </w:p>
    <w:p>
      <w:pPr>
        <w:pStyle w:val="2"/>
        <w:rPr>
          <w:color w:val="auto"/>
          <w:highlight w:val="none"/>
        </w:rPr>
      </w:pPr>
    </w:p>
    <w:p>
      <w:pPr>
        <w:pStyle w:val="3"/>
        <w:spacing w:before="156" w:beforeLines="50" w:after="156" w:afterLines="50" w:line="360" w:lineRule="auto"/>
        <w:jc w:val="center"/>
        <w:rPr>
          <w:rFonts w:hint="default" w:ascii="仿宋" w:hAnsi="仿宋" w:eastAsia="仿宋" w:cs="仿宋"/>
          <w:color w:val="auto"/>
          <w:sz w:val="24"/>
          <w:szCs w:val="24"/>
          <w:highlight w:val="none"/>
        </w:rPr>
      </w:pPr>
      <w:r>
        <w:rPr>
          <w:rFonts w:ascii="仿宋" w:hAnsi="仿宋" w:eastAsia="仿宋" w:cs="仿宋"/>
          <w:color w:val="auto"/>
          <w:sz w:val="24"/>
          <w:szCs w:val="24"/>
          <w:highlight w:val="none"/>
        </w:rPr>
        <w:t>（三）物业服务季度考评结果汇总表</w:t>
      </w:r>
    </w:p>
    <w:p>
      <w:pPr>
        <w:spacing w:line="360" w:lineRule="auto"/>
        <w:jc w:val="center"/>
        <w:rPr>
          <w:rFonts w:ascii="仿宋" w:hAnsi="仿宋" w:eastAsia="仿宋" w:cs="仿宋"/>
          <w:b/>
          <w:color w:val="auto"/>
          <w:sz w:val="24"/>
          <w:highlight w:val="none"/>
        </w:rPr>
      </w:pPr>
      <w:r>
        <w:rPr>
          <w:rFonts w:hint="eastAsia" w:ascii="仿宋" w:hAnsi="仿宋" w:eastAsia="仿宋" w:cs="仿宋"/>
          <w:b/>
          <w:color w:val="auto"/>
          <w:sz w:val="24"/>
          <w:highlight w:val="none"/>
        </w:rPr>
        <w:t>物业服务季度考评结果汇总表（</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年</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月）</w:t>
      </w:r>
    </w:p>
    <w:tbl>
      <w:tblPr>
        <w:tblStyle w:val="6"/>
        <w:tblW w:w="530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54"/>
        <w:gridCol w:w="4286"/>
        <w:gridCol w:w="22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3" w:hRule="atLeast"/>
          <w:jc w:val="center"/>
        </w:trPr>
        <w:tc>
          <w:tcPr>
            <w:tcW w:w="1412"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 w:hAnsi="仿宋" w:eastAsia="仿宋" w:cs="仿宋"/>
                <w:bCs/>
                <w:color w:val="auto"/>
                <w:sz w:val="24"/>
                <w:highlight w:val="none"/>
              </w:rPr>
            </w:pPr>
            <w:r>
              <w:rPr>
                <w:rFonts w:hint="eastAsia" w:ascii="仿宋" w:hAnsi="仿宋" w:eastAsia="仿宋" w:cs="仿宋"/>
                <w:b/>
                <w:color w:val="auto"/>
                <w:sz w:val="24"/>
                <w:highlight w:val="none"/>
              </w:rPr>
              <w:t>考评项目名称</w:t>
            </w:r>
          </w:p>
        </w:tc>
        <w:tc>
          <w:tcPr>
            <w:tcW w:w="2369"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 w:hAnsi="仿宋" w:eastAsia="仿宋" w:cs="仿宋"/>
                <w:b/>
                <w:color w:val="auto"/>
                <w:sz w:val="24"/>
                <w:highlight w:val="none"/>
              </w:rPr>
            </w:pPr>
            <w:r>
              <w:rPr>
                <w:rFonts w:hint="eastAsia" w:ascii="仿宋" w:hAnsi="仿宋" w:eastAsia="仿宋" w:cs="仿宋"/>
                <w:b/>
                <w:color w:val="auto"/>
                <w:sz w:val="24"/>
                <w:highlight w:val="none"/>
              </w:rPr>
              <w:t>考评得分</w:t>
            </w:r>
          </w:p>
          <w:p>
            <w:pPr>
              <w:spacing w:line="360" w:lineRule="auto"/>
              <w:jc w:val="center"/>
              <w:rPr>
                <w:rFonts w:ascii="仿宋" w:hAnsi="仿宋" w:eastAsia="仿宋" w:cs="仿宋"/>
                <w:bCs/>
                <w:color w:val="auto"/>
                <w:sz w:val="24"/>
                <w:highlight w:val="none"/>
              </w:rPr>
            </w:pPr>
            <w:r>
              <w:rPr>
                <w:rFonts w:hint="eastAsia" w:ascii="仿宋" w:hAnsi="仿宋" w:eastAsia="仿宋" w:cs="仿宋"/>
                <w:bCs/>
                <w:color w:val="auto"/>
                <w:sz w:val="24"/>
                <w:highlight w:val="none"/>
              </w:rPr>
              <w:t>（各项总分100分，及格分</w:t>
            </w:r>
            <w:r>
              <w:rPr>
                <w:rFonts w:ascii="仿宋" w:hAnsi="仿宋" w:eastAsia="仿宋" w:cs="仿宋"/>
                <w:bCs/>
                <w:color w:val="auto"/>
                <w:sz w:val="24"/>
                <w:highlight w:val="none"/>
              </w:rPr>
              <w:t>80</w:t>
            </w:r>
            <w:r>
              <w:rPr>
                <w:rFonts w:hint="eastAsia" w:ascii="仿宋" w:hAnsi="仿宋" w:eastAsia="仿宋" w:cs="仿宋"/>
                <w:bCs/>
                <w:color w:val="auto"/>
                <w:sz w:val="24"/>
                <w:highlight w:val="none"/>
              </w:rPr>
              <w:t>分）</w:t>
            </w:r>
          </w:p>
        </w:tc>
        <w:tc>
          <w:tcPr>
            <w:tcW w:w="1219"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 w:hAnsi="仿宋" w:eastAsia="仿宋" w:cs="仿宋"/>
                <w:bCs/>
                <w:color w:val="auto"/>
                <w:sz w:val="24"/>
                <w:highlight w:val="none"/>
              </w:rPr>
            </w:pPr>
            <w:r>
              <w:rPr>
                <w:rFonts w:hint="eastAsia" w:ascii="仿宋" w:hAnsi="仿宋" w:eastAsia="仿宋" w:cs="仿宋"/>
                <w:b/>
                <w:color w:val="auto"/>
                <w:sz w:val="24"/>
                <w:highlight w:val="none"/>
              </w:rPr>
              <w:t>工作小组成员签名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412"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 w:hAnsi="仿宋" w:eastAsia="仿宋" w:cs="仿宋"/>
                <w:bCs/>
                <w:color w:val="auto"/>
                <w:sz w:val="24"/>
                <w:highlight w:val="none"/>
              </w:rPr>
            </w:pPr>
            <w:r>
              <w:rPr>
                <w:rFonts w:hint="eastAsia" w:ascii="仿宋" w:hAnsi="仿宋" w:eastAsia="仿宋" w:cs="仿宋"/>
                <w:bCs/>
                <w:color w:val="auto"/>
                <w:sz w:val="24"/>
                <w:highlight w:val="none"/>
              </w:rPr>
              <w:t>清洁卫生服务</w:t>
            </w:r>
          </w:p>
        </w:tc>
        <w:tc>
          <w:tcPr>
            <w:tcW w:w="2369"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 w:hAnsi="仿宋" w:eastAsia="仿宋" w:cs="仿宋"/>
                <w:bCs/>
                <w:color w:val="auto"/>
                <w:sz w:val="24"/>
                <w:highlight w:val="none"/>
              </w:rPr>
            </w:pPr>
          </w:p>
        </w:tc>
        <w:tc>
          <w:tcPr>
            <w:tcW w:w="1219"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 w:hAnsi="仿宋" w:eastAsia="仿宋" w:cs="仿宋"/>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1412"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 w:hAnsi="仿宋" w:eastAsia="仿宋" w:cs="仿宋"/>
                <w:bCs/>
                <w:color w:val="auto"/>
                <w:sz w:val="24"/>
                <w:highlight w:val="none"/>
              </w:rPr>
            </w:pPr>
            <w:r>
              <w:rPr>
                <w:rFonts w:hint="eastAsia" w:ascii="仿宋" w:hAnsi="仿宋" w:eastAsia="仿宋" w:cs="仿宋"/>
                <w:bCs/>
                <w:color w:val="auto"/>
                <w:sz w:val="24"/>
                <w:highlight w:val="none"/>
              </w:rPr>
              <w:t>绿化养护服务</w:t>
            </w:r>
          </w:p>
        </w:tc>
        <w:tc>
          <w:tcPr>
            <w:tcW w:w="2369"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 w:hAnsi="仿宋" w:eastAsia="仿宋" w:cs="仿宋"/>
                <w:bCs/>
                <w:color w:val="auto"/>
                <w:sz w:val="24"/>
                <w:highlight w:val="none"/>
              </w:rPr>
            </w:pPr>
          </w:p>
        </w:tc>
        <w:tc>
          <w:tcPr>
            <w:tcW w:w="1219"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 w:hAnsi="仿宋" w:eastAsia="仿宋" w:cs="仿宋"/>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412"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 w:hAnsi="仿宋" w:eastAsia="仿宋" w:cs="仿宋"/>
                <w:bCs/>
                <w:color w:val="auto"/>
                <w:sz w:val="24"/>
                <w:highlight w:val="none"/>
              </w:rPr>
            </w:pPr>
            <w:r>
              <w:rPr>
                <w:rFonts w:hint="eastAsia" w:ascii="仿宋" w:hAnsi="仿宋" w:eastAsia="仿宋" w:cs="仿宋"/>
                <w:bCs/>
                <w:color w:val="auto"/>
                <w:sz w:val="24"/>
                <w:highlight w:val="none"/>
              </w:rPr>
              <w:t>考评综合得分</w:t>
            </w:r>
          </w:p>
        </w:tc>
        <w:tc>
          <w:tcPr>
            <w:tcW w:w="2369"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 w:hAnsi="仿宋" w:eastAsia="仿宋" w:cs="仿宋"/>
                <w:bCs/>
                <w:color w:val="auto"/>
                <w:sz w:val="24"/>
                <w:highlight w:val="none"/>
              </w:rPr>
            </w:pPr>
          </w:p>
        </w:tc>
        <w:tc>
          <w:tcPr>
            <w:tcW w:w="1219"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 w:hAnsi="仿宋" w:eastAsia="仿宋" w:cs="仿宋"/>
                <w:bCs/>
                <w:color w:val="auto"/>
                <w:sz w:val="24"/>
                <w:highlight w:val="none"/>
              </w:rPr>
            </w:pPr>
          </w:p>
        </w:tc>
      </w:tr>
    </w:tbl>
    <w:p>
      <w:pPr>
        <w:rPr>
          <w:color w:val="auto"/>
          <w:highlight w:val="none"/>
        </w:rPr>
      </w:pPr>
    </w:p>
    <w:p>
      <w:pPr>
        <w:pStyle w:val="2"/>
        <w:rPr>
          <w:color w:val="auto"/>
          <w:highlight w:val="none"/>
        </w:rPr>
      </w:pPr>
    </w:p>
    <w:p>
      <w:pPr>
        <w:pStyle w:val="2"/>
        <w:rPr>
          <w:color w:val="auto"/>
          <w:highlight w:val="none"/>
        </w:rPr>
      </w:pPr>
    </w:p>
    <w:p>
      <w:pPr>
        <w:pStyle w:val="2"/>
        <w:rPr>
          <w:color w:val="auto"/>
          <w:highlight w:val="none"/>
        </w:rPr>
      </w:pPr>
    </w:p>
    <w:p>
      <w:pPr>
        <w:pStyle w:val="2"/>
        <w:rPr>
          <w:color w:val="auto"/>
          <w:highlight w:val="none"/>
        </w:rPr>
      </w:pPr>
    </w:p>
    <w:p>
      <w:pPr>
        <w:pStyle w:val="2"/>
        <w:rPr>
          <w:color w:val="auto"/>
          <w:highlight w:val="none"/>
        </w:rPr>
      </w:pPr>
    </w:p>
    <w:p>
      <w:pPr>
        <w:pStyle w:val="2"/>
        <w:rPr>
          <w:color w:val="auto"/>
          <w:highlight w:val="none"/>
        </w:rPr>
      </w:pPr>
    </w:p>
    <w:p>
      <w:bookmarkStart w:id="2" w:name="_GoBack"/>
      <w:bookmarkEnd w:id="2"/>
    </w:p>
    <w:sectPr>
      <w:footerReference r:id="rId3"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modern"/>
    <w:pitch w:val="default"/>
    <w:sig w:usb0="800002BF" w:usb1="38CF7CFA" w:usb2="00000016" w:usb3="00000000" w:csb0="00040001" w:csb1="00000000"/>
  </w:font>
  <w:font w:name="华文中宋">
    <w:altName w:val="汉仪中宋简"/>
    <w:panose1 w:val="02010600040101010101"/>
    <w:charset w:val="00"/>
    <w:family w:val="auto"/>
    <w:pitch w:val="default"/>
    <w:sig w:usb0="00000000" w:usb1="00000000" w:usb2="00000000" w:usb3="00000000" w:csb0="0004009F" w:csb1="DFD70000"/>
  </w:font>
  <w:font w:name="DejaVu Sans">
    <w:panose1 w:val="020B0603030804020204"/>
    <w:charset w:val="00"/>
    <w:family w:val="auto"/>
    <w:pitch w:val="default"/>
    <w:sig w:usb0="E7006EFF" w:usb1="D200FDFF" w:usb2="0A246029" w:usb3="0400200C" w:csb0="600001FF" w:csb1="DFFF0000"/>
  </w:font>
  <w:font w:name="汉仪中宋简">
    <w:panose1 w:val="02010600000101010101"/>
    <w:charset w:val="86"/>
    <w:family w:val="auto"/>
    <w:pitch w:val="default"/>
    <w:sig w:usb0="00000001" w:usb1="080E0800" w:usb2="00000002"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PAGE   \* MERGEFORMAT</w:instrText>
    </w:r>
    <w:r>
      <w:fldChar w:fldCharType="separate"/>
    </w:r>
    <w:r>
      <w:rPr>
        <w:lang w:val="zh-CN"/>
      </w:rPr>
      <w:t>19</w:t>
    </w:r>
    <w:r>
      <w:fldChar w:fldCharType="end"/>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51063D"/>
    <w:multiLevelType w:val="multilevel"/>
    <w:tmpl w:val="5B51063D"/>
    <w:lvl w:ilvl="0" w:tentative="0">
      <w:start w:val="4"/>
      <w:numFmt w:val="japaneseCounting"/>
      <w:lvlText w:val="%1、"/>
      <w:lvlJc w:val="left"/>
      <w:pPr>
        <w:ind w:left="992" w:hanging="510"/>
      </w:pPr>
      <w:rPr>
        <w:rFonts w:hint="default"/>
        <w:b/>
        <w:sz w:val="24"/>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4"/>
  <w:bordersDoNotSurroundHeader w:val="true"/>
  <w:bordersDoNotSurroundFooter w:val="true"/>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EAB0813"/>
    <w:rsid w:val="7FF6494F"/>
    <w:rsid w:val="FF212FBF"/>
    <w:rsid w:val="FFDFB32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3"/>
    <w:basedOn w:val="1"/>
    <w:next w:val="1"/>
    <w:qFormat/>
    <w:uiPriority w:val="0"/>
    <w:pPr>
      <w:spacing w:before="100" w:beforeAutospacing="1" w:after="100" w:afterAutospacing="1"/>
      <w:jc w:val="left"/>
      <w:outlineLvl w:val="2"/>
    </w:pPr>
    <w:rPr>
      <w:rFonts w:hint="eastAsia" w:ascii="宋体" w:hAnsi="宋体"/>
      <w:b/>
      <w:kern w:val="0"/>
      <w:sz w:val="27"/>
      <w:szCs w:val="27"/>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2"/>
    <w:basedOn w:val="1"/>
    <w:qFormat/>
    <w:uiPriority w:val="0"/>
    <w:pPr>
      <w:spacing w:after="120" w:line="480" w:lineRule="auto"/>
    </w:p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Normal (Web)"/>
    <w:basedOn w:val="1"/>
    <w:unhideWhenUsed/>
    <w:qFormat/>
    <w:uiPriority w:val="0"/>
    <w:rPr>
      <w:rFonts w:ascii="Times New Roman" w:hAnsi="Times New Roman" w:eastAsia="宋体"/>
      <w:sz w:val="24"/>
    </w:rPr>
  </w:style>
  <w:style w:type="paragraph" w:customStyle="1" w:styleId="8">
    <w:name w:val="列出段落1"/>
    <w:basedOn w:val="1"/>
    <w:qFormat/>
    <w:uiPriority w:val="99"/>
    <w:pPr>
      <w:widowControl/>
      <w:ind w:firstLine="420" w:firstLineChars="200"/>
      <w:jc w:val="left"/>
    </w:pPr>
    <w:rPr>
      <w:rFonts w:ascii="Times New Roman" w:hAnsi="Times New Roman" w:eastAsia="宋体"/>
      <w:kern w:val="0"/>
      <w:sz w:val="21"/>
      <w:szCs w:val="20"/>
    </w:rPr>
  </w:style>
  <w:style w:type="paragraph" w:styleId="9">
    <w:name w:val="List Paragraph"/>
    <w:basedOn w:val="1"/>
    <w:qFormat/>
    <w:uiPriority w:val="0"/>
    <w:pPr>
      <w:ind w:firstLine="200" w:firstLineChars="200"/>
    </w:pPr>
    <w:rPr>
      <w:rFonts w:ascii="Times New Roman" w:hAnsi="Times New Roman"/>
      <w:sz w:val="18"/>
      <w:szCs w:val="18"/>
    </w:rPr>
  </w:style>
  <w:style w:type="paragraph" w:customStyle="1" w:styleId="10">
    <w:name w:val="正文_43"/>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1">
    <w:name w:val="Default"/>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2014-10-30T12:08:00Z</dcterms:created>
  <dc:creator>Administrator</dc:creator>
  <cp:lastModifiedBy>greatwall</cp:lastModifiedBy>
  <dcterms:modified xsi:type="dcterms:W3CDTF">2025-09-24T09:58:43Z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2052-11.8.2.10587</vt:lpwstr>
  </property>
</Properties>
</file>