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正文</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（工程类）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海南中学教学楼和办公楼走廊过道、第一食堂屋面维修改造项目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HNZJC2025-GC(HK)-054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海南中学</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中技建设咨询有限公司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ind w:firstLine="480"/>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海南中学</w:t>
      </w:r>
      <w:r>
        <w:rPr>
          <w:rFonts w:ascii="仿宋_GB2312" w:hAnsi="仿宋_GB2312" w:cs="仿宋_GB2312" w:eastAsia="仿宋_GB2312"/>
        </w:rPr>
        <w:t xml:space="preserve"> 的委托， </w:t>
      </w:r>
      <w:r>
        <w:rPr>
          <w:rFonts w:ascii="仿宋_GB2312" w:hAnsi="仿宋_GB2312" w:cs="仿宋_GB2312" w:eastAsia="仿宋_GB2312"/>
        </w:rPr>
        <w:t>中技建设咨询有限公司</w:t>
      </w:r>
      <w:r>
        <w:rPr>
          <w:rFonts w:ascii="仿宋_GB2312" w:hAnsi="仿宋_GB2312" w:cs="仿宋_GB2312" w:eastAsia="仿宋_GB2312"/>
        </w:rPr>
        <w:t xml:space="preserve"> 对 </w:t>
      </w:r>
      <w:r>
        <w:rPr>
          <w:rFonts w:ascii="仿宋_GB2312" w:hAnsi="仿宋_GB2312" w:cs="仿宋_GB2312" w:eastAsia="仿宋_GB2312"/>
        </w:rPr>
        <w:t>海南中学教学楼和办公楼走廊过道、第一食堂屋面维修改造项目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HNZJC2025-GC(HK)-054</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海南中学教学楼和办公楼走廊过道、第一食堂屋面维修改造项目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2,084,235.30元</w:t>
      </w:r>
      <w:r>
        <w:rPr>
          <w:rFonts w:ascii="仿宋_GB2312" w:hAnsi="仿宋_GB2312" w:cs="仿宋_GB2312" w:eastAsia="仿宋_GB2312"/>
        </w:rPr>
        <w:t>贰佰零捌万肆仟贰佰叁拾伍元叁角</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40日历天</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属于专门面向中小企业小微企业采购，预留比例为100%。</w:t>
      </w:r>
    </w:p>
    <w:p>
      <w:pPr>
        <w:pStyle w:val="null3"/>
        <w:ind w:firstLine="480"/>
        <w:jc w:val="left"/>
      </w:pPr>
      <w:r>
        <w:rPr>
          <w:rFonts w:ascii="仿宋_GB2312" w:hAnsi="仿宋_GB2312" w:cs="仿宋_GB2312" w:eastAsia="仿宋_GB2312"/>
        </w:rPr>
        <w:t>3.本项目的特定资格要求：（如项目接受联合体响应，对联合体应提出相关资格要求；如属于特定行业项目，供应商应当具备特定行业法定准入要求。）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1、具备建设行政主管部门颁发建筑工程施工总承包三级（含）以上资质或根据《住房和城乡建设部关于印发建设工程企业资质管理制度改革方案的通知》（[建市〔2020〕 94 号]）的规定已换发新证取得相应资质，且具有有效期内的安全生产许可证，并在人员、设备、资金等方面具有承担本项目施工的能力（提供资质证书复印件加盖公章、有效的安全生产许可证复印件加盖公章）。：具备建设行政主管部门颁发建筑工程施工总承包三级（含）以上资质或根据《住房和城乡建设部关于印发建设工程企业资质管理制度改革方案的通知》（[建市〔2020〕 94 号]）的规定已换发新证取得相应资质，且具有有效期内的安全生产许可证，并在人员、设备、资金等方面具有承担本项目施工的能力（提供资质证书复印件加盖公章、有效的安全生产许可证复印件加盖公章）。</w:t>
      </w:r>
    </w:p>
    <w:p>
      <w:pPr>
        <w:pStyle w:val="null3"/>
        <w:jc w:val="left"/>
      </w:pPr>
      <w:r>
        <w:rPr>
          <w:rFonts w:ascii="仿宋_GB2312" w:hAnsi="仿宋_GB2312" w:cs="仿宋_GB2312" w:eastAsia="仿宋_GB2312"/>
        </w:rPr>
        <w:t>2、供应商拟任项目经理须具备建筑工程专业贰级（或以上级）注册建造师执业资格，且未担任其他在施建设工程项目的项目经理（证明材料：出具书面承诺，注册证书复印件加盖单位公章）；：供应商拟任项目经理须具备建筑工程专业贰级（或以上级）注册建造师执业资格，且未担任其他在施建设工程项目的项目经理（证明材料：出具书面承诺，注册证书复印件加盖单位公章）；</w:t>
      </w:r>
    </w:p>
    <w:p>
      <w:pPr>
        <w:pStyle w:val="null3"/>
        <w:jc w:val="left"/>
      </w:pPr>
      <w:r>
        <w:rPr>
          <w:rFonts w:ascii="仿宋_GB2312" w:hAnsi="仿宋_GB2312" w:cs="仿宋_GB2312" w:eastAsia="仿宋_GB2312"/>
        </w:rPr>
        <w:t>3、供应商须具备《海南省建筑企业诚信档案手册》（应当根据《海南省建筑企业诚信档案手册管理办法》的规定，通过省住房和城乡建设厅网站（http：//www.hnjst.gov.cn/）登录海南省房屋建筑工程全过程监管信息平台填报项目名称、项目地址、派驻的项目班子人员信息，打印生成诚信档案手册）（提供诚信档案手册复印件加盖公章）；：供应商须具备《海南省建筑企业诚信档案手册》（应当根据《海南省建筑企业诚信档案手册管理办法》的规定，通过省住房和城乡建设厅网站（http：//www.hnjst.gov.cn/）登录海南省房屋建筑工程全过程监管信息平台填报项目名称、项目地址、派驻的项目班子人员信息，打印生成诚信档案手册）（提供诚信档案手册复印件加盖公章）；</w:t>
      </w:r>
    </w:p>
    <w:p>
      <w:pPr>
        <w:pStyle w:val="null3"/>
        <w:jc w:val="left"/>
      </w:pPr>
      <w:r>
        <w:rPr>
          <w:rFonts w:ascii="仿宋_GB2312" w:hAnsi="仿宋_GB2312" w:cs="仿宋_GB2312" w:eastAsia="仿宋_GB2312"/>
        </w:rPr>
        <w:t>4、参加政府采购活动前三年内，没有环保类行政处罚记录：（提供声明函并加盖公章）;：参加政府采购活动前三年内，没有环保类行政处罚记录：（提供声明函并加盖公章）;</w:t>
      </w:r>
    </w:p>
    <w:p>
      <w:pPr>
        <w:pStyle w:val="null3"/>
        <w:jc w:val="left"/>
      </w:pPr>
      <w:r>
        <w:rPr>
          <w:rFonts w:ascii="仿宋_GB2312" w:hAnsi="仿宋_GB2312" w:cs="仿宋_GB2312" w:eastAsia="仿宋_GB2312"/>
        </w:rPr>
        <w:t>5、本项目不接受联合体报价（提供承诺函并加盖公章（格式自拟））。：本项目不接受联合体报价（提供承诺函并加盖公章（格式自拟））。</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自财政部和海南省财政厅指定的政府采购信息发布媒体最先发布公告之日起5个工作日。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1、请投标人(供应商)自行在海南省政府采购智慧云平台-办事指南查看相应的系统操作指南，严格按照操作指南要求进行系统操作。如需海南省政府采购智慧云平台相关咨询，请拨打官网热线电话4001691288。 2、采购项目需要落实的政府采购政策：《政府采购促进中小企业发展管理办法》《财政部印发通知 进一步加大政府采购支持中小企业力度》《财政部 发展改革委 生态环境部 市场监管总局关于调整优化节能产品、环境标志产品政府采购执行机制的通知》《关于促进残疾人就业政府采购政策的通知》《财政部 司法部关于政府采购支持监狱企业发展有关问题的通知》《关于政府采购支持绿色建材促进建筑品质提升试点工作的通知》《海南省财政厅关于印发&lt;海南省绿色产品政府采购实施意见（试行）&gt;的通知》《海南省财政厅 海南省工业和信息化厅关于落实超常规举措加大对中小企业政府采购支持的通知》。</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海南中学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海口市琼山区大路街187号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571158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0898-65816228</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中技建设咨询有限公司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海南省海口市美兰区海府路街道五指山路和谐家园2单元701房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0898-66779927</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采购包1：2,084,235.30元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90日历天（从采购截止之日算起）</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代理服务费收费标准：中标（成交）金额作为计算基数，参照国家计价格【2002]1980号文收费标准的8.0折向中标人(成交供应商)收取招标代理服务费。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（2）中国政府采购网海南分网（海南省政府采购网），网址https://ccgp-hainan.gov.cn/。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注意事项: 1、各供应商的相关证明材料必须在响应文件内提供加盖公章复印件； 2、成交单位中标后须提供二次报价（即最终报价）相对应的已标价的投标清单给招标人。 3、（本项目行业归属为建筑业）本项目为专门面向中小企业采购项目，供应商须为中小微企业，监狱企业、残疾人福利单位视同小型、微型企业。（中小企业提供中小企业声明函，格式详见《中小企业声明函》；监狱企业提供由省级以上监狱管理局、戒毒管理局（含新疆生产建设兵团）出具的属于监狱企业的证明文件；残疾人福利单位提供残疾人福利性单位声明函，格式详见《残疾人福利性单位声明函》）。 4、根据《海南省建筑工程施工现场关键岗位人员配备和在岗履职管理办法》要求，施工项目部关键岗位人员配备如下：项目经理1人、项目技术负责人(可兼任)1人、施工员1人、专职安全生产管理人员1人、质量员(可兼任)1人、劳资专管员(可兼任)1人、资料员(可兼任)1人，供应商需提供本项目管理机构人员的证件如下：（1）项目负责人（项目经理）应附注册建造师证书、身份证、2025年1月1日至今任意一个月社保证明等复印件加盖公章；（2）项目技术负责人应附身份证、职称证书、2025年1月1日至今任意一个月社保证明等复印件加盖公章；（3）劳资专管员应附身份证、2025年1月1日至今任意一个月社保证明等复印件加盖公章；（4）其他主要人员应附身份证、岗位证书或安全生产考核合格证书或职业培训合格证书、2025年1月1日至今任意一个月社保证明等复印件加盖公章。（相关证书须由建设行政主管部门或其认可的机构颁发） 5、投标报价文件由供应商自行编制的，应当由本单位的一级或二级造价工程师使用本单位实名的计价软件编制，签字并加盖执业专用章。供应商委托工程造价咨询企业编制的，应在投标文件中提供加盖双方单位公章的委托书，并在已标价工程量清单上加盖负责编制的工程造价咨询企业公章以及负责审核的一级注册造价师执业印章。工程造价咨询机构在同一招标项目中，只可以接受招标人或一个供应商的委托并编制招标控制价或投标报价，不得为同一招标项目的两个或者两个以上供应商编制投标报价，亦不得既为招标人编制招标控制价同时又为供应商编制投标报价，否则其编制的招标控制价和投标报价无效并视为存在相互串通投标行为。 6、报价总价封面已经有“编制人员签字及盖章”的地方，只须在总价封面签字及盖章（含电子章）即可，工程量清单内容里“规费、税金项目计价表”和“总价措施项目清单与计表”的“编制人（造价人员）”以及“复核人（造价工师）”可不再签字或盖章。 7.施工范围：海南中学教学楼和办公楼走廊过道、第一食堂屋面维修改造项目包含的所有内容（具体工程内容详见施工图纸及工程量清单）</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“采购单位”指磋商文件中所述所有工程、相关货物、相关服务的甲方。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 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 需求前附表，有效期短于此规定的响应文件将被视为无效。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 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供应商应在响应文件中提供证明其所投工程、相关货物、相关服务的合格性和符合磋商文件规定的相关证明文件。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供应商应在响应文件中完整表达履行本采购项目的相关工程量清单、技术方案、方法和措施，及证明其成交后具有良好履约能力的说明材料。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 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8.1.1根据采购人确定的成交结果，采购代理机构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联系人：周工</w:t>
      </w:r>
    </w:p>
    <w:p>
      <w:pPr>
        <w:pStyle w:val="null3"/>
        <w:jc w:val="left"/>
      </w:pPr>
      <w:r>
        <w:rPr>
          <w:rFonts w:ascii="仿宋_GB2312" w:hAnsi="仿宋_GB2312" w:cs="仿宋_GB2312" w:eastAsia="仿宋_GB2312"/>
        </w:rPr>
        <w:t>联系电话：0898-66779927</w:t>
      </w:r>
    </w:p>
    <w:p>
      <w:pPr>
        <w:pStyle w:val="null3"/>
        <w:jc w:val="left"/>
      </w:pPr>
      <w:r>
        <w:rPr>
          <w:rFonts w:ascii="仿宋_GB2312" w:hAnsi="仿宋_GB2312" w:cs="仿宋_GB2312" w:eastAsia="仿宋_GB2312"/>
        </w:rPr>
        <w:t>地址：海南省海口市美兰区海府路街道五指山路和谐家园2单元701房</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rPr>
        <w:t>对教学楼和办公楼走廊过道走道地面铺砖改造、扶手栏杆立面贴砖改造、花岗岩台阶踏步改造、扶手栏杆压顶改造、第一食堂屋面维修改造及女儿墙改造等。</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2,084,235.30</w:t>
      </w:r>
    </w:p>
    <w:p>
      <w:pPr>
        <w:pStyle w:val="null3"/>
        <w:jc w:val="left"/>
      </w:pPr>
      <w:r>
        <w:rPr>
          <w:rFonts w:ascii="仿宋_GB2312" w:hAnsi="仿宋_GB2312" w:cs="仿宋_GB2312" w:eastAsia="仿宋_GB2312"/>
        </w:rPr>
        <w:t>采购包最高限价（元）: 2,084,235.30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B08010000-房屋修缮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2,084,235.30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建筑业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B08010000-房屋修缮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2,084,235.30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标的名称：B08010000-房屋修缮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施工图及工程量清单包含的全部内容（具体工程内容详见施工图纸及工程量清单）。</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计划工期、建设地点：</w:t>
            </w:r>
          </w:p>
          <w:p>
            <w:pPr>
              <w:pStyle w:val="null3"/>
              <w:spacing w:after="120"/>
              <w:ind w:firstLine="480"/>
              <w:jc w:val="both"/>
            </w:pPr>
            <w:r>
              <w:rPr>
                <w:rFonts w:ascii="仿宋_GB2312" w:hAnsi="仿宋_GB2312" w:cs="仿宋_GB2312" w:eastAsia="仿宋_GB2312"/>
                <w:sz w:val="24"/>
              </w:rPr>
              <w:t>1、计划工期：40日历天</w:t>
            </w:r>
          </w:p>
          <w:p>
            <w:pPr>
              <w:pStyle w:val="null3"/>
              <w:spacing w:after="120"/>
              <w:ind w:firstLine="480"/>
              <w:jc w:val="both"/>
            </w:pPr>
            <w:r>
              <w:rPr>
                <w:rFonts w:ascii="仿宋_GB2312" w:hAnsi="仿宋_GB2312" w:cs="仿宋_GB2312" w:eastAsia="仿宋_GB2312"/>
                <w:sz w:val="24"/>
              </w:rPr>
              <w:t>2、建设地点：海南中学府城校区</w:t>
            </w:r>
          </w:p>
          <w:p>
            <w:pPr>
              <w:pStyle w:val="null3"/>
              <w:spacing w:after="120"/>
              <w:ind w:firstLine="480"/>
              <w:jc w:val="both"/>
            </w:pP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付款时间、方式及条件：</w:t>
            </w:r>
          </w:p>
          <w:p>
            <w:pPr>
              <w:pStyle w:val="null3"/>
              <w:spacing w:after="120"/>
              <w:ind w:firstLine="480"/>
              <w:jc w:val="both"/>
            </w:pPr>
            <w:r>
              <w:rPr>
                <w:rFonts w:ascii="仿宋_GB2312" w:hAnsi="仿宋_GB2312" w:cs="仿宋_GB2312" w:eastAsia="仿宋_GB2312"/>
                <w:sz w:val="24"/>
              </w:rPr>
              <w:t>1.预付款支付比例：本合同签约合同价的30%。</w:t>
            </w:r>
          </w:p>
          <w:p>
            <w:pPr>
              <w:pStyle w:val="null3"/>
              <w:spacing w:after="120"/>
              <w:ind w:firstLine="480"/>
              <w:jc w:val="both"/>
            </w:pPr>
            <w:r>
              <w:rPr>
                <w:rFonts w:ascii="仿宋_GB2312" w:hAnsi="仿宋_GB2312" w:cs="仿宋_GB2312" w:eastAsia="仿宋_GB2312"/>
                <w:sz w:val="24"/>
              </w:rPr>
              <w:t>预付款支付期限：本合同签订且承包人进场，并向发包人提供合法有效发票之日起</w:t>
            </w:r>
            <w:r>
              <w:rPr>
                <w:rFonts w:ascii="仿宋_GB2312" w:hAnsi="仿宋_GB2312" w:cs="仿宋_GB2312" w:eastAsia="仿宋_GB2312"/>
                <w:sz w:val="24"/>
              </w:rPr>
              <w:t>10个工作日内。</w:t>
            </w:r>
          </w:p>
          <w:p>
            <w:pPr>
              <w:pStyle w:val="null3"/>
              <w:spacing w:after="120"/>
              <w:ind w:firstLine="480"/>
              <w:jc w:val="both"/>
            </w:pPr>
            <w:r>
              <w:rPr>
                <w:rFonts w:ascii="仿宋_GB2312" w:hAnsi="仿宋_GB2312" w:cs="仿宋_GB2312" w:eastAsia="仿宋_GB2312"/>
                <w:sz w:val="24"/>
              </w:rPr>
              <w:t>2.关于付款周期的约定：按工程进度，当施工工程量达到图纸进度70%以上，承包人向发包人提出付款申请且审核无误后的10个工作日内，按签约合同价的30%支付进度款 。</w:t>
            </w:r>
          </w:p>
          <w:p>
            <w:pPr>
              <w:pStyle w:val="null3"/>
              <w:spacing w:after="120"/>
              <w:ind w:firstLine="480"/>
              <w:jc w:val="both"/>
            </w:pPr>
            <w:r>
              <w:rPr>
                <w:rFonts w:ascii="仿宋_GB2312" w:hAnsi="仿宋_GB2312" w:cs="仿宋_GB2312" w:eastAsia="仿宋_GB2312"/>
                <w:sz w:val="24"/>
              </w:rPr>
              <w:t>3.当工程竣工验收合格且承包人提交相应发票后10个工作日内，支付签约合同价的20%；竣工结算结果经发包人、承包人、第三方审核机构等各方确认，并经发包人审批流程后，承包人按结算结果提交竣工结算款申请单一式六份，发包人在收到承包人竣工结算款申请单后28天内支付至竣工结算款的90%，待竣工财务决算完成后支付尾款，余3%工程决算款的质保金在二年缺陷责任期满且复检合格后无息支付；竣工结算款支付前，承包人应向发包人提供有效增值税普通发票。</w:t>
            </w:r>
          </w:p>
          <w:p>
            <w:pPr>
              <w:pStyle w:val="null3"/>
              <w:spacing w:after="120"/>
              <w:ind w:firstLine="480"/>
              <w:jc w:val="both"/>
            </w:pP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违约责任：违约责任以签订合同的约定为准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管理要求：</w:t>
            </w:r>
          </w:p>
          <w:p>
            <w:pPr>
              <w:pStyle w:val="null3"/>
              <w:spacing w:after="120"/>
              <w:ind w:firstLine="480"/>
              <w:jc w:val="both"/>
            </w:pPr>
            <w:r>
              <w:rPr>
                <w:rFonts w:ascii="仿宋_GB2312" w:hAnsi="仿宋_GB2312" w:cs="仿宋_GB2312" w:eastAsia="仿宋_GB2312"/>
                <w:sz w:val="24"/>
              </w:rPr>
              <w:t>1.项目管理及项目人员安排要求：严格按照施工管理要求进行管理，配备相应的专业技术人员进行施工，按照国家建筑工程质量验收标准进行质量控制管理，按照国家建筑工程验收程序进行。</w:t>
            </w:r>
          </w:p>
          <w:p>
            <w:pPr>
              <w:pStyle w:val="null3"/>
              <w:spacing w:after="120"/>
              <w:ind w:firstLine="480"/>
              <w:jc w:val="both"/>
            </w:pPr>
            <w:r>
              <w:rPr>
                <w:rFonts w:ascii="仿宋_GB2312" w:hAnsi="仿宋_GB2312" w:cs="仿宋_GB2312" w:eastAsia="仿宋_GB2312"/>
                <w:sz w:val="24"/>
              </w:rPr>
              <w:t>2.项目施工管理符合学校管理要求(以最终合同要求为准）。</w:t>
            </w:r>
          </w:p>
          <w:p>
            <w:pPr>
              <w:pStyle w:val="null3"/>
              <w:ind w:firstLine="480"/>
              <w:jc w:val="both"/>
            </w:pP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质量要求：</w:t>
            </w:r>
          </w:p>
          <w:p>
            <w:pPr>
              <w:pStyle w:val="null3"/>
              <w:spacing w:after="120"/>
              <w:ind w:firstLine="480"/>
              <w:jc w:val="both"/>
            </w:pPr>
            <w:r>
              <w:rPr>
                <w:rFonts w:ascii="仿宋_GB2312" w:hAnsi="仿宋_GB2312" w:cs="仿宋_GB2312" w:eastAsia="仿宋_GB2312"/>
                <w:sz w:val="24"/>
              </w:rPr>
              <w:t>1.质量标准：合格。</w:t>
            </w:r>
          </w:p>
          <w:p>
            <w:pPr>
              <w:pStyle w:val="null3"/>
              <w:spacing w:after="120"/>
              <w:ind w:firstLine="480"/>
              <w:jc w:val="both"/>
            </w:pPr>
            <w:r>
              <w:rPr>
                <w:rFonts w:ascii="仿宋_GB2312" w:hAnsi="仿宋_GB2312" w:cs="仿宋_GB2312" w:eastAsia="仿宋_GB2312"/>
                <w:sz w:val="24"/>
              </w:rPr>
              <w:t>2.验收程序：按照国家相关行业验收规范、程序执行。</w:t>
            </w:r>
          </w:p>
          <w:p>
            <w:pPr>
              <w:pStyle w:val="null3"/>
              <w:ind w:firstLine="480"/>
              <w:jc w:val="both"/>
            </w:pPr>
          </w:p>
        </w:tc>
      </w:tr>
    </w:tbl>
    <w:p>
      <w:pPr>
        <w:pStyle w:val="null3"/>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缺陷责任期：24个月</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供应商承诺函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具备建设行政主管部门颁发建筑工程施工总承包三级（含）以上资质或根据《住房和城乡建设部关于印发建设工程企业资质管理制度改革方案的通知》（[建市〔2020〕 94 号]）的规定已换发新证取得相应资质，且具有有效期内的安全生产许可证，并在人员、设备、资金等方面具有承担本项目施工的能力（提供资质证书复印件加盖公章、有效的安全生产许可证复印件加盖公章）。</w:t>
            </w:r>
          </w:p>
        </w:tc>
        <w:tc>
          <w:tcPr>
            <w:tcW w:type="dxa" w:w="3322"/>
          </w:tcPr>
          <w:p>
            <w:pPr>
              <w:pStyle w:val="null3"/>
              <w:jc w:val="left"/>
            </w:pPr>
            <w:r>
              <w:rPr>
                <w:rFonts w:ascii="仿宋_GB2312" w:hAnsi="仿宋_GB2312" w:cs="仿宋_GB2312" w:eastAsia="仿宋_GB2312"/>
              </w:rPr>
              <w:t>具备建设行政主管部门颁发建筑工程施工总承包三级（含）以上资质或根据《住房和城乡建设部关于印发建设工程企业资质管理制度改革方案的通知》（[建市〔2020〕 94 号]）的规定已换发新证取得相应资质，且具有有效期内的安全生产许可证，并在人员、设备、资金等方面具有承担本项目施工的能力（提供资质证书复印件加盖公章、有效的安全生产许可证复印件加盖公章）。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供应商拟任项目经理须具备建筑工程专业贰级（或以上级）注册建造师执业资格，且未担任其他在施建设工程项目的项目经理（证明材料：出具书面承诺，注册证书复印件加盖单位公章）；</w:t>
            </w:r>
          </w:p>
        </w:tc>
        <w:tc>
          <w:tcPr>
            <w:tcW w:type="dxa" w:w="3322"/>
          </w:tcPr>
          <w:p>
            <w:pPr>
              <w:pStyle w:val="null3"/>
              <w:jc w:val="left"/>
            </w:pPr>
            <w:r>
              <w:rPr>
                <w:rFonts w:ascii="仿宋_GB2312" w:hAnsi="仿宋_GB2312" w:cs="仿宋_GB2312" w:eastAsia="仿宋_GB2312"/>
              </w:rPr>
              <w:t>供应商拟任项目经理须具备建筑工程专业贰级（或以上级）注册建造师执业资格，且未担任其他在施建设工程项目的项目经理（证明材料：出具书面承诺，注册证书复印件加盖单位公章）；</w:t>
            </w:r>
          </w:p>
        </w:tc>
        <w:tc>
          <w:tcPr>
            <w:tcW w:type="dxa" w:w="1661"/>
          </w:tcPr>
          <w:p>
            <w:pPr>
              <w:pStyle w:val="null3"/>
              <w:jc w:val="left"/>
            </w:pPr>
            <w:r>
              <w:rPr>
                <w:rFonts w:ascii="仿宋_GB2312" w:hAnsi="仿宋_GB2312" w:cs="仿宋_GB2312" w:eastAsia="仿宋_GB2312"/>
              </w:rPr>
              <w:t>项目管理人员情况表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须具备《海南省建筑企业诚信档案手册》（应当根据《海南省建筑企业诚信档案手册管理办法》的规定，通过省住房和城乡建设厅网站（http：//www.hnjst.gov.cn/）登录海南省房屋建筑工程全过程监管信息平台填报项目名称、项目地址、派驻的项目班子人员信息，打印生成诚信档案手册）（提供诚信档案手册复印件加盖公章）；</w:t>
            </w:r>
          </w:p>
        </w:tc>
        <w:tc>
          <w:tcPr>
            <w:tcW w:type="dxa" w:w="3322"/>
          </w:tcPr>
          <w:p>
            <w:pPr>
              <w:pStyle w:val="null3"/>
              <w:jc w:val="left"/>
            </w:pPr>
            <w:r>
              <w:rPr>
                <w:rFonts w:ascii="仿宋_GB2312" w:hAnsi="仿宋_GB2312" w:cs="仿宋_GB2312" w:eastAsia="仿宋_GB2312"/>
              </w:rPr>
              <w:t>供应商须具备《海南省建筑企业诚信档案手册》（应当根据《海南省建筑企业诚信档案手册管理办法》的规定，通过省住房和城乡建设厅网站（http：//www.hnjst.gov.cn/）登录海南省房屋建筑工程全过程监管信息平台填报项目名称、项目地址、派驻的项目班子人员信息，打印生成诚信档案手册）（提供诚信档案手册复印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参加政府采购活动前三年内，没有环保类行政处罚记录：（提供声明函并加盖公章）;</w:t>
            </w:r>
          </w:p>
        </w:tc>
        <w:tc>
          <w:tcPr>
            <w:tcW w:type="dxa" w:w="3322"/>
          </w:tcPr>
          <w:p>
            <w:pPr>
              <w:pStyle w:val="null3"/>
              <w:jc w:val="left"/>
            </w:pPr>
            <w:r>
              <w:rPr>
                <w:rFonts w:ascii="仿宋_GB2312" w:hAnsi="仿宋_GB2312" w:cs="仿宋_GB2312" w:eastAsia="仿宋_GB2312"/>
              </w:rPr>
              <w:t>参加政府采购活动前三年内，没有环保类行政处罚记录：（提供声明函并加盖公章）;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本项目不接受联合体报价（提供承诺函并加盖公章（格式自拟））。</w:t>
            </w:r>
          </w:p>
        </w:tc>
        <w:tc>
          <w:tcPr>
            <w:tcW w:type="dxa" w:w="3322"/>
          </w:tcPr>
          <w:p>
            <w:pPr>
              <w:pStyle w:val="null3"/>
              <w:jc w:val="left"/>
            </w:pPr>
            <w:r>
              <w:rPr>
                <w:rFonts w:ascii="仿宋_GB2312" w:hAnsi="仿宋_GB2312" w:cs="仿宋_GB2312" w:eastAsia="仿宋_GB2312"/>
              </w:rPr>
              <w:t>本项目不接受联合体报价（提供承诺函并加盖公章（格式自拟））。</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项目管理人员情况表 开标（报价）一览表 中小企业声明函 商务应答表 技术方案 自觉抵制政府采购领域商业贿赂行为承诺书 封面 商业信誉、财务会计制度、缴纳税收和社保的承诺函 具有独立承担民事责任的能力证明文件 供应商承诺函 投标（响应）报价明细表 其他材料 残疾人福利性单位声明函 供应商应提交的相关证明材料 无重大违法记录声明函 法定代表人资格证明书或法定代表人授权委托书 供应商类似项目业绩一览表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无环保类行政处罚记录声明函 项目管理人员情况表 开标（报价）一览表 中小企业声明函 商务应答表 技术方案 自觉抵制政府采购领域商业贿赂行为承诺书 封面 商业信誉、财务会计制度、缴纳税收和社保的承诺函 具有独立承担民事责任的能力证明文件 供应商承诺函 投标（响应）报价明细表 其他材料 残疾人福利性单位声明函 供应商应提交的相关证明材料 无重大违法记录声明函 法定代表人资格证明书或法定代表人授权委托书 供应商类似项目业绩一览表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磋商有效期（从递交响应文件的截止之日起算）</w:t>
            </w:r>
          </w:p>
        </w:tc>
        <w:tc>
          <w:tcPr>
            <w:tcW w:type="dxa" w:w="3322"/>
          </w:tcPr>
          <w:p>
            <w:pPr>
              <w:pStyle w:val="null3"/>
              <w:jc w:val="left"/>
            </w:pPr>
            <w:r>
              <w:rPr>
                <w:rFonts w:ascii="仿宋_GB2312" w:hAnsi="仿宋_GB2312" w:cs="仿宋_GB2312" w:eastAsia="仿宋_GB2312"/>
              </w:rPr>
              <w:t>磋商有效期须满足供应商须知4.5.1要求。</w:t>
            </w:r>
          </w:p>
        </w:tc>
        <w:tc>
          <w:tcPr>
            <w:tcW w:type="dxa" w:w="1661"/>
          </w:tcPr>
          <w:p>
            <w:pPr>
              <w:pStyle w:val="null3"/>
              <w:jc w:val="left"/>
            </w:pPr>
            <w:r>
              <w:rPr>
                <w:rFonts w:ascii="仿宋_GB2312" w:hAnsi="仿宋_GB2312" w:cs="仿宋_GB2312" w:eastAsia="仿宋_GB2312"/>
              </w:rPr>
              <w:t>供应商承诺函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无环保类行政处罚记录声明函 项目管理人员情况表 开标（报价）一览表 中小企业声明函 商务应答表 技术方案 自觉抵制政府采购领域商业贿赂行为承诺书 封面 商业信誉、财务会计制度、缴纳税收和社保的承诺函 具有独立承担民事责任的能力证明文件 供应商承诺函 投标（响应）报价明细表 其他材料 残疾人福利性单位声明函 供应商应提交的相关证明材料 无重大违法记录声明函 法定代表人资格证明书或法定代表人授权委托书 供应商类似项目业绩一览表 监狱企业的证明文件 具备履行合同所必需设备和专业技术能力的声明函</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技术部分62.00分</w:t>
            </w:r>
          </w:p>
          <w:p>
            <w:pPr>
              <w:pStyle w:val="null3"/>
              <w:jc w:val="left"/>
            </w:pPr>
            <w:r>
              <w:rPr>
                <w:rFonts w:ascii="仿宋_GB2312" w:hAnsi="仿宋_GB2312" w:cs="仿宋_GB2312" w:eastAsia="仿宋_GB2312"/>
              </w:rPr>
              <w:t>商务部分8.00分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文明施工、环境保护管理体系方案</w:t>
            </w:r>
          </w:p>
        </w:tc>
        <w:tc>
          <w:tcPr>
            <w:tcW w:type="dxa" w:w="2492"/>
          </w:tcPr>
          <w:p>
            <w:pPr>
              <w:pStyle w:val="null3"/>
              <w:jc w:val="left"/>
            </w:pPr>
            <w:r>
              <w:rPr>
                <w:rFonts w:ascii="仿宋_GB2312" w:hAnsi="仿宋_GB2312" w:cs="仿宋_GB2312" w:eastAsia="仿宋_GB2312"/>
              </w:rPr>
              <w:t>供应商根据项目实际情况提供文明施工、环境保护管理体系方案，评委小组根据供应商提供的方案进行评比赋分，方案应包含但不限于：（1）部门职责；（2）工作制度；（3）管理控制措施；（4）环境保护措施；提供上述1-4小项，各小项内容齐全无缺陷。每小项得2.5分（各小项独立评分），满分10分；方案每存在一处缺陷扣0.5分，扣完为止。（缺陷是指：表述不完整性，与采购需求毫无关联；内容不适用 本项目特性；缺乏可操作性；内容缺少关键节点；套用其他项目内容；对同一问题前后表述矛盾；存在逻辑漏洞、科学原理或常识错误；涉及的规范及标准错误；不利于本项目目标的实现；现有技术条件下不可能出现的情形等任意一种情形）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工程进度计划与措施方案</w:t>
            </w:r>
          </w:p>
        </w:tc>
        <w:tc>
          <w:tcPr>
            <w:tcW w:type="dxa" w:w="2492"/>
          </w:tcPr>
          <w:p>
            <w:pPr>
              <w:pStyle w:val="null3"/>
              <w:jc w:val="left"/>
            </w:pPr>
            <w:r>
              <w:rPr>
                <w:rFonts w:ascii="仿宋_GB2312" w:hAnsi="仿宋_GB2312" w:cs="仿宋_GB2312" w:eastAsia="仿宋_GB2312"/>
              </w:rPr>
              <w:t>供应商根据项目实际情况提供工程进度计划与措施方案，评委小组根据供应商提供的方案进行评比赋分，方案应包含但不限于：（1）进度控制措施；（2）进度计划图表；（3）进度风险评估与应对；（4）进度计划编制依据；提供上述1-4小项，各小项内容齐全无缺陷。每小项得5分（各小项独立评分），满分20分；方案每存在一处缺陷扣1分，扣完为止。（缺陷是指：表述不完整性，与采购需求毫无关联；内容不适用 本项目特性；缺乏可操作性；内容缺少关键节点；套用其他项目内容；对同一问题前后表述矛盾；存在逻辑漏洞、科学原理或常识错误；涉及的规范及标准错误；不利于本项目目标的实现；现有技术条件下不可能出现的情形等任意一种情形）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492"/>
          </w:tcPr>
          <w:p>
            <w:pPr>
              <w:pStyle w:val="null3"/>
              <w:jc w:val="left"/>
            </w:pPr>
            <w:r>
              <w:rPr>
                <w:rFonts w:ascii="仿宋_GB2312" w:hAnsi="仿宋_GB2312" w:cs="仿宋_GB2312" w:eastAsia="仿宋_GB2312"/>
              </w:rPr>
              <w:t>供应商根据项目实际情况提供应急方案，评委小组根据供应商提供的方案进行评比赋分，方案应包含但不限于：（1）应急组织机构及职责；（2）风险评估与预警；（3）应急资源保障；（4）后期处置；提供上述1-4小项，各小项内容齐全无缺陷。每小项得2.5分（各小项独立评分），满分10分；方案每存在一处缺陷扣0.5分，扣完为止。（缺陷是指：表述不完整性，与采购需求毫无关联；内容不适用 本项目特性；缺乏可操作性；内容缺少关键节点；套用其他项目内容；对同一问题前后表述矛盾；存在逻辑漏洞、科学原理或常识错误；涉及的规范及标准错误；不利于本项目目标的实现；现有技术条件下不可能出现的情形等任意一种情形）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安全管理体系方案</w:t>
            </w:r>
          </w:p>
        </w:tc>
        <w:tc>
          <w:tcPr>
            <w:tcW w:type="dxa" w:w="2492"/>
          </w:tcPr>
          <w:p>
            <w:pPr>
              <w:pStyle w:val="null3"/>
              <w:jc w:val="left"/>
            </w:pPr>
            <w:r>
              <w:rPr>
                <w:rFonts w:ascii="仿宋_GB2312" w:hAnsi="仿宋_GB2312" w:cs="仿宋_GB2312" w:eastAsia="仿宋_GB2312"/>
              </w:rPr>
              <w:t>供应商根据项目实际情况提供安全管理体系方案，评委小组根据供应商提供的方案进行评比赋分，方案应包含但不限于：（1）安全检查和审核；（2）风险管理；（3）安全教育培训；（4）安全操作规程；提供上述1-4小项，各小项内容齐全无缺陷。每小项得3分（各小项独立评分），满分12分；方案每存在一处缺陷扣0.6分，扣完为止。（缺陷是指：表述不完整性，与采购需求毫无关联；内容不适用 本项目特性；缺乏可操作性；内容缺少关键节点；套用其他项目内容；对同一问题前后表述矛盾；存在逻辑漏洞、科学原理或常识错误；涉及的规范及标准错误；不利于本项目目标的实现；现有技术条件下不可能出现的情形等任意一种情形）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质量管理体系与措施方案</w:t>
            </w:r>
          </w:p>
        </w:tc>
        <w:tc>
          <w:tcPr>
            <w:tcW w:type="dxa" w:w="2492"/>
          </w:tcPr>
          <w:p>
            <w:pPr>
              <w:pStyle w:val="null3"/>
              <w:jc w:val="left"/>
            </w:pPr>
            <w:r>
              <w:rPr>
                <w:rFonts w:ascii="仿宋_GB2312" w:hAnsi="仿宋_GB2312" w:cs="仿宋_GB2312" w:eastAsia="仿宋_GB2312"/>
              </w:rPr>
              <w:t>供应商根据项目实际情况提供质量管理体系与措施方案，评委小组根据供应商提供的方案进行评比赋分，方案应包含但不限于：（1）质量管理制度和流程；（2）资源管理；（3）联络协调系统；（4）质量方针和目标提供上述1-4小项，各小项内容齐全无缺陷。每小项得2.5分（各小项独立评分），满分10分；方案每存在一处缺陷扣0.5分，扣完为止。（缺陷是指：表述不完整性，与采购需求毫无关联；内容不适用 本项目特性；缺乏可操作性；内容缺少关键节点；套用其他项目内容；对同一问题前后表述矛盾；存在逻辑漏洞、科学原理或常识错误；涉及的规范及标准错误；不利于本项目目标的实现；现有技术条件下不可能出现的情形等任意一种情形）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类似业绩</w:t>
            </w:r>
          </w:p>
        </w:tc>
        <w:tc>
          <w:tcPr>
            <w:tcW w:type="dxa" w:w="2492"/>
          </w:tcPr>
          <w:p>
            <w:pPr>
              <w:pStyle w:val="null3"/>
              <w:jc w:val="left"/>
            </w:pPr>
            <w:r>
              <w:rPr>
                <w:rFonts w:ascii="仿宋_GB2312" w:hAnsi="仿宋_GB2312" w:cs="仿宋_GB2312" w:eastAsia="仿宋_GB2312"/>
              </w:rPr>
              <w:t>2022年1月以来（以合同签订日期为准），投标供应商承接过类似项目业绩，每提供一个得4分，满分8分。 证明材料:提供合同复印件并加盖公章。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详见附件：《建设工程施工合同（示范文本）》（GF-2017-0201）.docx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HNZJC2025-GC(HK)-054</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海南中学教学楼和办公楼走廊过道、第一食堂屋面维修改造项目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海南中学教学楼和办公楼走廊过道、第一食堂屋面维修改造项目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施工范围</w:t>
            </w:r>
          </w:p>
        </w:tc>
        <w:tc>
          <w:tcPr>
            <w:tcW w:type="dxa" w:w="1038"/>
          </w:tcPr>
          <w:p>
            <w:pPr>
              <w:pStyle w:val="null3"/>
              <w:jc w:val="left"/>
            </w:pPr>
            <w:r>
              <w:rPr>
                <w:rFonts w:ascii="仿宋_GB2312" w:hAnsi="仿宋_GB2312" w:cs="仿宋_GB2312" w:eastAsia="仿宋_GB2312"/>
              </w:rPr>
              <w:t xml:space="preserve"> 施工工期</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B08010000-房屋修缮</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2084235.3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详见附件：项目管理人员情况表</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详见附件：供应商类似项目业绩一览表</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