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6E05">
      <w:pPr>
        <w:pStyle w:val="5"/>
        <w:numPr>
          <w:ilvl w:val="0"/>
          <w:numId w:val="0"/>
        </w:numPr>
        <w:ind w:leftChars="0"/>
        <w:jc w:val="center"/>
        <w:outlineLvl w:val="2"/>
        <w:rPr>
          <w:rFonts w:hint="eastAsia" w:ascii="宋体" w:hAnsi="宋体" w:eastAsia="宋体" w:cs="宋体"/>
          <w:b/>
          <w:sz w:val="32"/>
          <w:szCs w:val="32"/>
        </w:rPr>
      </w:pPr>
      <w:bookmarkStart w:id="0" w:name="_Toc17763"/>
      <w:r>
        <w:rPr>
          <w:rFonts w:hint="eastAsia" w:ascii="宋体" w:hAnsi="宋体" w:cs="宋体"/>
          <w:b/>
          <w:sz w:val="32"/>
          <w:szCs w:val="32"/>
          <w:lang w:val="en-US" w:eastAsia="zh-CN"/>
        </w:rPr>
        <w:t>供应商须提供下列重要参数指标（▲号的参数指标）</w:t>
      </w:r>
      <w:r>
        <w:rPr>
          <w:rFonts w:hint="eastAsia" w:ascii="宋体" w:hAnsi="宋体" w:eastAsia="宋体" w:cs="宋体"/>
          <w:b/>
          <w:sz w:val="32"/>
          <w:szCs w:val="32"/>
        </w:rPr>
        <w:t>功能操作界面截图</w:t>
      </w:r>
      <w:bookmarkEnd w:id="0"/>
      <w:r>
        <w:rPr>
          <w:rFonts w:hint="eastAsia" w:ascii="宋体" w:hAnsi="宋体" w:eastAsia="宋体" w:cs="宋体"/>
          <w:b/>
          <w:sz w:val="32"/>
          <w:szCs w:val="32"/>
        </w:rPr>
        <w:t>，并加盖制造商公章</w:t>
      </w:r>
      <w:bookmarkStart w:id="1" w:name="_GoBack"/>
      <w:bookmarkEnd w:id="1"/>
    </w:p>
    <w:tbl>
      <w:tblPr>
        <w:tblStyle w:val="3"/>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99"/>
        <w:gridCol w:w="1106"/>
        <w:gridCol w:w="5835"/>
        <w:gridCol w:w="1519"/>
      </w:tblGrid>
      <w:tr w14:paraId="63DA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5" w:hRule="atLeast"/>
          <w:tblHeader/>
          <w:jc w:val="center"/>
        </w:trPr>
        <w:tc>
          <w:tcPr>
            <w:tcW w:w="699" w:type="dxa"/>
            <w:noWrap/>
            <w:vAlign w:val="center"/>
          </w:tcPr>
          <w:p w14:paraId="60667B45">
            <w:pPr>
              <w:adjustRightInd w:val="0"/>
              <w:snapToGrid w:val="0"/>
              <w:spacing w:line="440" w:lineRule="exact"/>
              <w:jc w:val="center"/>
              <w:rPr>
                <w:rFonts w:ascii="宋体" w:hAnsi="宋体" w:cs="宋体"/>
                <w:b/>
                <w:bCs/>
                <w:szCs w:val="21"/>
              </w:rPr>
            </w:pPr>
            <w:r>
              <w:rPr>
                <w:rFonts w:hint="eastAsia" w:ascii="宋体" w:hAnsi="宋体" w:cs="宋体"/>
                <w:b/>
                <w:bCs/>
                <w:szCs w:val="21"/>
              </w:rPr>
              <w:t>序号</w:t>
            </w:r>
          </w:p>
        </w:tc>
        <w:tc>
          <w:tcPr>
            <w:tcW w:w="1106" w:type="dxa"/>
            <w:noWrap/>
            <w:vAlign w:val="center"/>
          </w:tcPr>
          <w:p w14:paraId="0CCB5C07">
            <w:pPr>
              <w:adjustRightInd w:val="0"/>
              <w:snapToGrid w:val="0"/>
              <w:spacing w:line="440" w:lineRule="exact"/>
              <w:jc w:val="center"/>
              <w:rPr>
                <w:rFonts w:ascii="宋体" w:hAnsi="宋体" w:cs="宋体"/>
                <w:b/>
                <w:bCs/>
                <w:szCs w:val="21"/>
              </w:rPr>
            </w:pPr>
            <w:r>
              <w:rPr>
                <w:rFonts w:hint="eastAsia" w:ascii="宋体" w:hAnsi="宋体" w:cs="宋体"/>
                <w:b/>
                <w:bCs/>
                <w:szCs w:val="21"/>
              </w:rPr>
              <w:t>产品名称</w:t>
            </w:r>
          </w:p>
        </w:tc>
        <w:tc>
          <w:tcPr>
            <w:tcW w:w="5835" w:type="dxa"/>
            <w:noWrap/>
            <w:vAlign w:val="center"/>
          </w:tcPr>
          <w:p w14:paraId="3931EF57">
            <w:pPr>
              <w:adjustRightInd w:val="0"/>
              <w:snapToGrid w:val="0"/>
              <w:spacing w:line="440" w:lineRule="exact"/>
              <w:jc w:val="center"/>
              <w:rPr>
                <w:rFonts w:ascii="宋体" w:hAnsi="宋体" w:cs="宋体"/>
                <w:b/>
                <w:bCs/>
                <w:szCs w:val="21"/>
              </w:rPr>
            </w:pPr>
            <w:r>
              <w:rPr>
                <w:rFonts w:hint="eastAsia" w:ascii="宋体" w:hAnsi="宋体" w:cs="宋体"/>
                <w:b/>
                <w:bCs/>
                <w:szCs w:val="21"/>
              </w:rPr>
              <w:t>功能要求与技术参数</w:t>
            </w:r>
          </w:p>
        </w:tc>
        <w:tc>
          <w:tcPr>
            <w:tcW w:w="1519" w:type="dxa"/>
            <w:noWrap/>
            <w:vAlign w:val="center"/>
          </w:tcPr>
          <w:p w14:paraId="21348E0F">
            <w:pPr>
              <w:adjustRightInd w:val="0"/>
              <w:snapToGrid w:val="0"/>
              <w:spacing w:line="440" w:lineRule="exact"/>
              <w:jc w:val="center"/>
              <w:rPr>
                <w:rFonts w:hint="eastAsia" w:ascii="宋体" w:hAnsi="宋体" w:eastAsia="宋体" w:cs="宋体"/>
                <w:b/>
                <w:bCs/>
                <w:szCs w:val="21"/>
                <w:lang w:val="en-US" w:eastAsia="zh-CN"/>
              </w:rPr>
            </w:pPr>
            <w:r>
              <w:rPr>
                <w:rFonts w:hint="eastAsia" w:ascii="宋体" w:hAnsi="宋体" w:cs="宋体"/>
                <w:b/>
                <w:bCs/>
                <w:szCs w:val="21"/>
                <w:lang w:val="en-US" w:eastAsia="zh-CN"/>
              </w:rPr>
              <w:t>证明材料</w:t>
            </w:r>
          </w:p>
        </w:tc>
      </w:tr>
      <w:tr w14:paraId="26BBF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68BCB2FA">
            <w:pPr>
              <w:adjustRightInd w:val="0"/>
              <w:snapToGrid w:val="0"/>
              <w:spacing w:line="440" w:lineRule="exact"/>
              <w:jc w:val="center"/>
              <w:rPr>
                <w:rFonts w:ascii="宋体" w:hAnsi="宋体" w:cs="宋体"/>
                <w:szCs w:val="21"/>
              </w:rPr>
            </w:pPr>
            <w:r>
              <w:rPr>
                <w:rFonts w:hint="eastAsia" w:ascii="宋体" w:hAnsi="宋体" w:cs="宋体"/>
                <w:szCs w:val="21"/>
              </w:rPr>
              <w:t>1</w:t>
            </w:r>
          </w:p>
        </w:tc>
        <w:tc>
          <w:tcPr>
            <w:tcW w:w="1106" w:type="dxa"/>
            <w:noWrap/>
            <w:vAlign w:val="center"/>
          </w:tcPr>
          <w:p w14:paraId="253CCC40">
            <w:pPr>
              <w:adjustRightInd w:val="0"/>
              <w:snapToGrid w:val="0"/>
              <w:spacing w:line="440" w:lineRule="exact"/>
              <w:rPr>
                <w:rFonts w:ascii="宋体" w:hAnsi="宋体" w:cs="宋体"/>
                <w:szCs w:val="21"/>
              </w:rPr>
            </w:pPr>
            <w:r>
              <w:rPr>
                <w:rFonts w:hint="eastAsia" w:ascii="宋体" w:hAnsi="宋体" w:cs="宋体"/>
                <w:color w:val="auto"/>
                <w:kern w:val="0"/>
                <w:sz w:val="21"/>
                <w:szCs w:val="21"/>
              </w:rPr>
              <w:t>智慧财务云平台</w:t>
            </w:r>
          </w:p>
        </w:tc>
        <w:tc>
          <w:tcPr>
            <w:tcW w:w="5835" w:type="dxa"/>
            <w:noWrap/>
            <w:vAlign w:val="center"/>
          </w:tcPr>
          <w:p w14:paraId="0D659BB7">
            <w:pPr>
              <w:widowControl/>
              <w:adjustRightInd w:val="0"/>
              <w:snapToGrid w:val="0"/>
              <w:spacing w:line="440" w:lineRule="exact"/>
              <w:rPr>
                <w:rFonts w:ascii="宋体" w:hAnsi="宋体" w:cs="宋体"/>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智慧财务情景实战模块：是由智能硬件财务机器人进行外部票据扫描后，扫描结果自动上传至智能云报账模块，通过云服务器进行人工智能票据识别并进行票据入库，通过预设的基础设置模板自动生成会计凭证，同时将Excel编制的内部原始单据导入智能记账模块进行记账凭证自动生成，然后进行审核凭证、智能记账、智能结账、智能出具报表，最后完成财务智能分析；</w:t>
            </w:r>
          </w:p>
        </w:tc>
        <w:tc>
          <w:tcPr>
            <w:tcW w:w="1519" w:type="dxa"/>
            <w:noWrap/>
            <w:vAlign w:val="center"/>
          </w:tcPr>
          <w:p w14:paraId="31B3CFF8">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698B8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37ED2C24">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106" w:type="dxa"/>
            <w:noWrap/>
            <w:vAlign w:val="center"/>
          </w:tcPr>
          <w:p w14:paraId="5C4BFF24">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14E65E14">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▲12.3.4 提供统计分析功能，可以统计教学班下所有学生每个章节的得分统计，统计信息包含：得分率20%以下的人数、得分率20%-60%的人数、得分率60%-80%的人数和得分率80%以上的人数，提供通过点击单个章节目录获取单个章节下得分率统计信息；</w:t>
            </w:r>
          </w:p>
        </w:tc>
        <w:tc>
          <w:tcPr>
            <w:tcW w:w="1519" w:type="dxa"/>
            <w:noWrap/>
            <w:vAlign w:val="center"/>
          </w:tcPr>
          <w:p w14:paraId="343AE314">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3E6C1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6342F032">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106" w:type="dxa"/>
            <w:noWrap/>
            <w:vAlign w:val="center"/>
          </w:tcPr>
          <w:p w14:paraId="5DCADA36">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764780E6">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b w:val="0"/>
                <w:bCs w:val="0"/>
                <w:i w:val="0"/>
                <w:iCs w:val="0"/>
                <w:color w:val="000000" w:themeColor="text1"/>
                <w:kern w:val="0"/>
                <w:sz w:val="21"/>
                <w:szCs w:val="21"/>
                <w:u w:val="none"/>
                <w:lang w:val="en-US" w:eastAsia="zh-CN" w:bidi="ar"/>
                <w14:textFill>
                  <w14:solidFill>
                    <w14:schemeClr w14:val="tx1"/>
                  </w14:solidFill>
                </w14:textFill>
              </w:rPr>
              <w:t>▲12.3.6 提供试卷管理功能，支持新增、修改和删除试卷功能，试卷内题目支持手动添加，也可通过筛选章节范围、题型、题数等信息随机从其他现有题目中抽取的功能；</w:t>
            </w:r>
          </w:p>
        </w:tc>
        <w:tc>
          <w:tcPr>
            <w:tcW w:w="1519" w:type="dxa"/>
            <w:noWrap/>
            <w:vAlign w:val="center"/>
          </w:tcPr>
          <w:p w14:paraId="6E09DB2D">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4048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516E4B9C">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1106" w:type="dxa"/>
            <w:noWrap/>
            <w:vAlign w:val="center"/>
          </w:tcPr>
          <w:p w14:paraId="38443455">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568A8740">
            <w:pPr>
              <w:widowControl/>
              <w:adjustRightInd w:val="0"/>
              <w:snapToGrid w:val="0"/>
              <w:spacing w:line="440" w:lineRule="exact"/>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平台内嵌互动小游戏模块，主要有以下功能：</w:t>
            </w:r>
          </w:p>
          <w:p w14:paraId="64A765FC">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13.1 提供多个终端使用功能：游戏支持电脑、手机等终端使用；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13.2 在线游戏互动功能：学生可通过手机扫描系统的中会计游戏二维码，实现在手机上进行随堂游戏的互动体验；</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13.3 竞赛排行功能：支持竞赛比拼并提供排行，增加课堂趣味性，可重复进行游戏；</w:t>
            </w:r>
          </w:p>
        </w:tc>
        <w:tc>
          <w:tcPr>
            <w:tcW w:w="1519" w:type="dxa"/>
            <w:noWrap/>
            <w:vAlign w:val="center"/>
          </w:tcPr>
          <w:p w14:paraId="5E49D902">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6075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760000A1">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106" w:type="dxa"/>
            <w:noWrap/>
            <w:vAlign w:val="center"/>
          </w:tcPr>
          <w:p w14:paraId="402CA553">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32B44945">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 平台配套提供终端载体单机版内置微课制作功能：</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14.1 可直接导入PPT并保留PPT所有动画效果，生成视频微课；</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14.2 制作过程可自动录音，可合成至生成的视频微课中；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14.3 微课制作时支持两个摄像头切换录制，第一摄像头和第二摄像头可随时切换录制现场人像或现场展示资料，录制内容可合成至生成的视频微课中；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14.4 微课制作过程中可随时板书，录制板书操作，并合成到生成的视频微课；</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14.5 微课保存为视频时，可选择添加背景音乐，使制作的微课全程具有背景音乐效果，背景音乐提供多种选择；</w:t>
            </w:r>
          </w:p>
        </w:tc>
        <w:tc>
          <w:tcPr>
            <w:tcW w:w="1519" w:type="dxa"/>
            <w:noWrap/>
            <w:vAlign w:val="center"/>
          </w:tcPr>
          <w:p w14:paraId="50C61E7A">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66190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3265D177">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1106" w:type="dxa"/>
            <w:noWrap/>
            <w:vAlign w:val="center"/>
          </w:tcPr>
          <w:p w14:paraId="3AAD04B5">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26D3755F">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工业企业：以《企业会计准则》核算的增值税一般纳税人，以生产组装销售PC主机、LED显示器等电脑设备的轻工业企业。材料领用、产品成本核算是工业企业相对较复杂的业务，需要准确掌握产品成本核算的相关方法和实务操作；</w:t>
            </w:r>
          </w:p>
        </w:tc>
        <w:tc>
          <w:tcPr>
            <w:tcW w:w="1519" w:type="dxa"/>
            <w:noWrap/>
            <w:vAlign w:val="center"/>
          </w:tcPr>
          <w:p w14:paraId="336F821A">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4D06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07284215">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7</w:t>
            </w:r>
          </w:p>
        </w:tc>
        <w:tc>
          <w:tcPr>
            <w:tcW w:w="1106" w:type="dxa"/>
            <w:noWrap/>
            <w:vAlign w:val="center"/>
          </w:tcPr>
          <w:p w14:paraId="692546B2">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4D90EA5B">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b w:val="0"/>
                <w:bCs w:val="0"/>
                <w:i w:val="0"/>
                <w:iCs w:val="0"/>
                <w:color w:val="000000" w:themeColor="text1"/>
                <w:kern w:val="0"/>
                <w:sz w:val="21"/>
                <w:szCs w:val="21"/>
                <w:u w:val="none"/>
                <w:lang w:val="en-US" w:eastAsia="zh-CN" w:bidi="ar"/>
                <w14:textFill>
                  <w14:solidFill>
                    <w14:schemeClr w14:val="tx1"/>
                  </w14:solidFill>
                </w14:textFill>
              </w:rPr>
              <w:t>▲1.2 具备智能记账功能，录入一段文字就可智能分析出交易日期、交易金额、收支科目、对方单位、部门、经办人，并且根据部门分析收支科目为销售费用、管理费用等；</w:t>
            </w:r>
          </w:p>
        </w:tc>
        <w:tc>
          <w:tcPr>
            <w:tcW w:w="1519" w:type="dxa"/>
            <w:noWrap/>
            <w:vAlign w:val="center"/>
          </w:tcPr>
          <w:p w14:paraId="622EC8F1">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387D5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3DB11F95">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8</w:t>
            </w:r>
          </w:p>
        </w:tc>
        <w:tc>
          <w:tcPr>
            <w:tcW w:w="1106" w:type="dxa"/>
            <w:noWrap/>
            <w:vAlign w:val="center"/>
          </w:tcPr>
          <w:p w14:paraId="1D4ECADA">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65C5B07D">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 能生成月报表，按柱状图显示13个月收入、支出、利 润、账面余额；可同时选取5个收支科目进行13个月对比，以曲线图方式展示数据的变化趋势及相互作用关系；能将月报表导出成Excel文件格式；</w:t>
            </w:r>
          </w:p>
        </w:tc>
        <w:tc>
          <w:tcPr>
            <w:tcW w:w="1519" w:type="dxa"/>
            <w:noWrap/>
            <w:vAlign w:val="center"/>
          </w:tcPr>
          <w:p w14:paraId="60B949C4">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66A6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0582EFC8">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9</w:t>
            </w:r>
          </w:p>
        </w:tc>
        <w:tc>
          <w:tcPr>
            <w:tcW w:w="1106" w:type="dxa"/>
            <w:noWrap/>
            <w:vAlign w:val="center"/>
          </w:tcPr>
          <w:p w14:paraId="6CB75E74">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39303440">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 支持打印送货单，送货单可根据需要设置是否显示单价、金额，送货单上打印二维码，通过微信扫一扫查看电子送货单；</w:t>
            </w:r>
          </w:p>
        </w:tc>
        <w:tc>
          <w:tcPr>
            <w:tcW w:w="1519" w:type="dxa"/>
            <w:noWrap/>
            <w:vAlign w:val="center"/>
          </w:tcPr>
          <w:p w14:paraId="594CBC70">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2279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176AC562">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10</w:t>
            </w:r>
          </w:p>
        </w:tc>
        <w:tc>
          <w:tcPr>
            <w:tcW w:w="1106" w:type="dxa"/>
            <w:noWrap/>
            <w:vAlign w:val="center"/>
          </w:tcPr>
          <w:p w14:paraId="5CB76440">
            <w:pPr>
              <w:adjustRightInd w:val="0"/>
              <w:snapToGrid w:val="0"/>
              <w:spacing w:line="440" w:lineRule="exact"/>
              <w:rPr>
                <w:rFonts w:hint="eastAsia" w:ascii="宋体" w:hAnsi="宋体" w:cs="宋体"/>
                <w:color w:val="auto"/>
                <w:kern w:val="0"/>
                <w:sz w:val="21"/>
                <w:szCs w:val="21"/>
              </w:rPr>
            </w:pPr>
            <w:r>
              <w:rPr>
                <w:rFonts w:hint="eastAsia" w:ascii="宋体" w:hAnsi="宋体" w:cs="宋体"/>
                <w:color w:val="auto"/>
                <w:kern w:val="0"/>
                <w:sz w:val="21"/>
                <w:szCs w:val="21"/>
              </w:rPr>
              <w:t>智慧财务云平台</w:t>
            </w:r>
          </w:p>
        </w:tc>
        <w:tc>
          <w:tcPr>
            <w:tcW w:w="5835" w:type="dxa"/>
            <w:noWrap/>
            <w:vAlign w:val="center"/>
          </w:tcPr>
          <w:p w14:paraId="650703F7">
            <w:pPr>
              <w:widowControl/>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▲3.3 能物品统计报表，按月份统计并列表显示出每一种物品的月初余额、本月入库、本月出库、月末库存余额；支持用曲线图表显示出某一种物品在13个月内入库、出库的曲线；</w:t>
            </w:r>
          </w:p>
        </w:tc>
        <w:tc>
          <w:tcPr>
            <w:tcW w:w="1519" w:type="dxa"/>
            <w:noWrap/>
            <w:vAlign w:val="center"/>
          </w:tcPr>
          <w:p w14:paraId="7EE93997">
            <w:pPr>
              <w:widowControl/>
              <w:adjustRightInd w:val="0"/>
              <w:snapToGrid w:val="0"/>
              <w:spacing w:line="440" w:lineRule="exact"/>
              <w:jc w:val="both"/>
              <w:rPr>
                <w:rFonts w:hint="default" w:ascii="宋体" w:hAnsi="宋体" w:eastAsia="宋体" w:cs="宋体"/>
                <w:szCs w:val="21"/>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7588F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76CE2634">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11</w:t>
            </w:r>
          </w:p>
        </w:tc>
        <w:tc>
          <w:tcPr>
            <w:tcW w:w="1106" w:type="dxa"/>
            <w:noWrap/>
            <w:vAlign w:val="center"/>
          </w:tcPr>
          <w:p w14:paraId="1C1C8BD8">
            <w:pPr>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财务机器人</w:t>
            </w:r>
          </w:p>
        </w:tc>
        <w:tc>
          <w:tcPr>
            <w:tcW w:w="5835" w:type="dxa"/>
            <w:noWrap/>
            <w:vAlign w:val="center"/>
          </w:tcPr>
          <w:p w14:paraId="6E0B85CF">
            <w:pPr>
              <w:widowControl/>
              <w:adjustRightInd w:val="0"/>
              <w:snapToGrid w:val="0"/>
              <w:spacing w:line="440" w:lineRule="exact"/>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▲2.提供票据拍摄上传、查看票据进度功能；</w:t>
            </w:r>
          </w:p>
        </w:tc>
        <w:tc>
          <w:tcPr>
            <w:tcW w:w="1519" w:type="dxa"/>
            <w:noWrap/>
            <w:vAlign w:val="center"/>
          </w:tcPr>
          <w:p w14:paraId="14B42D0B">
            <w:pPr>
              <w:widowControl/>
              <w:adjustRightInd w:val="0"/>
              <w:snapToGrid w:val="0"/>
              <w:spacing w:line="440" w:lineRule="exact"/>
              <w:jc w:val="both"/>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0BCA2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67853FA2">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12</w:t>
            </w:r>
          </w:p>
        </w:tc>
        <w:tc>
          <w:tcPr>
            <w:tcW w:w="1106" w:type="dxa"/>
            <w:noWrap/>
            <w:vAlign w:val="center"/>
          </w:tcPr>
          <w:p w14:paraId="365AEAF6">
            <w:pPr>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财务机器人</w:t>
            </w:r>
          </w:p>
        </w:tc>
        <w:tc>
          <w:tcPr>
            <w:tcW w:w="5835" w:type="dxa"/>
            <w:noWrap/>
            <w:vAlign w:val="center"/>
          </w:tcPr>
          <w:p w14:paraId="79B1DCC4">
            <w:pPr>
              <w:widowControl/>
              <w:adjustRightInd w:val="0"/>
              <w:snapToGrid w:val="0"/>
              <w:spacing w:line="440" w:lineRule="exact"/>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▲3.提供“实训模式”和“演示模式”两种模式配合教学：</w:t>
            </w:r>
          </w:p>
          <w:p w14:paraId="5854EC7B">
            <w:pPr>
              <w:widowControl/>
              <w:adjustRightInd w:val="0"/>
              <w:snapToGrid w:val="0"/>
              <w:spacing w:line="440" w:lineRule="exact"/>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实训模式”：主要通过财务机器人拍摄扫描上传至智能云报账模块进行识别自动生成会计预处理凭证，并推送至智能记账模块。实训模式免费提供九个行业脱敏账套的单据扫描，可不限次数地进行反复扫描识别使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3.2“演示模式”：主要通过财务机器人拍摄扫描现实票据并上传至智能云报账模块进行识别自动生成会计预处理凭证，并推送至智能记账模块。</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要求：需和智慧财务云平台搭配使用。</w:t>
            </w:r>
          </w:p>
        </w:tc>
        <w:tc>
          <w:tcPr>
            <w:tcW w:w="1519" w:type="dxa"/>
            <w:noWrap/>
            <w:vAlign w:val="center"/>
          </w:tcPr>
          <w:p w14:paraId="6BCC874E">
            <w:pPr>
              <w:widowControl/>
              <w:adjustRightInd w:val="0"/>
              <w:snapToGrid w:val="0"/>
              <w:spacing w:line="440" w:lineRule="exact"/>
              <w:jc w:val="both"/>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522A4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0D819831">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13</w:t>
            </w:r>
          </w:p>
        </w:tc>
        <w:tc>
          <w:tcPr>
            <w:tcW w:w="1106" w:type="dxa"/>
            <w:noWrap/>
            <w:vAlign w:val="center"/>
          </w:tcPr>
          <w:p w14:paraId="0E3CFFD9">
            <w:pPr>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税务综合赛训平台软件（题库）</w:t>
            </w:r>
          </w:p>
        </w:tc>
        <w:tc>
          <w:tcPr>
            <w:tcW w:w="5835" w:type="dxa"/>
            <w:noWrap/>
            <w:vAlign w:val="center"/>
          </w:tcPr>
          <w:p w14:paraId="2D2C45F7">
            <w:pPr>
              <w:widowControl/>
              <w:adjustRightInd w:val="0"/>
              <w:snapToGrid w:val="0"/>
              <w:spacing w:line="440" w:lineRule="exact"/>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系统包括信息中心、业务协同、开票系统、电子税务局系统、增值税发票综合服务平台系统、自然人税收管理系统、会计信息化、评价系统等模块；</w:t>
            </w:r>
          </w:p>
        </w:tc>
        <w:tc>
          <w:tcPr>
            <w:tcW w:w="1519" w:type="dxa"/>
            <w:noWrap/>
            <w:vAlign w:val="center"/>
          </w:tcPr>
          <w:p w14:paraId="708BA009">
            <w:pPr>
              <w:widowControl/>
              <w:adjustRightInd w:val="0"/>
              <w:snapToGrid w:val="0"/>
              <w:spacing w:line="440" w:lineRule="exact"/>
              <w:jc w:val="both"/>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4C41F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55EB2812">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14</w:t>
            </w:r>
          </w:p>
        </w:tc>
        <w:tc>
          <w:tcPr>
            <w:tcW w:w="1106" w:type="dxa"/>
            <w:noWrap/>
            <w:vAlign w:val="center"/>
          </w:tcPr>
          <w:p w14:paraId="48425DD9">
            <w:pPr>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税务综合赛训平台软件（题库）</w:t>
            </w:r>
          </w:p>
        </w:tc>
        <w:tc>
          <w:tcPr>
            <w:tcW w:w="5835" w:type="dxa"/>
            <w:noWrap/>
            <w:vAlign w:val="center"/>
          </w:tcPr>
          <w:p w14:paraId="23D51CD1">
            <w:pPr>
              <w:widowControl/>
              <w:adjustRightInd w:val="0"/>
              <w:snapToGrid w:val="0"/>
              <w:spacing w:line="440" w:lineRule="exact"/>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▲17.平台配套云课堂手机APP版，实现云课堂功能，可以为老师学生在互联环境下达到沟通、资源共享、课堂考核的作用，体验互动教学与作业跟踪等新的教学模式：17.1 自定义签到：教师端可自定义课堂签到手势，学生端即可以规定手势进行签到；</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17.2 投票管理：教师端可自主编辑投票的标题、投票的内容、投票后是否立即显示结果、投票，学生端即可参与老师编辑好的投票；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17.3 签章划线功能：APP版支持实务题签章划线。记账凭证支持盖章，盖章位置直接通过手势滑动确定位置，记账凭证支持画线，画线起点终点位置直接通过手势滑动确定，实训题支持业务流程，具有提交下一步、退回上一步操作功能，能够进行智能答案判断，错误之处使用深色背景标识；</w:t>
            </w:r>
          </w:p>
        </w:tc>
        <w:tc>
          <w:tcPr>
            <w:tcW w:w="1519" w:type="dxa"/>
            <w:noWrap/>
            <w:vAlign w:val="center"/>
          </w:tcPr>
          <w:p w14:paraId="5557CC1E">
            <w:pPr>
              <w:widowControl/>
              <w:adjustRightInd w:val="0"/>
              <w:snapToGrid w:val="0"/>
              <w:spacing w:line="440" w:lineRule="exact"/>
              <w:jc w:val="both"/>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r w14:paraId="214B4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 w:hRule="atLeast"/>
          <w:jc w:val="center"/>
        </w:trPr>
        <w:tc>
          <w:tcPr>
            <w:tcW w:w="699" w:type="dxa"/>
            <w:noWrap/>
            <w:vAlign w:val="center"/>
          </w:tcPr>
          <w:p w14:paraId="77D58769">
            <w:pPr>
              <w:adjustRightInd w:val="0"/>
              <w:snapToGrid w:val="0"/>
              <w:spacing w:line="440" w:lineRule="exact"/>
              <w:jc w:val="center"/>
              <w:rPr>
                <w:rFonts w:hint="default" w:ascii="宋体" w:hAnsi="宋体" w:cs="宋体"/>
                <w:szCs w:val="21"/>
                <w:lang w:val="en-US" w:eastAsia="zh-CN"/>
              </w:rPr>
            </w:pPr>
            <w:r>
              <w:rPr>
                <w:rFonts w:hint="eastAsia" w:ascii="宋体" w:hAnsi="宋体" w:cs="宋体"/>
                <w:szCs w:val="21"/>
                <w:lang w:val="en-US" w:eastAsia="zh-CN"/>
              </w:rPr>
              <w:t>15</w:t>
            </w:r>
          </w:p>
        </w:tc>
        <w:tc>
          <w:tcPr>
            <w:tcW w:w="1106" w:type="dxa"/>
            <w:noWrap/>
            <w:vAlign w:val="center"/>
          </w:tcPr>
          <w:p w14:paraId="752AB294">
            <w:pPr>
              <w:adjustRightInd w:val="0"/>
              <w:snapToGrid w:val="0"/>
              <w:spacing w:line="440" w:lineRule="exact"/>
              <w:rPr>
                <w:rFonts w:hint="eastAsia" w:ascii="宋体" w:hAnsi="宋体" w:cs="宋体"/>
                <w:color w:val="auto"/>
                <w:kern w:val="0"/>
                <w:sz w:val="21"/>
                <w:szCs w:val="21"/>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税务综合赛训平台软件（题库）</w:t>
            </w:r>
          </w:p>
        </w:tc>
        <w:tc>
          <w:tcPr>
            <w:tcW w:w="5835" w:type="dxa"/>
            <w:noWrap/>
            <w:vAlign w:val="center"/>
          </w:tcPr>
          <w:p w14:paraId="75E07AFC">
            <w:pPr>
              <w:widowControl/>
              <w:adjustRightInd w:val="0"/>
              <w:snapToGrid w:val="0"/>
              <w:spacing w:line="440" w:lineRule="exact"/>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▲18.平台配套提供会计信息化账务处理手机APP，供学生移动学习体验会计信息化常见功能模块：</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18.1 初始设置：登录后可自定义创建账套，若已有账套，则直接进入角色登录界面；</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18.2 角色登录：提供四个岗位角色登录，支持网络版管理员针对实际情况分配角色登录权限；</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18.3 登录首页：包含凭证列表、审核凭证、记账、期末结账、结转损益、财务报表、查询/修改、明细账、总账、科目余额表等十个子功能模块；</w:t>
            </w:r>
          </w:p>
        </w:tc>
        <w:tc>
          <w:tcPr>
            <w:tcW w:w="1519" w:type="dxa"/>
            <w:noWrap/>
            <w:vAlign w:val="center"/>
          </w:tcPr>
          <w:p w14:paraId="5012971F">
            <w:pPr>
              <w:widowControl/>
              <w:adjustRightInd w:val="0"/>
              <w:snapToGrid w:val="0"/>
              <w:spacing w:line="440" w:lineRule="exact"/>
              <w:jc w:val="both"/>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供应商需提供功能操作界面截图，并加盖制造商公章</w:t>
            </w:r>
          </w:p>
        </w:tc>
      </w:tr>
    </w:tbl>
    <w:p w14:paraId="0EADBC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E94155"/>
    <w:rsid w:val="1A3C3F06"/>
    <w:rsid w:val="30E94155"/>
    <w:rsid w:val="32B85545"/>
    <w:rsid w:val="3DB35286"/>
    <w:rsid w:val="6A646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tabs>
        <w:tab w:val="left" w:pos="8364"/>
      </w:tabs>
      <w:ind w:left="840" w:right="-57" w:hanging="300"/>
    </w:pPr>
    <w:rPr>
      <w:rFonts w:ascii="宋体"/>
      <w:szCs w:val="20"/>
    </w:rPr>
  </w:style>
  <w:style w:type="paragraph" w:customStyle="1" w:styleId="5">
    <w:name w:val="列出段落3"/>
    <w:basedOn w:val="1"/>
    <w:autoRedefine/>
    <w:unhideWhenUsed/>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698</Words>
  <Characters>743</Characters>
  <Lines>0</Lines>
  <Paragraphs>0</Paragraphs>
  <TotalTime>0</TotalTime>
  <ScaleCrop>false</ScaleCrop>
  <LinksUpToDate>false</LinksUpToDate>
  <CharactersWithSpaces>743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2025-07-04T09:54:00Z</dcterms:created>
  <dc:creator>administrator</dc:creator>
  <cp:lastModifiedBy>administrator</cp:lastModifiedBy>
  <dcterms:modified xsi:type="dcterms:W3CDTF">2025-07-04T10:04:53Z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D7821205665347F582243581A6E8F363_11</vt:lpwstr>
  </property>
  <property fmtid="{D5CDD505-2E9C-101B-9397-08002B2CF9AE}" pid="4" name="KSOTemplateDocerSaveRecord">
    <vt:lpwstr>eyJoZGlkIjoiMzFmYzY1ZDc1ZjdhOWQ0OGFmY2NiYTJlYTM1YjU1N2UiLCJ1c2VySWQiOiI2Mjk0NTQyMDIifQ==</vt:lpwstr>
  </property>
</Properties>
</file>