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会计电算化专业教学实训设备采购项目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[GXCZ-A1]20250700002[CS]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海南省银行学校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国信国际工程咨询集团股份有限公司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海南省银行学校</w:t>
      </w:r>
      <w:r>
        <w:rPr>
          <w:rFonts w:ascii="仿宋_GB2312" w:hAnsi="仿宋_GB2312" w:cs="仿宋_GB2312" w:eastAsia="仿宋_GB2312"/>
        </w:rPr>
        <w:t xml:space="preserve"> 的委托， </w:t>
      </w:r>
      <w:r>
        <w:rPr>
          <w:rFonts w:ascii="仿宋_GB2312" w:hAnsi="仿宋_GB2312" w:cs="仿宋_GB2312" w:eastAsia="仿宋_GB2312"/>
        </w:rPr>
        <w:t>国信国际工程咨询集团股份有限公司</w:t>
      </w:r>
      <w:r>
        <w:rPr>
          <w:rFonts w:ascii="仿宋_GB2312" w:hAnsi="仿宋_GB2312" w:cs="仿宋_GB2312" w:eastAsia="仿宋_GB2312"/>
        </w:rPr>
        <w:t xml:space="preserve"> 对 </w:t>
      </w:r>
      <w:r>
        <w:rPr>
          <w:rFonts w:ascii="仿宋_GB2312" w:hAnsi="仿宋_GB2312" w:cs="仿宋_GB2312" w:eastAsia="仿宋_GB2312"/>
        </w:rPr>
        <w:t>会计电算化专业教学实训设备采购项目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[GXCZ-A1]20250700002[CS]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会计电算化专业教学实训设备采购项目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2,363,000.00元</w:t>
      </w:r>
      <w:r>
        <w:rPr>
          <w:rFonts w:ascii="仿宋_GB2312" w:hAnsi="仿宋_GB2312" w:cs="仿宋_GB2312" w:eastAsia="仿宋_GB2312"/>
        </w:rPr>
        <w:t>贰佰叁拾陆万叁仟元整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自合同签订之日起45日历天内完成教学实训设备采购、安装及开发等工作</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单位负责人为同一人或者存在直接控股、管理关系的不同单位，不得同时参加本项目的磋商。为本项目提供整体设计、规范编制或者项目管理、监理、检测等服务的供应商，不得再参加本项目磋商：单位负责人为同一人或者存在直接控股、管理关系的不同单位，不得同时参加本项目的磋商。为本项目提供整体设计、规范编制或者项目管理、监理、检测等服务的供应商，不得再参加本项目磋商（供应商须提供承诺函并加盖供应商公章）</w:t>
      </w:r>
    </w:p>
    <w:p>
      <w:pPr>
        <w:pStyle w:val="null3"/>
        <w:jc w:val="left"/>
      </w:pPr>
      <w:r>
        <w:rPr>
          <w:rFonts w:ascii="仿宋_GB2312" w:hAnsi="仿宋_GB2312" w:cs="仿宋_GB2312" w:eastAsia="仿宋_GB2312"/>
        </w:rPr>
        <w:t>2、参加政府采购活动前三年内，在经营活动中无环保类行政处罚记录：参加政府采购活动前三年内，在经营活动中无环保类行政处罚记录（供应商须提供承诺函并加盖供应商公章）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1.本项目采购信息指定发布媒体为中国政府采购网（网址www.ccgp.gov.cn）、海南省政府采购网(网址https://ccgp-hainan.gov.cn/maincms-web/) 。关于本项目采购文件的补遗、澄清及变更信息以上述网站公告为准，代理机构不再另行通知，采购文件与更正公告的内容相互矛盾时，以最后发出的更正公告内容为准。 2.供应商须在海南政府采购网(https://ccgp-hainan.gov.cn/maincms-web/)中的海南省政府采购智慧云平台进行注册并完善信息，然后下载参与采购项目电子采购文件（数据包）及其他文件。 3.注意事项：电子标采用全程电子化操作，供应商应详细阅读海南政府采购网的通知《海南省财政厅关于进一步推进政府采购全流程电子化的通知》，供应商使用交易系统遇到问题可致电技术支持：0591-38352553；如需云平台相关咨询，请拨打热线电话：400-1691288。 4.本项目支持小微企业，监狱企业、残疾人福利性单位发展等相关扶持政策。 5.本项目采用不见面开标形式，供应商远程参加开标会。远程参与开标流程的供应商需提前在海南省政府采购智慧云平台-服务专区中下载电子交易系统操作手册，并按照操作手册的要求参与开标会。如因供应商自身原因造成无法正常参与开标过程的，不利后果由供应商自行承担。</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海南省银行学校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海南省海口市龙华区南沙路48号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0898-66773878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国信国际工程咨询集团股份有限公司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海南省海口市龙华区金贸西路8号诚田国际商务大厦5楼AB室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陈佳佳、冯惠储、李魁元</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0898-68519119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采购包1：2,363,000.00元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货物类收费标准下浮10%计取，以成交金额为基数，采购代理服务费在招采购项目完成并发出成交通知书后5个工作日内由成交人向代理机构一次性缴纳。</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（1）经核实，若供应商所提供的相关证明材料有虚假材料，采购人保留提请省级行政主管部门将其列入不良企业名单的权利，若给采购人造成损失的，应给予赔偿，若其为成交单位，将取消其成交资格。 （2）供应商自行踏勘，凡参加磋商的供应商都将视其为对现场情况已充分了解。 （3）中小企业声明：参加政府采购活动的中小企业提供《中小企业声明函》，未提供的，视为放弃享受小微企业价格扣除优惠政策。 （4）磋商小组由1名采购人代表和2名评审专家组成。 （5）资格审查主体：采购人和采购代理机构。 （6）采购文件的疑问、异议、澄清时间符合法律规定。 （7）根据《关于在相关自由贸易试验区和自由贸易港开展推动解决政府采购异常低价问题试点工作的通知》，政府采购评审中出现下列情形之一的，磋商小组应当启动异常低价投标（响应）审查程序：①合计响应报价低于全部通过符合性审查供应商响应报价平均值50%的，即合计响应报价&lt;全部通过符合性审查供应商响应报价平均值×50%。 ②合计响应报价低于通过符合性审查且报价次低供应商响应报价50%的，即合计响应报价&lt;通过符合性审查且报价次低供应商响应报价×50%。③合计响应报价低于最高限价45%的，即合计响应报价&lt;最高限价×45%。 ④其他磋商小组认为供应商报价过低，有可能影响产品质量或者不能诚信履约的情形。 磋商小组启动异常低价投标（响应）审查后，应当要求相关供应商在评审现场合理的时间内提供书面说明及必要的证明材料，对投标（响应）价格作出解释。 （8）对小微企业的报价给予价格扣除（均按一次折扣10%的优惠折算后计算报价得分）（监狱企业、残疾人福利性单位视同小微企业；监狱企业、残疾人福利性单位属于小型、微型企业的，不重复享受政策）。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联系人：陈佳佳</w:t>
      </w:r>
    </w:p>
    <w:p>
      <w:pPr>
        <w:pStyle w:val="null3"/>
        <w:jc w:val="left"/>
      </w:pPr>
      <w:r>
        <w:rPr>
          <w:rFonts w:ascii="仿宋_GB2312" w:hAnsi="仿宋_GB2312" w:cs="仿宋_GB2312" w:eastAsia="仿宋_GB2312"/>
        </w:rPr>
        <w:t>联系电话：0898-68519119</w:t>
      </w:r>
    </w:p>
    <w:p>
      <w:pPr>
        <w:pStyle w:val="null3"/>
        <w:jc w:val="left"/>
      </w:pPr>
      <w:r>
        <w:rPr>
          <w:rFonts w:ascii="仿宋_GB2312" w:hAnsi="仿宋_GB2312" w:cs="仿宋_GB2312" w:eastAsia="仿宋_GB2312"/>
        </w:rPr>
        <w:t>地址：海南省海口市龙华区金贸西路8号诚田国际商务大厦5楼AB室</w:t>
      </w:r>
    </w:p>
    <w:p>
      <w:pPr>
        <w:pStyle w:val="null3"/>
        <w:jc w:val="left"/>
      </w:pPr>
      <w:r>
        <w:rPr>
          <w:rFonts w:ascii="仿宋_GB2312" w:hAnsi="仿宋_GB2312" w:cs="仿宋_GB2312" w:eastAsia="仿宋_GB2312"/>
        </w:rPr>
        <w:t>邮编：570125</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color w:val="000000"/>
        </w:rPr>
        <w:t>本项目拟为采购人采购一套</w:t>
      </w:r>
      <w:r>
        <w:rPr>
          <w:rFonts w:ascii="仿宋_GB2312" w:hAnsi="仿宋_GB2312" w:cs="仿宋_GB2312" w:eastAsia="仿宋_GB2312"/>
          <w:sz w:val="21"/>
          <w:color w:val="000000"/>
        </w:rPr>
        <w:t>会计电算化专业教学实训设备</w:t>
      </w:r>
      <w:r>
        <w:rPr>
          <w:rFonts w:ascii="仿宋_GB2312" w:hAnsi="仿宋_GB2312" w:cs="仿宋_GB2312" w:eastAsia="仿宋_GB2312"/>
          <w:sz w:val="21"/>
          <w:color w:val="000000"/>
        </w:rPr>
        <w:t>。</w:t>
      </w:r>
      <w:r>
        <w:rPr>
          <w:rFonts w:ascii="仿宋_GB2312" w:hAnsi="仿宋_GB2312" w:cs="仿宋_GB2312" w:eastAsia="仿宋_GB2312"/>
          <w:sz w:val="21"/>
          <w:color w:val="000000"/>
        </w:rPr>
        <w:t>包括但不限于认知实践教学平台、智能财税技能测评平台、企业数智化实训平台、智慧财务云平台、财务机器人及税务综合赛训平台软件（题库），详细技术参数要求详见本章节采购需求附件。</w:t>
      </w:r>
    </w:p>
    <w:tbl>
      <w:tblPr>
        <w:tblW w:w="0" w:type="auto"/>
        <w:tblBorders>
          <w:top w:val="none" w:color="000000" w:sz="4"/>
          <w:left w:val="none" w:color="000000" w:sz="4"/>
          <w:bottom w:val="none" w:color="000000" w:sz="4"/>
          <w:right w:val="none" w:color="000000" w:sz="4"/>
          <w:insideH w:val="none"/>
          <w:insideV w:val="none"/>
        </w:tblBorders>
      </w:tblPr>
      <w:tblGrid>
        <w:gridCol w:w="1035"/>
        <w:gridCol w:w="3180"/>
        <w:gridCol w:w="660"/>
        <w:gridCol w:w="1320"/>
        <w:gridCol w:w="1935"/>
      </w:tblGrid>
      <w:tr>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b/>
                <w:color w:val="000000"/>
              </w:rPr>
              <w:t>序号</w:t>
            </w:r>
          </w:p>
        </w:tc>
        <w:tc>
          <w:tcPr>
            <w:tcW w:type="dxa" w:w="3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b/>
                <w:color w:val="000000"/>
              </w:rPr>
              <w:t>标的名称</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b/>
                <w:color w:val="000000"/>
              </w:rPr>
              <w:t>数量</w:t>
            </w:r>
          </w:p>
        </w:tc>
        <w:tc>
          <w:tcPr>
            <w:tcW w:type="dxa" w:w="1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b/>
                <w:color w:val="000000"/>
              </w:rPr>
              <w:t>单位</w:t>
            </w:r>
          </w:p>
        </w:tc>
        <w:tc>
          <w:tcPr>
            <w:tcW w:type="dxa" w:w="19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b/>
                <w:color w:val="000000"/>
              </w:rPr>
              <w:t>是否为核心产品</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1</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认知实践教学平台</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套</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否</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2</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智能财税技能测评平台</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套</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否</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3</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企业数智化实训平台</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套</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否</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4</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智慧财务云平台</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套</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是</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5</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财务机器人</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15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套</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否</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6</w:t>
            </w:r>
          </w:p>
        </w:tc>
        <w:tc>
          <w:tcPr>
            <w:tcW w:type="dxa" w:w="3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税务综合赛训平台软件（题库）</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套</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否</w:t>
            </w: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2,363,000.00</w:t>
      </w:r>
    </w:p>
    <w:p>
      <w:pPr>
        <w:pStyle w:val="null3"/>
        <w:jc w:val="left"/>
      </w:pPr>
      <w:r>
        <w:rPr>
          <w:rFonts w:ascii="仿宋_GB2312" w:hAnsi="仿宋_GB2312" w:cs="仿宋_GB2312" w:eastAsia="仿宋_GB2312"/>
        </w:rPr>
        <w:t>采购包最高限价（元）: 2,363,000.00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2,363,000.00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A08060303-应用软件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2,363,000.00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技术参数要求详见采购需求附件</w:t>
            </w:r>
          </w:p>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服务地点：</w:t>
            </w:r>
            <w:r>
              <w:rPr>
                <w:rFonts w:ascii="仿宋_GB2312" w:hAnsi="仿宋_GB2312" w:cs="仿宋_GB2312" w:eastAsia="仿宋_GB2312"/>
                <w:sz w:val="20"/>
              </w:rPr>
              <w:t>海南省海口市龙华区南沙路48号</w:t>
            </w:r>
            <w:r>
              <w:rPr>
                <w:rFonts w:ascii="仿宋_GB2312" w:hAnsi="仿宋_GB2312" w:cs="仿宋_GB2312" w:eastAsia="仿宋_GB2312"/>
                <w:sz w:val="20"/>
              </w:rPr>
              <w:t>及</w:t>
            </w:r>
            <w:r>
              <w:rPr>
                <w:rFonts w:ascii="仿宋_GB2312" w:hAnsi="仿宋_GB2312" w:cs="仿宋_GB2312" w:eastAsia="仿宋_GB2312"/>
                <w:sz w:val="20"/>
              </w:rPr>
              <w:t>采购人指定地点</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交货期：</w:t>
            </w:r>
            <w:r>
              <w:rPr>
                <w:rFonts w:ascii="仿宋_GB2312" w:hAnsi="仿宋_GB2312" w:cs="仿宋_GB2312" w:eastAsia="仿宋_GB2312"/>
              </w:rPr>
              <w:t>自合同签订之日起45日历天内完成教学实训设备采购、安装及开发等工作。</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运维期：自验收合格之日起3年。</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★质量要求：符合</w:t>
            </w:r>
            <w:r>
              <w:rPr>
                <w:rFonts w:ascii="仿宋_GB2312" w:hAnsi="仿宋_GB2312" w:cs="仿宋_GB2312" w:eastAsia="仿宋_GB2312"/>
                <w:sz w:val="20"/>
              </w:rPr>
              <w:t>磋商</w:t>
            </w:r>
            <w:r>
              <w:rPr>
                <w:rFonts w:ascii="仿宋_GB2312" w:hAnsi="仿宋_GB2312" w:cs="仿宋_GB2312" w:eastAsia="仿宋_GB2312"/>
                <w:sz w:val="20"/>
              </w:rPr>
              <w:t>文件规定的质量、</w:t>
            </w:r>
            <w:r>
              <w:rPr>
                <w:rFonts w:ascii="仿宋_GB2312" w:hAnsi="仿宋_GB2312" w:cs="仿宋_GB2312" w:eastAsia="仿宋_GB2312"/>
                <w:sz w:val="20"/>
              </w:rPr>
              <w:t>参数</w:t>
            </w:r>
            <w:r>
              <w:rPr>
                <w:rFonts w:ascii="仿宋_GB2312" w:hAnsi="仿宋_GB2312" w:cs="仿宋_GB2312" w:eastAsia="仿宋_GB2312"/>
                <w:sz w:val="20"/>
              </w:rPr>
              <w:t>和性能要求，达到国家及行业规定的标准。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人员配置</w:t>
            </w:r>
            <w:r>
              <w:rPr>
                <w:rFonts w:ascii="仿宋_GB2312" w:hAnsi="仿宋_GB2312" w:cs="仿宋_GB2312" w:eastAsia="仿宋_GB2312"/>
                <w:sz w:val="20"/>
              </w:rPr>
              <w:t>：</w:t>
            </w:r>
            <w:r>
              <w:rPr>
                <w:rFonts w:ascii="仿宋_GB2312" w:hAnsi="仿宋_GB2312" w:cs="仿宋_GB2312" w:eastAsia="仿宋_GB2312"/>
                <w:sz w:val="20"/>
              </w:rPr>
              <w:t>供应商需为采购人配备</w:t>
            </w:r>
            <w:r>
              <w:rPr>
                <w:rFonts w:ascii="仿宋_GB2312" w:hAnsi="仿宋_GB2312" w:cs="仿宋_GB2312" w:eastAsia="仿宋_GB2312"/>
                <w:sz w:val="20"/>
              </w:rPr>
              <w:t>1名</w:t>
            </w:r>
            <w:r>
              <w:rPr>
                <w:rFonts w:ascii="仿宋_GB2312" w:hAnsi="仿宋_GB2312" w:cs="仿宋_GB2312" w:eastAsia="仿宋_GB2312"/>
                <w:sz w:val="20"/>
              </w:rPr>
              <w:t>专业的运维</w:t>
            </w:r>
            <w:r>
              <w:rPr>
                <w:rFonts w:ascii="仿宋_GB2312" w:hAnsi="仿宋_GB2312" w:cs="仿宋_GB2312" w:eastAsia="仿宋_GB2312"/>
                <w:sz w:val="20"/>
              </w:rPr>
              <w:t>人员，</w:t>
            </w:r>
            <w:r>
              <w:rPr>
                <w:rFonts w:ascii="仿宋_GB2312" w:hAnsi="仿宋_GB2312" w:cs="仿宋_GB2312" w:eastAsia="仿宋_GB2312"/>
                <w:sz w:val="20"/>
              </w:rPr>
              <w:t>不要求驻场但在运维期内采购的教学实训设备功能出现问题时</w:t>
            </w:r>
            <w:r>
              <w:rPr>
                <w:rFonts w:ascii="仿宋_GB2312" w:hAnsi="仿宋_GB2312" w:cs="仿宋_GB2312" w:eastAsia="仿宋_GB2312"/>
                <w:sz w:val="20"/>
              </w:rPr>
              <w:t>，</w:t>
            </w:r>
            <w:r>
              <w:rPr>
                <w:rFonts w:ascii="仿宋_GB2312" w:hAnsi="仿宋_GB2312" w:cs="仿宋_GB2312" w:eastAsia="仿宋_GB2312"/>
                <w:sz w:val="20"/>
              </w:rPr>
              <w:t>派遣</w:t>
            </w:r>
            <w:r>
              <w:rPr>
                <w:rFonts w:ascii="仿宋_GB2312" w:hAnsi="仿宋_GB2312" w:cs="仿宋_GB2312" w:eastAsia="仿宋_GB2312"/>
                <w:sz w:val="20"/>
              </w:rPr>
              <w:t>具有相关资质</w:t>
            </w:r>
            <w:r>
              <w:rPr>
                <w:rFonts w:ascii="仿宋_GB2312" w:hAnsi="仿宋_GB2312" w:cs="仿宋_GB2312" w:eastAsia="仿宋_GB2312"/>
                <w:sz w:val="20"/>
              </w:rPr>
              <w:t>及经验</w:t>
            </w:r>
            <w:r>
              <w:rPr>
                <w:rFonts w:ascii="仿宋_GB2312" w:hAnsi="仿宋_GB2312" w:cs="仿宋_GB2312" w:eastAsia="仿宋_GB2312"/>
                <w:sz w:val="20"/>
              </w:rPr>
              <w:t>的</w:t>
            </w:r>
            <w:r>
              <w:rPr>
                <w:rFonts w:ascii="仿宋_GB2312" w:hAnsi="仿宋_GB2312" w:cs="仿宋_GB2312" w:eastAsia="仿宋_GB2312"/>
                <w:sz w:val="20"/>
              </w:rPr>
              <w:t>运维</w:t>
            </w:r>
            <w:r>
              <w:rPr>
                <w:rFonts w:ascii="仿宋_GB2312" w:hAnsi="仿宋_GB2312" w:cs="仿宋_GB2312" w:eastAsia="仿宋_GB2312"/>
                <w:sz w:val="20"/>
              </w:rPr>
              <w:t>人员提供</w:t>
            </w:r>
            <w:r>
              <w:rPr>
                <w:rFonts w:ascii="仿宋_GB2312" w:hAnsi="仿宋_GB2312" w:cs="仿宋_GB2312" w:eastAsia="仿宋_GB2312"/>
                <w:sz w:val="20"/>
              </w:rPr>
              <w:t>维护</w:t>
            </w:r>
            <w:r>
              <w:rPr>
                <w:rFonts w:ascii="仿宋_GB2312" w:hAnsi="仿宋_GB2312" w:cs="仿宋_GB2312" w:eastAsia="仿宋_GB2312"/>
                <w:sz w:val="20"/>
              </w:rPr>
              <w:t>服务。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其他要求</w:t>
            </w:r>
          </w:p>
          <w:p>
            <w:pPr>
              <w:pStyle w:val="null3"/>
              <w:jc w:val="both"/>
            </w:pPr>
            <w:r>
              <w:rPr>
                <w:rFonts w:ascii="仿宋_GB2312" w:hAnsi="仿宋_GB2312" w:cs="仿宋_GB2312" w:eastAsia="仿宋_GB2312"/>
                <w:sz w:val="20"/>
              </w:rPr>
              <w:t>运维服务期内所需</w:t>
            </w:r>
            <w:r>
              <w:rPr>
                <w:rFonts w:ascii="仿宋_GB2312" w:hAnsi="仿宋_GB2312" w:cs="仿宋_GB2312" w:eastAsia="仿宋_GB2312"/>
                <w:sz w:val="20"/>
              </w:rPr>
              <w:t>的</w:t>
            </w:r>
            <w:r>
              <w:rPr>
                <w:rFonts w:ascii="仿宋_GB2312" w:hAnsi="仿宋_GB2312" w:cs="仿宋_GB2312" w:eastAsia="仿宋_GB2312"/>
                <w:sz w:val="20"/>
              </w:rPr>
              <w:t>其他</w:t>
            </w:r>
            <w:r>
              <w:rPr>
                <w:rFonts w:ascii="仿宋_GB2312" w:hAnsi="仿宋_GB2312" w:cs="仿宋_GB2312" w:eastAsia="仿宋_GB2312"/>
                <w:sz w:val="20"/>
              </w:rPr>
              <w:t>备件由供应商提供，维修费用由供应商负责。</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供应商报价应包括但不限于设备的价款、包装、运输、装卸、安装、调试、技术指导、培训、咨询、服务、保险、税费、检测、验收合格交付使用之前以及技术和售后服务等相关费用。</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详见采购需求附件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无环保类行政处罚记录声明函 符合法律、行政法规规定的其他条件承诺函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单位负责人为同一人或者存在直接控股、管理关系的不同单位，不得同时参加本项目的磋商。为本项目提供整体设计、规范编制或者项目管理、监理、检测等服务的供应商，不得再参加本项目磋商</w:t>
            </w:r>
          </w:p>
        </w:tc>
        <w:tc>
          <w:tcPr>
            <w:tcW w:type="dxa" w:w="3322"/>
          </w:tcPr>
          <w:p>
            <w:pPr>
              <w:pStyle w:val="null3"/>
              <w:jc w:val="left"/>
            </w:pPr>
            <w:r>
              <w:rPr>
                <w:rFonts w:ascii="仿宋_GB2312" w:hAnsi="仿宋_GB2312" w:cs="仿宋_GB2312" w:eastAsia="仿宋_GB2312"/>
              </w:rPr>
              <w:t>单位负责人为同一人或者存在直接控股、管理关系的不同单位，不得同时参加本项目的磋商。为本项目提供整体设计、规范编制或者项目管理、监理、检测等服务的供应商，不得再参加本项目磋商（供应商须提供承诺函并加盖供应商公章）</w:t>
            </w:r>
          </w:p>
        </w:tc>
        <w:tc>
          <w:tcPr>
            <w:tcW w:type="dxa" w:w="1661"/>
          </w:tcPr>
          <w:p>
            <w:pPr>
              <w:pStyle w:val="null3"/>
              <w:jc w:val="left"/>
            </w:pPr>
            <w:r>
              <w:rPr>
                <w:rFonts w:ascii="仿宋_GB2312" w:hAnsi="仿宋_GB2312" w:cs="仿宋_GB2312" w:eastAsia="仿宋_GB2312"/>
              </w:rPr>
              <w:t>其他资格承诺函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参加政府采购活动前三年内，在经营活动中无环保类行政处罚记录（供应商须提供承诺函并加盖供应商公章）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安装调试方案 商务响应表 售后服务及应急预案 开标（报价）一览表 中小企业声明函 自觉抵制政府采购领域商业贿赂行为承诺书 封面 商业信誉、财务会计制度、缴纳税收和社保的承诺函 其他资格承诺函 功能操作界面截图 具有独立承担民事责任的能力证明文件 供应商承诺函 符合法律、行政法规规定的其他条件承诺函 进度计划及安全保密方案 投标（响应）报价明细表 其他材料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一般技术参数（非★、▲号的其他指标）</w:t>
            </w:r>
          </w:p>
        </w:tc>
        <w:tc>
          <w:tcPr>
            <w:tcW w:type="dxa" w:w="2492"/>
          </w:tcPr>
          <w:p>
            <w:pPr>
              <w:pStyle w:val="null3"/>
              <w:jc w:val="left"/>
            </w:pPr>
            <w:r>
              <w:rPr>
                <w:rFonts w:ascii="仿宋_GB2312" w:hAnsi="仿宋_GB2312" w:cs="仿宋_GB2312" w:eastAsia="仿宋_GB2312"/>
              </w:rPr>
              <w:t>一般技术参数（非▲号、★号的其他指标）无需提供技术支持证明材料。供应商须根据投标产品的实际性能指标及技术参数，逐条对应采购文件第三章采购需求-《采购需求附件》-中“会计电算化专业教学实训设备采购项目采购清单”要求的功能要求与技术参数，并在响应文件中如实填写《技术参数响应表》。“会计电算化专业教学实训设备采购项目采购清单”中一般技术参数条款共计566项，完全满足566项一般技术参数得满分25分，若有不满足（负偏离）的情况按以下要求赋分： （1）一般技术参数条款共计566项完全满足，得25分； （2）一般技术参数条款有1-400项不满足时，每有1项不满足扣0.05分； （3）一般技术参数条款有401-566项不满足时，每有1项不满足扣0.03分； 此部分最低得0分，漏响应的技术参数视为不满足。得分示例：①某供应商有100项一般技术参数不满足（负偏离）扣分100*0.05=5分，故该供应商得25-5=20分；②某供应商有500项一般技术参数不满足（负偏离）扣分400*0.05=20分、100*0.03=3分，共计扣23分，故该供应商得25-23=2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重要参数指标（▲号的参数指标）</w:t>
            </w:r>
          </w:p>
        </w:tc>
        <w:tc>
          <w:tcPr>
            <w:tcW w:type="dxa" w:w="2492"/>
          </w:tcPr>
          <w:p>
            <w:pPr>
              <w:pStyle w:val="null3"/>
              <w:jc w:val="left"/>
            </w:pPr>
            <w:r>
              <w:rPr>
                <w:rFonts w:ascii="仿宋_GB2312" w:hAnsi="仿宋_GB2312" w:cs="仿宋_GB2312" w:eastAsia="仿宋_GB2312"/>
              </w:rPr>
              <w:t>供应商须根据采购文件第三章采购需求-《采购需求附件》-中“会计电算化专业教学实训设备采购项目采购清单”中标注“▲”的功能参数要求，提供功能操作界面截图，并加盖制造商公章。提供任意1项功能操作界面截图满足磋商文件要求此项得1分，若有任意一项提供的证明材料不满足或负偏离此项得0分；共计15项，完全满足磋商文件要求得满分15分，此项最低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功能操作界面截图</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安装调试方案</w:t>
            </w:r>
          </w:p>
        </w:tc>
        <w:tc>
          <w:tcPr>
            <w:tcW w:type="dxa" w:w="2492"/>
          </w:tcPr>
          <w:p>
            <w:pPr>
              <w:pStyle w:val="null3"/>
              <w:jc w:val="left"/>
            </w:pPr>
            <w:r>
              <w:rPr>
                <w:rFonts w:ascii="仿宋_GB2312" w:hAnsi="仿宋_GB2312" w:cs="仿宋_GB2312" w:eastAsia="仿宋_GB2312"/>
              </w:rPr>
              <w:t>安装调试方案内容包括但不限于：①安装环境检查（物理空间、网络条件、电力条件、采购人软硬件设备情况等）；②工器具的准备（包括软件及硬件）；③运行检测及性能测试方案；④根据测试结果进行优化的内容及步骤；⑤安装完毕后的性能测试及验收方案。磋商小组对每1小项赋分，每小项满分2分，此项满分共计10分。（1）每具有一项前述细化指标内容，且内容完整、条理清晰，针对实际情况，考虑问题周全得2分；（2）每有一处内容存在缺陷的得1分；（3）不提供不得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安装调试方案</w:t>
            </w:r>
          </w:p>
        </w:tc>
      </w:tr>
      <w:tr>
        <w:tc>
          <w:tcPr>
            <w:tcW w:type="dxa" w:w="831"/>
            <w:vMerge/>
          </w:tcPr>
          <w:p/>
        </w:tc>
        <w:tc>
          <w:tcPr>
            <w:tcW w:type="dxa" w:w="1661"/>
          </w:tcPr>
          <w:p>
            <w:pPr>
              <w:pStyle w:val="null3"/>
              <w:jc w:val="left"/>
            </w:pPr>
            <w:r>
              <w:rPr>
                <w:rFonts w:ascii="仿宋_GB2312" w:hAnsi="仿宋_GB2312" w:cs="仿宋_GB2312" w:eastAsia="仿宋_GB2312"/>
              </w:rPr>
              <w:t>进度计划及安全保密方案</w:t>
            </w:r>
          </w:p>
        </w:tc>
        <w:tc>
          <w:tcPr>
            <w:tcW w:type="dxa" w:w="2492"/>
          </w:tcPr>
          <w:p>
            <w:pPr>
              <w:pStyle w:val="null3"/>
              <w:jc w:val="left"/>
            </w:pPr>
            <w:r>
              <w:rPr>
                <w:rFonts w:ascii="仿宋_GB2312" w:hAnsi="仿宋_GB2312" w:cs="仿宋_GB2312" w:eastAsia="仿宋_GB2312"/>
              </w:rPr>
              <w:t>进度计划及安全保密方案内容包括但不限于：①与采购人现有设施连接流程及项目实施进度计划；②人员配备及人员分工明细（安装人员、培训人员、服务人员、检测人员等）；③保密责任划分及数据准确性的保证措施；④防病毒或防攻击措施。磋商小组对每1小项赋分，每小项满分2分，此项满分共计8分。（1）每具有一项前述细化指标内容，且内容完整、条理清晰，针对实际情况，考虑问题周全得2分；（2）每有一处内容存在缺陷的得1分；（3）不提供不得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进度计划及安全保密方案</w:t>
            </w:r>
          </w:p>
        </w:tc>
      </w:tr>
      <w:tr>
        <w:tc>
          <w:tcPr>
            <w:tcW w:type="dxa" w:w="831"/>
            <w:vMerge/>
          </w:tcPr>
          <w:p/>
        </w:tc>
        <w:tc>
          <w:tcPr>
            <w:tcW w:type="dxa" w:w="1661"/>
          </w:tcPr>
          <w:p>
            <w:pPr>
              <w:pStyle w:val="null3"/>
              <w:jc w:val="left"/>
            </w:pPr>
            <w:r>
              <w:rPr>
                <w:rFonts w:ascii="仿宋_GB2312" w:hAnsi="仿宋_GB2312" w:cs="仿宋_GB2312" w:eastAsia="仿宋_GB2312"/>
              </w:rPr>
              <w:t>售后服务及应急预案</w:t>
            </w:r>
          </w:p>
        </w:tc>
        <w:tc>
          <w:tcPr>
            <w:tcW w:type="dxa" w:w="2492"/>
          </w:tcPr>
          <w:p>
            <w:pPr>
              <w:pStyle w:val="null3"/>
              <w:jc w:val="left"/>
            </w:pPr>
            <w:r>
              <w:rPr>
                <w:rFonts w:ascii="仿宋_GB2312" w:hAnsi="仿宋_GB2312" w:cs="仿宋_GB2312" w:eastAsia="仿宋_GB2312"/>
              </w:rPr>
              <w:t>售后服务及应急预案内容包括但不限于：①售后服务响应时间；②运维期内运维流程及运维内容；③在响应文件中明确售后服务机构及售后服务人员配置等关键信息；④服务期限内系统优化及升级承诺；⑤设备出现故障或缺陷后的应急预案；⑥定期维护、故障排查内容及排查时间。磋商小组对每1小项赋分，每小项满分2分，此项满分共计12分。（1）每具有一项前述细化指标内容，且内容完整、条理清晰，针对实际情况，考虑问题周全得2分；（2）每有一处内容存在缺陷的得1分；（3）不提供不得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售后服务及应急预案</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[GXCZ-A1]20250700002[CS]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会计电算化专业教学实训设备采购项目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会计电算化专业教学实训设备采购项目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交货期</w:t>
            </w:r>
          </w:p>
        </w:tc>
        <w:tc>
          <w:tcPr>
            <w:tcW w:type="dxa" w:w="755"/>
          </w:tcPr>
          <w:p>
            <w:pPr>
              <w:pStyle w:val="null3"/>
              <w:jc w:val="left"/>
            </w:pPr>
            <w:r>
              <w:rPr>
                <w:rFonts w:ascii="仿宋_GB2312" w:hAnsi="仿宋_GB2312" w:cs="仿宋_GB2312" w:eastAsia="仿宋_GB2312"/>
              </w:rPr>
              <w:t xml:space="preserve"> 运维期</w:t>
            </w:r>
          </w:p>
        </w:tc>
        <w:tc>
          <w:tcPr>
            <w:tcW w:type="dxa" w:w="755"/>
          </w:tcPr>
          <w:p>
            <w:pPr>
              <w:pStyle w:val="null3"/>
              <w:jc w:val="left"/>
            </w:pPr>
            <w:r>
              <w:rPr>
                <w:rFonts w:ascii="仿宋_GB2312" w:hAnsi="仿宋_GB2312" w:cs="仿宋_GB2312" w:eastAsia="仿宋_GB2312"/>
              </w:rPr>
              <w:t xml:space="preserve"> 质量要求</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A08060303-应用软件</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2363000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详见附件：符合法律、行政法规规定的其他条件承诺函</w:t>
      </w:r>
    </w:p>
    <w:p>
      <w:pPr>
        <w:pStyle w:val="null3"/>
        <w:ind w:firstLine="960"/>
        <w:jc w:val="left"/>
      </w:pPr>
      <w:r>
        <w:rPr>
          <w:rFonts w:ascii="仿宋_GB2312" w:hAnsi="仿宋_GB2312" w:cs="仿宋_GB2312" w:eastAsia="仿宋_GB2312"/>
        </w:rPr>
        <w:t>详见附件：其他资格承诺函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详见附件：功能操作界面截图</w:t>
      </w:r>
    </w:p>
    <w:p>
      <w:pPr>
        <w:pStyle w:val="null3"/>
        <w:ind w:firstLine="960"/>
        <w:jc w:val="left"/>
      </w:pPr>
      <w:r>
        <w:rPr>
          <w:rFonts w:ascii="仿宋_GB2312" w:hAnsi="仿宋_GB2312" w:cs="仿宋_GB2312" w:eastAsia="仿宋_GB2312"/>
        </w:rPr>
        <w:t>详见附件：安装调试方案</w:t>
      </w:r>
    </w:p>
    <w:p>
      <w:pPr>
        <w:pStyle w:val="null3"/>
        <w:ind w:firstLine="960"/>
        <w:jc w:val="left"/>
      </w:pPr>
      <w:r>
        <w:rPr>
          <w:rFonts w:ascii="仿宋_GB2312" w:hAnsi="仿宋_GB2312" w:cs="仿宋_GB2312" w:eastAsia="仿宋_GB2312"/>
        </w:rPr>
        <w:t>详见附件：进度计划及安全保密方案</w:t>
      </w:r>
    </w:p>
    <w:p>
      <w:pPr>
        <w:pStyle w:val="null3"/>
        <w:ind w:firstLine="960"/>
        <w:jc w:val="left"/>
      </w:pPr>
      <w:r>
        <w:rPr>
          <w:rFonts w:ascii="仿宋_GB2312" w:hAnsi="仿宋_GB2312" w:cs="仿宋_GB2312" w:eastAsia="仿宋_GB2312"/>
        </w:rPr>
        <w:t>详见附件：售后服务及应急预案</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