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2025年海南社会管理信息化平台网信大数据系统运维项目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HFGC20252616H</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海南省委网络安全和信息化委员会办公室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海南省委网络安全和信息化委员会办公室</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2025年海南社会管理信息化平台网信大数据系统运维项目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HFGC20252616H</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2025年海南社会管理信息化平台网信大数据系统运维项目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2,052,500.00元</w:t>
      </w:r>
      <w:r>
        <w:rPr>
          <w:rFonts w:ascii="仿宋_GB2312" w:hAnsi="仿宋_GB2312" w:cs="仿宋_GB2312" w:eastAsia="仿宋_GB2312"/>
        </w:rPr>
        <w:t>贰佰零伍万贰仟伍佰元整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海南社会管理信息化平台网信大数据系统软件运维：8.5个月，2025年4月15日-2025年12月31日；海南社会管理信息化平台网信大数据系统数据资源建设及数据治理服务：12个月，2025年1月-2025年12月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1、无环保类行政处罚记录声明函：参加政府采购活动前三年内，在经营活动中没有环保类行政处罚记录（成立不足三年的从成立之日起计算）</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海南省委网络安全和信息化委员会办公室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海南省海口市国兴大道69号海南广场9号楼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0898-65314107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 邮箱：hnfidic_hk@163.com</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采购包1：2,052,500.00元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代理服务费收费标准：原国家计委印发《招标代理服务收费管理暂行办法》(计价格【2002】1980号)附件列明的标准。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联系人：宋女士/许女士</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对海南社会管理信息化平台网信大数据系统进行软件的日常维护，保障软件正常和安全运行。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2,052,500.00</w:t>
      </w:r>
    </w:p>
    <w:p>
      <w:pPr>
        <w:pStyle w:val="null3"/>
        <w:jc w:val="left"/>
      </w:pPr>
      <w:r>
        <w:rPr>
          <w:rFonts w:ascii="仿宋_GB2312" w:hAnsi="仿宋_GB2312" w:cs="仿宋_GB2312" w:eastAsia="仿宋_GB2312"/>
        </w:rPr>
        <w:t>采购包最高限价（元）: 2,052,500.00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2025年海南社会管理信息化平台网信大数据系统运维项目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2,052,500.00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2025年海南社会管理信息化平台网信大数据系统运维项目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标的名称：2025年海南社会管理信息化平台网信大数据系统运维项目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一、标包名称</w:t>
            </w:r>
          </w:p>
          <w:p>
            <w:pPr>
              <w:pStyle w:val="null3"/>
              <w:jc w:val="left"/>
            </w:pPr>
            <w:r>
              <w:rPr>
                <w:rFonts w:ascii="仿宋_GB2312" w:hAnsi="仿宋_GB2312" w:cs="仿宋_GB2312" w:eastAsia="仿宋_GB2312"/>
                <w:sz w:val="24"/>
              </w:rPr>
              <w:t>2025</w:t>
            </w:r>
            <w:r>
              <w:rPr>
                <w:rFonts w:ascii="仿宋_GB2312" w:hAnsi="仿宋_GB2312" w:cs="仿宋_GB2312" w:eastAsia="仿宋_GB2312"/>
                <w:sz w:val="24"/>
              </w:rPr>
              <w:t>年海南社会管理信息化平台网信大数据系统运维项目</w:t>
            </w:r>
          </w:p>
          <w:p>
            <w:pPr>
              <w:pStyle w:val="null3"/>
              <w:jc w:val="left"/>
            </w:pPr>
            <w:r>
              <w:rPr>
                <w:rFonts w:ascii="仿宋_GB2312" w:hAnsi="仿宋_GB2312" w:cs="仿宋_GB2312" w:eastAsia="仿宋_GB2312"/>
                <w:sz w:val="24"/>
                <w:b/>
              </w:rPr>
              <w:t>二、项目服务内容</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应用系统</w:t>
            </w:r>
            <w:r>
              <w:rPr>
                <w:rFonts w:ascii="仿宋_GB2312" w:hAnsi="仿宋_GB2312" w:cs="仿宋_GB2312" w:eastAsia="仿宋_GB2312"/>
                <w:sz w:val="24"/>
                <w:b/>
              </w:rPr>
              <w:t>运维</w:t>
            </w:r>
          </w:p>
          <w:p>
            <w:pPr>
              <w:pStyle w:val="null3"/>
              <w:jc w:val="left"/>
            </w:pPr>
            <w:r>
              <w:rPr>
                <w:rFonts w:ascii="仿宋_GB2312" w:hAnsi="仿宋_GB2312" w:cs="仿宋_GB2312" w:eastAsia="仿宋_GB2312"/>
                <w:sz w:val="24"/>
              </w:rPr>
              <w:t>对海南社会管理信息化平台网信大数据系统进行维护</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业务应用系统</w:t>
            </w:r>
            <w:r>
              <w:rPr>
                <w:rFonts w:ascii="仿宋_GB2312" w:hAnsi="仿宋_GB2312" w:cs="仿宋_GB2312" w:eastAsia="仿宋_GB2312"/>
                <w:sz w:val="24"/>
                <w:b/>
              </w:rPr>
              <w:t>范围</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海南社会管理信息化平台网信大数据系统</w:t>
            </w:r>
            <w:r>
              <w:rPr>
                <w:rFonts w:ascii="仿宋_GB2312" w:hAnsi="仿宋_GB2312" w:cs="仿宋_GB2312" w:eastAsia="仿宋_GB2312"/>
                <w:sz w:val="24"/>
              </w:rPr>
              <w:t>（</w:t>
            </w:r>
            <w:r>
              <w:rPr>
                <w:rFonts w:ascii="仿宋_GB2312" w:hAnsi="仿宋_GB2312" w:cs="仿宋_GB2312" w:eastAsia="仿宋_GB2312"/>
                <w:sz w:val="24"/>
              </w:rPr>
              <w:t>如报名供应商需了解具体内容，可联系采购人获取相关信息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 运维服务标准</w:t>
            </w:r>
          </w:p>
          <w:p>
            <w:pPr>
              <w:pStyle w:val="null3"/>
              <w:jc w:val="left"/>
            </w:pPr>
            <w:r>
              <w:rPr>
                <w:rFonts w:ascii="仿宋_GB2312" w:hAnsi="仿宋_GB2312" w:cs="仿宋_GB2312" w:eastAsia="仿宋_GB2312"/>
                <w:sz w:val="24"/>
              </w:rPr>
              <w:t>保障海南社会管理信息化平台网信大数据系统的正常稳定以及安全运行。提供服务运维报告，完成所有运维服务内容。</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、运维服务要求</w:t>
            </w:r>
          </w:p>
          <w:p>
            <w:pPr>
              <w:pStyle w:val="null3"/>
              <w:jc w:val="left"/>
            </w:pPr>
            <w:r>
              <w:rPr>
                <w:rFonts w:ascii="仿宋_GB2312" w:hAnsi="仿宋_GB2312" w:cs="仿宋_GB2312" w:eastAsia="仿宋_GB2312"/>
                <w:sz w:val="24"/>
              </w:rPr>
              <w:t>日常运行维护保障技术工作相关指标要求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）在线运行良好率年均达</w:t>
            </w:r>
            <w:r>
              <w:rPr>
                <w:rFonts w:ascii="仿宋_GB2312" w:hAnsi="仿宋_GB2312" w:cs="仿宋_GB2312" w:eastAsia="仿宋_GB2312"/>
                <w:sz w:val="24"/>
              </w:rPr>
              <w:t>99.99%</w:t>
            </w:r>
            <w:r>
              <w:rPr>
                <w:rFonts w:ascii="仿宋_GB2312" w:hAnsi="仿宋_GB2312" w:cs="仿宋_GB2312" w:eastAsia="仿宋_GB2312"/>
                <w:sz w:val="24"/>
              </w:rPr>
              <w:t>以上；</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）系统非硬件原因恢复时间≤</w:t>
            </w:r>
            <w:r>
              <w:rPr>
                <w:rFonts w:ascii="仿宋_GB2312" w:hAnsi="仿宋_GB2312" w:cs="仿宋_GB2312" w:eastAsia="仿宋_GB2312"/>
                <w:sz w:val="24"/>
              </w:rPr>
              <w:t>24</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）运行维护响应到场时间≤</w:t>
            </w:r>
            <w:r>
              <w:rPr>
                <w:rFonts w:ascii="仿宋_GB2312" w:hAnsi="仿宋_GB2312" w:cs="仿宋_GB2312" w:eastAsia="仿宋_GB2312"/>
                <w:sz w:val="24"/>
              </w:rPr>
              <w:t>2</w:t>
            </w:r>
            <w:r>
              <w:rPr>
                <w:rFonts w:ascii="仿宋_GB2312" w:hAnsi="仿宋_GB2312" w:cs="仿宋_GB2312" w:eastAsia="仿宋_GB2312"/>
                <w:sz w:val="24"/>
              </w:rPr>
              <w:t>小时；电话响应时间≤</w:t>
            </w:r>
            <w:r>
              <w:rPr>
                <w:rFonts w:ascii="仿宋_GB2312" w:hAnsi="仿宋_GB2312" w:cs="仿宋_GB2312" w:eastAsia="仿宋_GB2312"/>
                <w:sz w:val="24"/>
              </w:rPr>
              <w:t>1</w:t>
            </w:r>
            <w:r>
              <w:rPr>
                <w:rFonts w:ascii="仿宋_GB2312" w:hAnsi="仿宋_GB2312" w:cs="仿宋_GB2312" w:eastAsia="仿宋_GB2312"/>
                <w:sz w:val="24"/>
              </w:rPr>
              <w:t>小时；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）用户服务满意率≥</w:t>
            </w:r>
            <w:r>
              <w:rPr>
                <w:rFonts w:ascii="仿宋_GB2312" w:hAnsi="仿宋_GB2312" w:cs="仿宋_GB2312" w:eastAsia="仿宋_GB2312"/>
                <w:sz w:val="24"/>
              </w:rPr>
              <w:t>95%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）数据泄密事件：无；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）电话支持服务：维保单位提供联系服务工程师对于使用或其他咨询，</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小时方式，解决寻求的问题的解决方案、操作方法及技术指导。</w:t>
            </w:r>
          </w:p>
          <w:p>
            <w:pPr>
              <w:pStyle w:val="null3"/>
              <w:jc w:val="left"/>
            </w:pPr>
            <w:r>
              <w:rPr>
                <w:rFonts w:ascii="仿宋_GB2312" w:hAnsi="仿宋_GB2312" w:cs="仿宋_GB2312" w:eastAsia="仿宋_GB2312"/>
                <w:sz w:val="24"/>
              </w:rPr>
              <w:t>响应时间及承诺：具体响应方式及响应时间根据故障级别而定，其具体内容如下：</w:t>
            </w:r>
          </w:p>
          <w:tbl>
            <w:tblPr>
              <w:tblBorders>
                <w:top w:val="none" w:color="000000" w:sz="4"/>
                <w:left w:val="none" w:color="000000" w:sz="4"/>
                <w:bottom w:val="none" w:color="000000" w:sz="4"/>
                <w:right w:val="none" w:color="000000" w:sz="4"/>
                <w:insideH w:val="none"/>
                <w:insideV w:val="none"/>
              </w:tblBorders>
            </w:tblPr>
            <w:tblGrid>
              <w:gridCol w:w="348"/>
              <w:gridCol w:w="1032"/>
              <w:gridCol w:w="1173"/>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故障级别</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故障内容</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响应时间</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系统出现警告，不影响系统运行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7×24小时电话咨询，4小时内到达现场</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II</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出现硬件设备坏，但系统正常运行</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7×24小时电话咨询，3小时内到达现场</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III</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系统故障</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7×24小时电话咨询，2小时内到达现场</w:t>
                  </w:r>
                </w:p>
              </w:tc>
            </w:tr>
          </w:tbl>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运维服务内容</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）定期巡检。按月对系统进行定期健康状态巡检，出具巡检报告，并对存在的系统问题进行修护。</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）定期数据备份。每月对数据进行备份。</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7x24</w:t>
            </w:r>
            <w:r>
              <w:rPr>
                <w:rFonts w:ascii="仿宋_GB2312" w:hAnsi="仿宋_GB2312" w:cs="仿宋_GB2312" w:eastAsia="仿宋_GB2312"/>
                <w:sz w:val="24"/>
              </w:rPr>
              <w:t>的技术咨询服务，包括热线支持、邮件支持、远程协助等方式，以保证系统的稳定、正常的运行。如应用系统问题在</w:t>
            </w:r>
            <w:r>
              <w:rPr>
                <w:rFonts w:ascii="仿宋_GB2312" w:hAnsi="仿宋_GB2312" w:cs="仿宋_GB2312" w:eastAsia="仿宋_GB2312"/>
                <w:sz w:val="24"/>
              </w:rPr>
              <w:t>24</w:t>
            </w:r>
            <w:r>
              <w:rPr>
                <w:rFonts w:ascii="仿宋_GB2312" w:hAnsi="仿宋_GB2312" w:cs="仿宋_GB2312" w:eastAsia="仿宋_GB2312"/>
                <w:sz w:val="24"/>
              </w:rPr>
              <w:t>小时内得不到解决，必须派遣合格的技术人员及时纠正、修复存在的问题，并到系统安装现场进行系统更新。</w:t>
            </w:r>
          </w:p>
          <w:p>
            <w:pPr>
              <w:pStyle w:val="null3"/>
              <w:jc w:val="both"/>
            </w:pPr>
            <w:r>
              <w:rPr>
                <w:rFonts w:ascii="仿宋_GB2312" w:hAnsi="仿宋_GB2312" w:cs="仿宋_GB2312" w:eastAsia="仿宋_GB2312"/>
                <w:sz w:val="24"/>
              </w:rPr>
              <w:t>运行维护保障工作流程如下图所示</w:t>
            </w:r>
            <w:r>
              <w:rPr>
                <w:rFonts w:ascii="仿宋_GB2312" w:hAnsi="仿宋_GB2312" w:cs="仿宋_GB2312" w:eastAsia="仿宋_GB2312"/>
                <w:sz w:val="28"/>
              </w:rPr>
              <w:t>:</w:t>
            </w:r>
          </w:p>
          <w:p>
            <w:pPr>
              <w:pStyle w:val="null3"/>
              <w:jc w:val="both"/>
            </w:pPr>
            <w:r>
              <w:drawing>
                <wp:inline distT="0" distR="0" distB="0" distL="0">
                  <wp:extent cx="1621155" cy="339090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3390900"/>
                          </a:xfrm>
                          <a:prstGeom prst="rect">
                            <a:avLst/>
                          </a:prstGeom>
                        </pic:spPr>
                      </pic:pic>
                    </a:graphicData>
                  </a:graphic>
                </wp:inline>
              </w:drawing>
            </w:r>
          </w:p>
          <w:p>
            <w:pPr>
              <w:pStyle w:val="null3"/>
              <w:jc w:val="left"/>
            </w:pPr>
            <w:r>
              <w:rPr>
                <w:rFonts w:ascii="仿宋_GB2312" w:hAnsi="仿宋_GB2312" w:cs="仿宋_GB2312" w:eastAsia="仿宋_GB2312"/>
                <w:sz w:val="24"/>
              </w:rPr>
              <w:t>图</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运行维护保障工作流程</w:t>
            </w:r>
          </w:p>
          <w:p>
            <w:pPr>
              <w:pStyle w:val="null3"/>
              <w:jc w:val="center"/>
              <w:outlineLvl w:val="2"/>
            </w:pPr>
            <w:r>
              <w:rPr>
                <w:rFonts w:ascii="仿宋_GB2312" w:hAnsi="仿宋_GB2312" w:cs="仿宋_GB2312" w:eastAsia="仿宋_GB2312"/>
                <w:sz w:val="24"/>
                <w:b/>
              </w:rPr>
              <w:t xml:space="preserve">5、 </w:t>
            </w:r>
            <w:r>
              <w:rPr>
                <w:rFonts w:ascii="仿宋_GB2312" w:hAnsi="仿宋_GB2312" w:cs="仿宋_GB2312" w:eastAsia="仿宋_GB2312"/>
                <w:sz w:val="24"/>
                <w:b/>
              </w:rPr>
              <w:t>运维服务交付成果</w:t>
            </w:r>
          </w:p>
          <w:p>
            <w:pPr>
              <w:pStyle w:val="null3"/>
              <w:jc w:val="left"/>
            </w:pPr>
            <w:r>
              <w:rPr>
                <w:rFonts w:ascii="仿宋_GB2312" w:hAnsi="仿宋_GB2312" w:cs="仿宋_GB2312" w:eastAsia="仿宋_GB2312"/>
                <w:sz w:val="24"/>
              </w:rPr>
              <w:t>故障处理报告、运行维护服务报告等。</w:t>
            </w:r>
          </w:p>
          <w:p>
            <w:pPr>
              <w:pStyle w:val="null3"/>
              <w:jc w:val="left"/>
            </w:pPr>
            <w:r>
              <w:rPr>
                <w:rFonts w:ascii="仿宋_GB2312" w:hAnsi="仿宋_GB2312" w:cs="仿宋_GB2312" w:eastAsia="仿宋_GB2312"/>
                <w:sz w:val="24"/>
                <w:b/>
              </w:rPr>
              <w:t>（二）数据资源建设及数据治理服务</w:t>
            </w:r>
          </w:p>
          <w:p>
            <w:pPr>
              <w:pStyle w:val="null3"/>
              <w:jc w:val="left"/>
            </w:pPr>
            <w:r>
              <w:rPr>
                <w:rFonts w:ascii="仿宋_GB2312" w:hAnsi="仿宋_GB2312" w:cs="仿宋_GB2312" w:eastAsia="仿宋_GB2312"/>
                <w:sz w:val="24"/>
              </w:rPr>
              <w:t>1.多源数据采集子系统服务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2.业务数据分析中心服务。</w:t>
            </w:r>
          </w:p>
          <w:p>
            <w:pPr>
              <w:pStyle w:val="null3"/>
              <w:jc w:val="left"/>
            </w:pPr>
            <w:r>
              <w:rPr>
                <w:rFonts w:ascii="仿宋_GB2312" w:hAnsi="仿宋_GB2312" w:cs="仿宋_GB2312" w:eastAsia="仿宋_GB2312"/>
                <w:sz w:val="24"/>
              </w:rPr>
              <w:t>如报名供应商需了解具体内容，可联系采购人获取相关信息。</w:t>
            </w:r>
          </w:p>
          <w:p>
            <w:pPr>
              <w:pStyle w:val="null3"/>
              <w:jc w:val="left"/>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三、运维服务质量考核</w:t>
            </w:r>
          </w:p>
          <w:p>
            <w:pPr>
              <w:pStyle w:val="null3"/>
              <w:jc w:val="left"/>
            </w:pPr>
            <w:r>
              <w:rPr>
                <w:rFonts w:ascii="仿宋_GB2312" w:hAnsi="仿宋_GB2312" w:cs="仿宋_GB2312" w:eastAsia="仿宋_GB2312"/>
                <w:sz w:val="24"/>
                <w:b/>
              </w:rPr>
              <w:t>（一）质量计划</w:t>
            </w:r>
          </w:p>
          <w:p>
            <w:pPr>
              <w:pStyle w:val="null3"/>
              <w:jc w:val="left"/>
            </w:pPr>
            <w:r>
              <w:rPr>
                <w:rFonts w:ascii="仿宋_GB2312" w:hAnsi="仿宋_GB2312" w:cs="仿宋_GB2312" w:eastAsia="仿宋_GB2312"/>
                <w:sz w:val="24"/>
              </w:rPr>
              <w:t>质量计划是通过编制质量计划确定与项目相关的质量标准并决定达到标准的方法。在项目的每个阶段，针对不同的项目内容，制定相应的质量标准。</w:t>
            </w:r>
          </w:p>
          <w:p>
            <w:pPr>
              <w:pStyle w:val="null3"/>
              <w:jc w:val="left"/>
            </w:pPr>
            <w:r>
              <w:rPr>
                <w:rFonts w:ascii="仿宋_GB2312" w:hAnsi="仿宋_GB2312" w:cs="仿宋_GB2312" w:eastAsia="仿宋_GB2312"/>
                <w:sz w:val="24"/>
                <w:b/>
              </w:rPr>
              <w:t>（二）质量保证</w:t>
            </w:r>
          </w:p>
          <w:p>
            <w:pPr>
              <w:pStyle w:val="null3"/>
              <w:jc w:val="left"/>
            </w:pPr>
            <w:r>
              <w:rPr>
                <w:rFonts w:ascii="仿宋_GB2312" w:hAnsi="仿宋_GB2312" w:cs="仿宋_GB2312" w:eastAsia="仿宋_GB2312"/>
                <w:sz w:val="24"/>
              </w:rPr>
              <w:t>质量保证是在质量体系中实施的全部有计划、有系统的活动，以提供满足项目相关标准的信心。在本项目中质量保证的提供对象是项目管理班子以及项目的竣工验收评审班子。质量保证的一个循环过程是：质量保证的输入、质量保证的方法和技术、质量保证的输出。</w:t>
            </w:r>
          </w:p>
          <w:p>
            <w:pPr>
              <w:pStyle w:val="null3"/>
              <w:jc w:val="left"/>
            </w:pPr>
            <w:r>
              <w:rPr>
                <w:rFonts w:ascii="仿宋_GB2312" w:hAnsi="仿宋_GB2312" w:cs="仿宋_GB2312" w:eastAsia="仿宋_GB2312"/>
                <w:sz w:val="24"/>
              </w:rPr>
              <w:t>1、质量保证的输入是指将质量管理计划、质量控制测量结果、各功能的操作定义以文字的方式提交。</w:t>
            </w:r>
          </w:p>
          <w:p>
            <w:pPr>
              <w:pStyle w:val="null3"/>
              <w:jc w:val="left"/>
            </w:pPr>
            <w:r>
              <w:rPr>
                <w:rFonts w:ascii="仿宋_GB2312" w:hAnsi="仿宋_GB2312" w:cs="仿宋_GB2312" w:eastAsia="仿宋_GB2312"/>
                <w:sz w:val="24"/>
              </w:rPr>
              <w:t>2、质量保证的方法和技术是指根据质量保证的输入实施并评审质量保证的方法和技术。</w:t>
            </w:r>
          </w:p>
          <w:p>
            <w:pPr>
              <w:pStyle w:val="null3"/>
              <w:jc w:val="left"/>
            </w:pPr>
            <w:r>
              <w:rPr>
                <w:rFonts w:ascii="仿宋_GB2312" w:hAnsi="仿宋_GB2312" w:cs="仿宋_GB2312" w:eastAsia="仿宋_GB2312"/>
                <w:sz w:val="24"/>
              </w:rPr>
              <w:t>3、质量保证的输出是指：对质量保证的方法和技术评审结果进行审核，并由项目管理班子提供质量提高的方法和途径，并对先前的方法和技术进行改进。</w:t>
            </w:r>
          </w:p>
          <w:p>
            <w:pPr>
              <w:pStyle w:val="null3"/>
              <w:jc w:val="left"/>
            </w:pPr>
            <w:r>
              <w:rPr>
                <w:rFonts w:ascii="仿宋_GB2312" w:hAnsi="仿宋_GB2312" w:cs="仿宋_GB2312" w:eastAsia="仿宋_GB2312"/>
                <w:sz w:val="24"/>
                <w:b/>
              </w:rPr>
              <w:t>（三）质量控制</w:t>
            </w:r>
          </w:p>
          <w:p>
            <w:pPr>
              <w:pStyle w:val="null3"/>
              <w:jc w:val="left"/>
            </w:pPr>
            <w:r>
              <w:rPr>
                <w:rFonts w:ascii="仿宋_GB2312" w:hAnsi="仿宋_GB2312" w:cs="仿宋_GB2312" w:eastAsia="仿宋_GB2312"/>
                <w:sz w:val="24"/>
              </w:rPr>
              <w:t>质量控制是监控具体项目结果以决定它们是否符合相关的质量标准以及确定排除不满意结果的方法。质量控制贯穿于整个项目的全过程。在本项目中质量控制采用的方法主要有：</w:t>
            </w:r>
          </w:p>
          <w:p>
            <w:pPr>
              <w:pStyle w:val="null3"/>
              <w:jc w:val="left"/>
            </w:pPr>
            <w:r>
              <w:rPr>
                <w:rFonts w:ascii="仿宋_GB2312" w:hAnsi="仿宋_GB2312" w:cs="仿宋_GB2312" w:eastAsia="仿宋_GB2312"/>
                <w:sz w:val="24"/>
              </w:rPr>
              <w:t>检查：在项目运维的各个阶段普遍使用检查的方法以确定结果是否符合需求。</w:t>
            </w:r>
          </w:p>
          <w:p>
            <w:pPr>
              <w:pStyle w:val="null3"/>
              <w:jc w:val="left"/>
            </w:pPr>
            <w:r>
              <w:rPr>
                <w:rFonts w:ascii="仿宋_GB2312" w:hAnsi="仿宋_GB2312" w:cs="仿宋_GB2312" w:eastAsia="仿宋_GB2312"/>
                <w:sz w:val="24"/>
              </w:rPr>
              <w:t>控制图：用来监控任何类型的输出变量，也用于监控系统成本和进度的偏差、项目文档中的错误或其他管理结果。</w:t>
            </w:r>
          </w:p>
          <w:p>
            <w:pPr>
              <w:pStyle w:val="null3"/>
              <w:jc w:val="left"/>
            </w:pPr>
            <w:r>
              <w:rPr>
                <w:rFonts w:ascii="仿宋_GB2312" w:hAnsi="仿宋_GB2312" w:cs="仿宋_GB2312" w:eastAsia="仿宋_GB2312"/>
                <w:sz w:val="24"/>
              </w:rPr>
              <w:t>帕雷托图：帕雷托图是一种按发生频率排序的直方图，它显示了可识别原因的种类和所造成的结果的数量。该图可用于指导纠正项目团队采取的错误措施。</w:t>
            </w:r>
          </w:p>
          <w:p>
            <w:pPr>
              <w:pStyle w:val="null3"/>
              <w:jc w:val="left"/>
            </w:pPr>
            <w:r>
              <w:rPr>
                <w:rFonts w:ascii="仿宋_GB2312" w:hAnsi="仿宋_GB2312" w:cs="仿宋_GB2312" w:eastAsia="仿宋_GB2312"/>
                <w:sz w:val="24"/>
              </w:rPr>
              <w:t>统计抽样：统计抽样的方法能够经常用于系统质量控制的过程，同时可以有效地降低质量控制成本。同时，该方法要求项目管理班子熟悉各种抽样技术。</w:t>
            </w:r>
          </w:p>
          <w:p>
            <w:pPr>
              <w:pStyle w:val="null3"/>
              <w:jc w:val="left"/>
            </w:pPr>
            <w:r>
              <w:rPr>
                <w:rFonts w:ascii="仿宋_GB2312" w:hAnsi="仿宋_GB2312" w:cs="仿宋_GB2312" w:eastAsia="仿宋_GB2312"/>
                <w:sz w:val="24"/>
              </w:rPr>
              <w:t>流程图：在质量控制中流程图用来帮助分析问题的产生原因。</w:t>
            </w:r>
          </w:p>
          <w:p>
            <w:pPr>
              <w:pStyle w:val="null3"/>
              <w:jc w:val="left"/>
            </w:pPr>
            <w:r>
              <w:rPr>
                <w:rFonts w:ascii="仿宋_GB2312" w:hAnsi="仿宋_GB2312" w:cs="仿宋_GB2312" w:eastAsia="仿宋_GB2312"/>
                <w:sz w:val="24"/>
                <w:b/>
              </w:rPr>
              <w:t>（四）质量考核</w:t>
            </w:r>
          </w:p>
          <w:p>
            <w:pPr>
              <w:pStyle w:val="null3"/>
              <w:jc w:val="left"/>
            </w:pPr>
            <w:r>
              <w:rPr>
                <w:rFonts w:ascii="仿宋_GB2312" w:hAnsi="仿宋_GB2312" w:cs="仿宋_GB2312" w:eastAsia="仿宋_GB2312"/>
                <w:sz w:val="24"/>
                <w:b/>
              </w:rPr>
              <w:t>1 、信息系统运维考核</w:t>
            </w:r>
          </w:p>
          <w:p>
            <w:pPr>
              <w:pStyle w:val="null3"/>
              <w:jc w:val="left"/>
            </w:pPr>
            <w:r>
              <w:rPr>
                <w:rFonts w:ascii="仿宋_GB2312" w:hAnsi="仿宋_GB2312" w:cs="仿宋_GB2312" w:eastAsia="仿宋_GB2312"/>
                <w:sz w:val="24"/>
                <w:b/>
              </w:rPr>
              <w:t>1）信息系统安全考核</w:t>
            </w:r>
          </w:p>
          <w:p>
            <w:pPr>
              <w:pStyle w:val="null3"/>
              <w:jc w:val="left"/>
            </w:pPr>
            <w:r>
              <w:rPr>
                <w:rFonts w:ascii="仿宋_GB2312" w:hAnsi="仿宋_GB2312" w:cs="仿宋_GB2312" w:eastAsia="仿宋_GB2312"/>
                <w:sz w:val="24"/>
              </w:rPr>
              <w:t>每发生一起有责任的一级信息安全事件，扣</w:t>
            </w:r>
            <w:r>
              <w:rPr>
                <w:rFonts w:ascii="仿宋_GB2312" w:hAnsi="仿宋_GB2312" w:cs="仿宋_GB2312" w:eastAsia="仿宋_GB2312"/>
                <w:sz w:val="24"/>
              </w:rPr>
              <w:t>20分；每发生一起有责任的二级信息安全事件，扣15分；每发生一起有责任的三级信息安全事件，扣10分；每发生一起有责任的四级信息安全事件，扣5分。该项总扣分不超过50分。</w:t>
            </w:r>
          </w:p>
          <w:tbl>
            <w:tblPr>
              <w:tblBorders>
                <w:top w:val="none" w:color="000000" w:sz="4"/>
                <w:left w:val="none" w:color="000000" w:sz="4"/>
                <w:bottom w:val="none" w:color="000000" w:sz="4"/>
                <w:right w:val="none" w:color="000000" w:sz="4"/>
                <w:insideH w:val="none"/>
                <w:insideV w:val="none"/>
              </w:tblBorders>
            </w:tblPr>
            <w:tblGrid>
              <w:gridCol w:w="284"/>
              <w:gridCol w:w="870"/>
              <w:gridCol w:w="479"/>
              <w:gridCol w:w="919"/>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信息安全事件等级</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考核分值</w:t>
                  </w:r>
                </w:p>
              </w:tc>
              <w:tc>
                <w:tcPr>
                  <w:tcW w:type="dxa" w:w="9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一级</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9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总扣分不超过</w:t>
                  </w:r>
                  <w:r>
                    <w:rPr>
                      <w:rFonts w:ascii="仿宋_GB2312" w:hAnsi="仿宋_GB2312" w:cs="仿宋_GB2312" w:eastAsia="仿宋_GB2312"/>
                      <w:sz w:val="24"/>
                    </w:rPr>
                    <w:t>50分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二级</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919"/>
                  <w:vMerge/>
                  <w:tcBorders>
                    <w:top w:val="none" w:color="000000" w:sz="4"/>
                    <w:left w:val="singl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三级</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919"/>
                  <w:vMerge/>
                  <w:tcBorders>
                    <w:top w:val="none" w:color="000000" w:sz="4"/>
                    <w:left w:val="single" w:color="000000" w:sz="4"/>
                    <w:bottom w:val="single" w:color="000000" w:sz="4"/>
                    <w:right w:val="single" w:color="000000" w:sz="4"/>
                  </w:tcBorders>
                </w:tcP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四级</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919"/>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rPr>
              <w:t>2）故障处理情况考核</w:t>
            </w:r>
          </w:p>
          <w:p>
            <w:pPr>
              <w:pStyle w:val="null3"/>
              <w:jc w:val="left"/>
            </w:pPr>
            <w:r>
              <w:rPr>
                <w:rFonts w:ascii="仿宋_GB2312" w:hAnsi="仿宋_GB2312" w:cs="仿宋_GB2312" w:eastAsia="仿宋_GB2312"/>
                <w:sz w:val="24"/>
              </w:rPr>
              <w:t>A.发生特大故障，影响到关键业务办理，或50%以上用户业务受影响，应在故障发生后1个工作日内完成修复，未按时修复的，每发生一起扣1分。</w:t>
            </w:r>
          </w:p>
          <w:p>
            <w:pPr>
              <w:pStyle w:val="null3"/>
              <w:jc w:val="left"/>
            </w:pPr>
            <w:r>
              <w:rPr>
                <w:rFonts w:ascii="仿宋_GB2312" w:hAnsi="仿宋_GB2312" w:cs="仿宋_GB2312" w:eastAsia="仿宋_GB2312"/>
                <w:sz w:val="24"/>
              </w:rPr>
              <w:t>B.发生重大故障，影响到关键业务办理，或30%以上用户业务受影响，应在故障发生后2个工作日内完成修复，未按时修复的，每发生一起扣1分。</w:t>
            </w:r>
          </w:p>
          <w:p>
            <w:pPr>
              <w:pStyle w:val="null3"/>
              <w:jc w:val="left"/>
            </w:pPr>
            <w:r>
              <w:rPr>
                <w:rFonts w:ascii="仿宋_GB2312" w:hAnsi="仿宋_GB2312" w:cs="仿宋_GB2312" w:eastAsia="仿宋_GB2312"/>
                <w:sz w:val="24"/>
              </w:rPr>
              <w:t>C.发生一般故障，未影响关键业务办理但需及时处理的，应在故障发生后3个工作日内完成修复，未按时修复的，每发生一起扣1分。</w:t>
            </w:r>
          </w:p>
          <w:tbl>
            <w:tblPr>
              <w:tblBorders>
                <w:top w:val="none" w:color="000000" w:sz="4"/>
                <w:left w:val="none" w:color="000000" w:sz="4"/>
                <w:bottom w:val="none" w:color="000000" w:sz="4"/>
                <w:right w:val="none" w:color="000000" w:sz="4"/>
                <w:insideH w:val="none"/>
                <w:insideV w:val="none"/>
              </w:tblBorders>
            </w:tblPr>
            <w:tblGrid>
              <w:gridCol w:w="287"/>
              <w:gridCol w:w="807"/>
              <w:gridCol w:w="821"/>
              <w:gridCol w:w="63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故障等级</w:t>
                  </w:r>
                </w:p>
              </w:tc>
              <w:tc>
                <w:tcPr>
                  <w:tcW w:type="dxa" w:w="8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最后解决时限</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考核分值</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发生特大故障</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1个工作日内完成修复</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未按时修复扣</w:t>
                  </w:r>
                  <w:r>
                    <w:rPr>
                      <w:rFonts w:ascii="仿宋_GB2312" w:hAnsi="仿宋_GB2312" w:cs="仿宋_GB2312" w:eastAsia="仿宋_GB2312"/>
                      <w:sz w:val="24"/>
                    </w:rPr>
                    <w:t>1分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发生重大故障</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2个工作日内完成修复</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未按时修复扣</w:t>
                  </w:r>
                  <w:r>
                    <w:rPr>
                      <w:rFonts w:ascii="仿宋_GB2312" w:hAnsi="仿宋_GB2312" w:cs="仿宋_GB2312" w:eastAsia="仿宋_GB2312"/>
                      <w:sz w:val="24"/>
                    </w:rPr>
                    <w:t>1分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发生一般故障</w:t>
                  </w:r>
                </w:p>
              </w:tc>
              <w:tc>
                <w:tcPr>
                  <w:tcW w:type="dxa" w:w="8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3个工作日内完成修复</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未按时修复扣</w:t>
                  </w:r>
                  <w:r>
                    <w:rPr>
                      <w:rFonts w:ascii="仿宋_GB2312" w:hAnsi="仿宋_GB2312" w:cs="仿宋_GB2312" w:eastAsia="仿宋_GB2312"/>
                      <w:sz w:val="24"/>
                    </w:rPr>
                    <w:t>1分</w:t>
                  </w:r>
                </w:p>
              </w:tc>
            </w:tr>
          </w:tbl>
          <w:p>
            <w:pPr>
              <w:pStyle w:val="null3"/>
              <w:jc w:val="left"/>
            </w:pPr>
            <w:r>
              <w:rPr>
                <w:rFonts w:ascii="仿宋_GB2312" w:hAnsi="仿宋_GB2312" w:cs="仿宋_GB2312" w:eastAsia="仿宋_GB2312"/>
                <w:sz w:val="24"/>
                <w:b/>
              </w:rPr>
              <w:t>3）违规及误操作情况考核</w:t>
            </w:r>
          </w:p>
          <w:p>
            <w:pPr>
              <w:pStyle w:val="null3"/>
              <w:jc w:val="left"/>
            </w:pPr>
            <w:r>
              <w:rPr>
                <w:rFonts w:ascii="仿宋_GB2312" w:hAnsi="仿宋_GB2312" w:cs="仿宋_GB2312" w:eastAsia="仿宋_GB2312"/>
                <w:sz w:val="24"/>
              </w:rPr>
              <w:t>A.不遵守中共海南省委网络安全和信息化委员会办公室相关维护工作相关规定，进行违规操作的，每发生一次，扣除1分；</w:t>
            </w:r>
          </w:p>
          <w:p>
            <w:pPr>
              <w:pStyle w:val="null3"/>
              <w:jc w:val="left"/>
            </w:pPr>
            <w:r>
              <w:rPr>
                <w:rFonts w:ascii="仿宋_GB2312" w:hAnsi="仿宋_GB2312" w:cs="仿宋_GB2312" w:eastAsia="仿宋_GB2312"/>
                <w:sz w:val="24"/>
              </w:rPr>
              <w:t>B.误操作每发生一次，扣除1分；</w:t>
            </w:r>
          </w:p>
          <w:tbl>
            <w:tblPr>
              <w:tblBorders>
                <w:top w:val="none" w:color="000000" w:sz="4"/>
                <w:left w:val="none" w:color="000000" w:sz="4"/>
                <w:bottom w:val="none" w:color="000000" w:sz="4"/>
                <w:right w:val="none" w:color="000000" w:sz="4"/>
                <w:insideH w:val="none"/>
                <w:insideV w:val="none"/>
              </w:tblBorders>
            </w:tblPr>
            <w:tblGrid>
              <w:gridCol w:w="329"/>
              <w:gridCol w:w="1373"/>
              <w:gridCol w:w="851"/>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1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考核事项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考核分值</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不遵守中共海南省委网络安全和信息化委员会办公室相关维护工作相关规定</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每发生一次，扣除</w:t>
                  </w:r>
                  <w:r>
                    <w:rPr>
                      <w:rFonts w:ascii="仿宋_GB2312" w:hAnsi="仿宋_GB2312" w:cs="仿宋_GB2312" w:eastAsia="仿宋_GB2312"/>
                      <w:sz w:val="24"/>
                    </w:rPr>
                    <w:t>1分</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1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进行误操作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每发生一次，扣除</w:t>
                  </w:r>
                  <w:r>
                    <w:rPr>
                      <w:rFonts w:ascii="仿宋_GB2312" w:hAnsi="仿宋_GB2312" w:cs="仿宋_GB2312" w:eastAsia="仿宋_GB2312"/>
                      <w:sz w:val="24"/>
                    </w:rPr>
                    <w:t>1分</w:t>
                  </w:r>
                </w:p>
              </w:tc>
            </w:tr>
          </w:tbl>
          <w:p>
            <w:pPr>
              <w:pStyle w:val="null3"/>
              <w:jc w:val="left"/>
            </w:pPr>
            <w:r>
              <w:rPr>
                <w:rFonts w:ascii="仿宋_GB2312" w:hAnsi="仿宋_GB2312" w:cs="仿宋_GB2312" w:eastAsia="仿宋_GB2312"/>
                <w:sz w:val="24"/>
                <w:b/>
              </w:rPr>
              <w:t>4）运维文档提交情况</w:t>
            </w:r>
          </w:p>
          <w:p>
            <w:pPr>
              <w:pStyle w:val="null3"/>
              <w:jc w:val="left"/>
            </w:pPr>
            <w:r>
              <w:rPr>
                <w:rFonts w:ascii="仿宋_GB2312" w:hAnsi="仿宋_GB2312" w:cs="仿宋_GB2312" w:eastAsia="仿宋_GB2312"/>
                <w:sz w:val="24"/>
              </w:rPr>
              <w:t>A.故障处理结束后3个工作日内提交纸质版《运维工单》、软硬件《故障处理分析报告》同时应已电子邮件的形式提交《故障情况通报表》，每发生1次未按时、按质量提交，扣除1分；</w:t>
            </w:r>
          </w:p>
          <w:p>
            <w:pPr>
              <w:pStyle w:val="null3"/>
              <w:jc w:val="left"/>
            </w:pPr>
            <w:r>
              <w:rPr>
                <w:rFonts w:ascii="仿宋_GB2312" w:hAnsi="仿宋_GB2312" w:cs="仿宋_GB2312" w:eastAsia="仿宋_GB2312"/>
                <w:sz w:val="24"/>
              </w:rPr>
              <w:t>B.设备或系统配置发生变更，处理结束后2个工作日内提交纸质版《设备/系统配置变更表》，每发生1次未按时、按质量提交，扣除1分；</w:t>
            </w:r>
          </w:p>
          <w:p>
            <w:pPr>
              <w:pStyle w:val="null3"/>
              <w:jc w:val="left"/>
            </w:pPr>
            <w:r>
              <w:rPr>
                <w:rFonts w:ascii="仿宋_GB2312" w:hAnsi="仿宋_GB2312" w:cs="仿宋_GB2312" w:eastAsia="仿宋_GB2312"/>
                <w:sz w:val="24"/>
              </w:rPr>
              <w:t>C.验收完成后5个工作日内提交纸质版《运维验收报告》，未按时、按质量提交，扣除1分；</w:t>
            </w:r>
          </w:p>
          <w:tbl>
            <w:tblPr>
              <w:tblBorders>
                <w:top w:val="none" w:color="000000" w:sz="4"/>
                <w:left w:val="none" w:color="000000" w:sz="4"/>
                <w:bottom w:val="none" w:color="000000" w:sz="4"/>
                <w:right w:val="none" w:color="000000" w:sz="4"/>
                <w:insideH w:val="none"/>
                <w:insideV w:val="none"/>
              </w:tblBorders>
            </w:tblPr>
            <w:tblGrid>
              <w:gridCol w:w="288"/>
              <w:gridCol w:w="1414"/>
              <w:gridCol w:w="851"/>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1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考核事项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考核分值</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故障处理结束后</w:t>
                  </w:r>
                  <w:r>
                    <w:rPr>
                      <w:rFonts w:ascii="仿宋_GB2312" w:hAnsi="仿宋_GB2312" w:cs="仿宋_GB2312" w:eastAsia="仿宋_GB2312"/>
                      <w:sz w:val="21"/>
                    </w:rPr>
                    <w:t>3个工作日内提交纸质版《运维工单》、《故障处理分析报告》同时应已电子邮件的形式提交《故障情况通报表》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每发生</w:t>
                  </w:r>
                  <w:r>
                    <w:rPr>
                      <w:rFonts w:ascii="仿宋_GB2312" w:hAnsi="仿宋_GB2312" w:cs="仿宋_GB2312" w:eastAsia="仿宋_GB2312"/>
                      <w:sz w:val="21"/>
                    </w:rPr>
                    <w:t>1次未按时、按质量提交，扣除1分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设备或系统配置发生变更，处理结束后</w:t>
                  </w:r>
                  <w:r>
                    <w:rPr>
                      <w:rFonts w:ascii="仿宋_GB2312" w:hAnsi="仿宋_GB2312" w:cs="仿宋_GB2312" w:eastAsia="仿宋_GB2312"/>
                      <w:sz w:val="21"/>
                    </w:rPr>
                    <w:t>2个工作日内提交纸质版《设备/系统配置变更表》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每发生</w:t>
                  </w:r>
                  <w:r>
                    <w:rPr>
                      <w:rFonts w:ascii="仿宋_GB2312" w:hAnsi="仿宋_GB2312" w:cs="仿宋_GB2312" w:eastAsia="仿宋_GB2312"/>
                      <w:sz w:val="21"/>
                    </w:rPr>
                    <w:t>1次未按时、按质量提交，扣除1分</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验收完成后</w:t>
                  </w:r>
                  <w:r>
                    <w:rPr>
                      <w:rFonts w:ascii="仿宋_GB2312" w:hAnsi="仿宋_GB2312" w:cs="仿宋_GB2312" w:eastAsia="仿宋_GB2312"/>
                      <w:sz w:val="21"/>
                    </w:rPr>
                    <w:t>5个工作日内提交纸质版《运维验收报告》</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未按时、按质量提交，扣除</w:t>
                  </w:r>
                  <w:r>
                    <w:rPr>
                      <w:rFonts w:ascii="仿宋_GB2312" w:hAnsi="仿宋_GB2312" w:cs="仿宋_GB2312" w:eastAsia="仿宋_GB2312"/>
                      <w:sz w:val="21"/>
                    </w:rPr>
                    <w:t>1分</w:t>
                  </w:r>
                </w:p>
              </w:tc>
            </w:tr>
          </w:tbl>
          <w:p>
            <w:pPr>
              <w:pStyle w:val="null3"/>
              <w:jc w:val="left"/>
            </w:pPr>
            <w:r>
              <w:rPr>
                <w:rFonts w:ascii="仿宋_GB2312" w:hAnsi="仿宋_GB2312" w:cs="仿宋_GB2312" w:eastAsia="仿宋_GB2312"/>
                <w:sz w:val="24"/>
                <w:b/>
              </w:rPr>
              <w:t>5）工作满意度</w:t>
            </w:r>
          </w:p>
          <w:p>
            <w:pPr>
              <w:pStyle w:val="null3"/>
              <w:jc w:val="left"/>
            </w:pPr>
            <w:r>
              <w:rPr>
                <w:rFonts w:ascii="仿宋_GB2312" w:hAnsi="仿宋_GB2312" w:cs="仿宋_GB2312" w:eastAsia="仿宋_GB2312"/>
                <w:sz w:val="24"/>
              </w:rPr>
              <w:t>A.客户满意度低于95%，扣除1分；</w:t>
            </w:r>
          </w:p>
          <w:p>
            <w:pPr>
              <w:pStyle w:val="null3"/>
              <w:jc w:val="left"/>
            </w:pPr>
            <w:r>
              <w:rPr>
                <w:rFonts w:ascii="仿宋_GB2312" w:hAnsi="仿宋_GB2312" w:cs="仿宋_GB2312" w:eastAsia="仿宋_GB2312"/>
                <w:sz w:val="24"/>
              </w:rPr>
              <w:t>B.运维服务期间，总体客户满意度低于95%，将不能参加下年度的运维投标。</w:t>
            </w:r>
          </w:p>
          <w:p>
            <w:pPr>
              <w:pStyle w:val="null3"/>
              <w:jc w:val="left"/>
            </w:pPr>
            <w:r>
              <w:rPr>
                <w:rFonts w:ascii="仿宋_GB2312" w:hAnsi="仿宋_GB2312" w:cs="仿宋_GB2312" w:eastAsia="仿宋_GB2312"/>
                <w:sz w:val="24"/>
                <w:b/>
              </w:rPr>
              <w:t>6）运维考核</w:t>
            </w:r>
          </w:p>
          <w:p>
            <w:pPr>
              <w:pStyle w:val="null3"/>
              <w:jc w:val="left"/>
            </w:pPr>
            <w:r>
              <w:rPr>
                <w:rFonts w:ascii="仿宋_GB2312" w:hAnsi="仿宋_GB2312" w:cs="仿宋_GB2312" w:eastAsia="仿宋_GB2312"/>
                <w:sz w:val="24"/>
              </w:rPr>
              <w:t>通过运维考核确保运维团队的服务质量、响应速度、问题解决效率符合要求，同时提升团队整体绩效，保障业主单位稳定运行。</w:t>
            </w:r>
          </w:p>
          <w:p>
            <w:pPr>
              <w:pStyle w:val="null3"/>
              <w:jc w:val="left"/>
            </w:pPr>
            <w:r>
              <w:rPr>
                <w:rFonts w:ascii="仿宋_GB2312" w:hAnsi="仿宋_GB2312" w:cs="仿宋_GB2312" w:eastAsia="仿宋_GB2312"/>
                <w:sz w:val="24"/>
              </w:rPr>
              <w:t>A、通过业主单位进行运维服务质量打分，运维服务质量优秀不扣分，运维服务质量中等扣1分，运维服务质量差扣2分。</w:t>
            </w:r>
          </w:p>
          <w:p>
            <w:pPr>
              <w:pStyle w:val="null3"/>
              <w:jc w:val="left"/>
            </w:pPr>
            <w:r>
              <w:rPr>
                <w:rFonts w:ascii="仿宋_GB2312" w:hAnsi="仿宋_GB2312" w:cs="仿宋_GB2312" w:eastAsia="仿宋_GB2312"/>
                <w:sz w:val="24"/>
              </w:rPr>
              <w:t>B、通过业主单位进行运维响应速度打分，运维响应速度优秀不扣分，运维响应速度中等扣1分，运维响应速度差扣2分。</w:t>
            </w:r>
          </w:p>
          <w:p>
            <w:pPr>
              <w:pStyle w:val="null3"/>
              <w:jc w:val="left"/>
            </w:pPr>
            <w:r>
              <w:rPr>
                <w:rFonts w:ascii="仿宋_GB2312" w:hAnsi="仿宋_GB2312" w:cs="仿宋_GB2312" w:eastAsia="仿宋_GB2312"/>
                <w:sz w:val="24"/>
              </w:rPr>
              <w:t>C、通过业主单位进行运维问题解决效率打分，运维问题解决效率优秀不扣分，运维问题解决效率中等扣1分，运维问题解决效率差扣2分。</w:t>
            </w:r>
          </w:p>
          <w:p>
            <w:pPr>
              <w:pStyle w:val="null3"/>
              <w:jc w:val="left"/>
            </w:pPr>
            <w:r>
              <w:rPr>
                <w:rFonts w:ascii="仿宋_GB2312" w:hAnsi="仿宋_GB2312" w:cs="仿宋_GB2312" w:eastAsia="仿宋_GB2312"/>
                <w:sz w:val="24"/>
                <w:b/>
              </w:rPr>
              <w:t>7）奖罚办法</w:t>
            </w:r>
          </w:p>
          <w:p>
            <w:pPr>
              <w:pStyle w:val="null3"/>
              <w:jc w:val="left"/>
            </w:pPr>
            <w:r>
              <w:rPr>
                <w:rFonts w:ascii="仿宋_GB2312" w:hAnsi="仿宋_GB2312" w:cs="仿宋_GB2312" w:eastAsia="仿宋_GB2312"/>
                <w:sz w:val="24"/>
              </w:rPr>
              <w:t>考核评分总分为</w:t>
            </w:r>
            <w:r>
              <w:rPr>
                <w:rFonts w:ascii="仿宋_GB2312" w:hAnsi="仿宋_GB2312" w:cs="仿宋_GB2312" w:eastAsia="仿宋_GB2312"/>
                <w:sz w:val="24"/>
              </w:rPr>
              <w:t>100分，考核得分大于或等于80分为合格，全额支付运维费用；考核得分低于80分，考核结果为不合格的，被考核单位应按中共海南省委网络安全和信息化委员会办公室要求进行整改，整改完成后要及时向考核部门报告整改情况，考核部门应及时组织再次考核，第二次考核不合格，支付合同额的80%费用。</w:t>
            </w:r>
          </w:p>
          <w:p>
            <w:pPr>
              <w:pStyle w:val="null3"/>
              <w:jc w:val="left"/>
            </w:pPr>
            <w:r>
              <w:rPr>
                <w:rFonts w:ascii="仿宋_GB2312" w:hAnsi="仿宋_GB2312" w:cs="仿宋_GB2312" w:eastAsia="仿宋_GB2312"/>
                <w:sz w:val="24"/>
              </w:rPr>
              <w:t xml:space="preserve">(五） </w:t>
            </w:r>
            <w:r>
              <w:rPr>
                <w:rFonts w:ascii="仿宋_GB2312" w:hAnsi="仿宋_GB2312" w:cs="仿宋_GB2312" w:eastAsia="仿宋_GB2312"/>
                <w:sz w:val="24"/>
              </w:rPr>
              <w:t>运维指标</w:t>
            </w:r>
          </w:p>
          <w:p>
            <w:pPr>
              <w:pStyle w:val="null3"/>
              <w:jc w:val="left"/>
            </w:pPr>
            <w:r>
              <w:rPr>
                <w:rFonts w:ascii="仿宋_GB2312" w:hAnsi="仿宋_GB2312" w:cs="仿宋_GB2312" w:eastAsia="仿宋_GB2312"/>
                <w:sz w:val="24"/>
              </w:rPr>
              <w:t>对于机房及其配套设施运维、网络与安全系统运维、服务器与存储系统的运维和其他软硬件运维服务的指标评价，可以参考以下几个方面：</w:t>
            </w:r>
          </w:p>
          <w:p>
            <w:pPr>
              <w:pStyle w:val="null3"/>
              <w:jc w:val="left"/>
            </w:pPr>
            <w:r>
              <w:rPr>
                <w:rFonts w:ascii="仿宋_GB2312" w:hAnsi="仿宋_GB2312" w:cs="仿宋_GB2312" w:eastAsia="仿宋_GB2312"/>
                <w:sz w:val="24"/>
              </w:rPr>
              <w:t>1、故障恢复能力：优秀的运维服务应具备快速恢复故障的能力，能够在系统或设备出现故障时迅速恢复正常运行，减少业务中断时间。</w:t>
            </w:r>
          </w:p>
          <w:p>
            <w:pPr>
              <w:pStyle w:val="null3"/>
              <w:jc w:val="left"/>
            </w:pPr>
            <w:r>
              <w:rPr>
                <w:rFonts w:ascii="仿宋_GB2312" w:hAnsi="仿宋_GB2312" w:cs="仿宋_GB2312" w:eastAsia="仿宋_GB2312"/>
                <w:sz w:val="24"/>
              </w:rPr>
              <w:t>2、预防性维护：好的运维服务不仅处理故障，更应预防故障。通过定期的预防性维护，如更新软件补丁、清理硬件灰尘等，可以延长设备使用寿命，减少故障发生。</w:t>
            </w:r>
          </w:p>
          <w:p>
            <w:pPr>
              <w:pStyle w:val="null3"/>
              <w:jc w:val="left"/>
            </w:pPr>
            <w:r>
              <w:rPr>
                <w:rFonts w:ascii="仿宋_GB2312" w:hAnsi="仿宋_GB2312" w:cs="仿宋_GB2312" w:eastAsia="仿宋_GB2312"/>
                <w:sz w:val="24"/>
              </w:rPr>
              <w:t>3、自动化水平：随着技术的发展，运维服务应具备较高的自动化水平。通过自动化工具和平台，可以减少人工干预，提高运维效率。</w:t>
            </w:r>
          </w:p>
          <w:p>
            <w:pPr>
              <w:pStyle w:val="null3"/>
              <w:jc w:val="left"/>
            </w:pPr>
            <w:r>
              <w:rPr>
                <w:rFonts w:ascii="仿宋_GB2312" w:hAnsi="仿宋_GB2312" w:cs="仿宋_GB2312" w:eastAsia="仿宋_GB2312"/>
                <w:sz w:val="24"/>
              </w:rPr>
              <w:t>4、安全性保障：软硬件运维服务必须严格保障安全性，包括防止黑客攻击、数据泄露等。好的运维服务应建立完善的安全防护体系，确保系统安全稳定运行。</w:t>
            </w:r>
          </w:p>
          <w:p>
            <w:pPr>
              <w:pStyle w:val="null3"/>
              <w:jc w:val="left"/>
            </w:pPr>
            <w:r>
              <w:rPr>
                <w:rFonts w:ascii="仿宋_GB2312" w:hAnsi="仿宋_GB2312" w:cs="仿宋_GB2312" w:eastAsia="仿宋_GB2312"/>
                <w:sz w:val="24"/>
              </w:rPr>
              <w:t>5、文档管理：良好的文档管理是评价运维服务的一个重要指标。详细的运维文档可以帮助用户了解系统运行状况、故障处理记录等信息，提高运维效率。</w:t>
            </w:r>
          </w:p>
          <w:p>
            <w:pPr>
              <w:pStyle w:val="null3"/>
              <w:jc w:val="left"/>
            </w:pPr>
            <w:r>
              <w:rPr>
                <w:rFonts w:ascii="仿宋_GB2312" w:hAnsi="仿宋_GB2312" w:cs="仿宋_GB2312" w:eastAsia="仿宋_GB2312"/>
                <w:sz w:val="24"/>
              </w:rPr>
              <w:t>6、客户支持：优秀的运维服务应提供全面的客户支持，包括响应速度快、解决方案有效、客户沟通顺畅等。通过良好的客户支持，可以提高客户满意度。</w:t>
            </w:r>
          </w:p>
          <w:p>
            <w:pPr>
              <w:pStyle w:val="null3"/>
              <w:jc w:val="left"/>
            </w:pPr>
            <w:r>
              <w:rPr>
                <w:rFonts w:ascii="仿宋_GB2312" w:hAnsi="仿宋_GB2312" w:cs="仿宋_GB2312" w:eastAsia="仿宋_GB2312"/>
                <w:sz w:val="24"/>
              </w:rPr>
              <w:t>7、成本效益：好的运维服务应在保证服务质量的前提下，合理控制成本。同时，也应提供高性价比的解决方案，帮助客户降低总体拥有成本（TCO）。</w:t>
            </w:r>
          </w:p>
          <w:p>
            <w:pPr>
              <w:pStyle w:val="null3"/>
              <w:jc w:val="left"/>
            </w:pPr>
            <w:r>
              <w:rPr>
                <w:rFonts w:ascii="仿宋_GB2312" w:hAnsi="仿宋_GB2312" w:cs="仿宋_GB2312" w:eastAsia="仿宋_GB2312"/>
                <w:sz w:val="24"/>
              </w:rPr>
              <w:t>8、技术更新能力：随着技术的不断发展，运维服务应具备及时跟进和更新技术能力。通过不断学习新技术、新方法，可以提高运维效率和质量。</w:t>
            </w:r>
          </w:p>
          <w:p>
            <w:pPr>
              <w:pStyle w:val="null3"/>
              <w:jc w:val="left"/>
            </w:pPr>
            <w:r>
              <w:rPr>
                <w:rFonts w:ascii="仿宋_GB2312" w:hAnsi="仿宋_GB2312" w:cs="仿宋_GB2312" w:eastAsia="仿宋_GB2312"/>
                <w:sz w:val="24"/>
              </w:rPr>
              <w:t>基于以上几个方面，可以将其他软硬件运维服务评价为优、中、差三个等级。具体而言：</w:t>
            </w:r>
          </w:p>
          <w:p>
            <w:pPr>
              <w:pStyle w:val="null3"/>
              <w:jc w:val="left"/>
            </w:pPr>
            <w:r>
              <w:rPr>
                <w:rFonts w:ascii="仿宋_GB2312" w:hAnsi="仿宋_GB2312" w:cs="仿宋_GB2312" w:eastAsia="仿宋_GB2312"/>
                <w:sz w:val="24"/>
              </w:rPr>
              <w:t>优秀：故障恢复快、预防性维护到位、自动化水平高、安全性保障强、文档管理规范、客户支持好、成本效益佳、技术更新能力强。</w:t>
            </w:r>
          </w:p>
          <w:p>
            <w:pPr>
              <w:pStyle w:val="null3"/>
              <w:jc w:val="left"/>
            </w:pPr>
            <w:r>
              <w:rPr>
                <w:rFonts w:ascii="仿宋_GB2312" w:hAnsi="仿宋_GB2312" w:cs="仿宋_GB2312" w:eastAsia="仿宋_GB2312"/>
                <w:sz w:val="24"/>
              </w:rPr>
              <w:t>中等：故障恢复基本及时、预防性维护有一定实施、自动化水平基本满足需求、安全性保障基本达标、文档管理较为规范、客户支持基本满足需求、成本效益较为平衡、技术更新能力有一定跟进。</w:t>
            </w:r>
          </w:p>
          <w:p>
            <w:pPr>
              <w:pStyle w:val="null3"/>
              <w:jc w:val="left"/>
            </w:pPr>
            <w:r>
              <w:rPr>
                <w:rFonts w:ascii="仿宋_GB2312" w:hAnsi="仿宋_GB2312" w:cs="仿宋_GB2312" w:eastAsia="仿宋_GB2312"/>
                <w:sz w:val="24"/>
              </w:rPr>
              <w:t>差：故障恢复慢、预防性维护不足、自动化水平低、安全性保障存在漏洞、文档管理不规范、客户支持差、成本效益较差、技术更新能力弱。</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both"/>
            </w:pPr>
            <w:r>
              <w:rPr>
                <w:rFonts w:ascii="仿宋_GB2312" w:hAnsi="仿宋_GB2312" w:cs="仿宋_GB2312" w:eastAsia="仿宋_GB2312"/>
                <w:sz w:val="24"/>
                <w:color w:val="333333"/>
              </w:rPr>
              <w:t>1.</w:t>
            </w:r>
            <w:r>
              <w:rPr>
                <w:rFonts w:ascii="仿宋_GB2312" w:hAnsi="仿宋_GB2312" w:cs="仿宋_GB2312" w:eastAsia="仿宋_GB2312"/>
                <w:sz w:val="24"/>
                <w:color w:val="333333"/>
              </w:rPr>
              <w:t>项目实施地点：采购人指定地点。</w:t>
            </w:r>
          </w:p>
          <w:p>
            <w:pPr>
              <w:pStyle w:val="null3"/>
              <w:spacing w:before="105" w:after="105"/>
              <w:jc w:val="both"/>
            </w:pPr>
            <w:r>
              <w:rPr>
                <w:rFonts w:ascii="仿宋_GB2312" w:hAnsi="仿宋_GB2312" w:cs="仿宋_GB2312" w:eastAsia="仿宋_GB2312"/>
                <w:sz w:val="24"/>
                <w:color w:val="333333"/>
              </w:rPr>
              <w:t>2.服务期限：海南社会管理信息化平台网信大数据系统软件运维：8.5个月，2025年4月15日-2025年12月31日；海南社会管理信息化平台网信大数据系统数据资源建设及数据治理服务：12个月，2025年1月-2025年12月。</w:t>
            </w:r>
          </w:p>
          <w:p>
            <w:pPr>
              <w:pStyle w:val="null3"/>
              <w:spacing w:before="105" w:after="105"/>
              <w:jc w:val="left"/>
            </w:pPr>
            <w:r>
              <w:rPr>
                <w:rFonts w:ascii="仿宋_GB2312" w:hAnsi="仿宋_GB2312" w:cs="仿宋_GB2312" w:eastAsia="仿宋_GB2312"/>
                <w:sz w:val="24"/>
                <w:color w:val="333333"/>
              </w:rPr>
              <w:t>3.</w:t>
            </w:r>
            <w:r>
              <w:rPr>
                <w:rFonts w:ascii="仿宋_GB2312" w:hAnsi="仿宋_GB2312" w:cs="仿宋_GB2312" w:eastAsia="仿宋_GB2312"/>
                <w:sz w:val="24"/>
                <w:color w:val="333333"/>
              </w:rPr>
              <w:t>付款条件：</w:t>
            </w:r>
          </w:p>
          <w:p>
            <w:pPr>
              <w:pStyle w:val="null3"/>
              <w:spacing w:before="105" w:after="105"/>
              <w:jc w:val="left"/>
            </w:pPr>
            <w:r>
              <w:rPr>
                <w:rFonts w:ascii="仿宋_GB2312" w:hAnsi="仿宋_GB2312" w:cs="仿宋_GB2312" w:eastAsia="仿宋_GB2312"/>
                <w:sz w:val="24"/>
                <w:color w:val="333333"/>
              </w:rPr>
              <w:t>第一次付款</w:t>
            </w:r>
            <w:r>
              <w:rPr>
                <w:rFonts w:ascii="仿宋_GB2312" w:hAnsi="仿宋_GB2312" w:cs="仿宋_GB2312" w:eastAsia="仿宋_GB2312"/>
                <w:sz w:val="24"/>
                <w:color w:val="333333"/>
              </w:rPr>
              <w:t>:合同签订10个工作日内，乙方提供合同50%的等额有效发票。</w:t>
            </w:r>
          </w:p>
          <w:p>
            <w:pPr>
              <w:pStyle w:val="null3"/>
              <w:spacing w:before="105" w:after="105"/>
              <w:jc w:val="left"/>
            </w:pPr>
            <w:r>
              <w:rPr>
                <w:rFonts w:ascii="仿宋_GB2312" w:hAnsi="仿宋_GB2312" w:cs="仿宋_GB2312" w:eastAsia="仿宋_GB2312"/>
                <w:sz w:val="24"/>
                <w:color w:val="333333"/>
              </w:rPr>
              <w:t>第二次付款</w:t>
            </w:r>
            <w:r>
              <w:rPr>
                <w:rFonts w:ascii="仿宋_GB2312" w:hAnsi="仿宋_GB2312" w:cs="仿宋_GB2312" w:eastAsia="仿宋_GB2312"/>
                <w:sz w:val="24"/>
                <w:color w:val="333333"/>
              </w:rPr>
              <w:t>:服务中期，乙方提供合同40%的等额有效发票。</w:t>
            </w:r>
          </w:p>
          <w:p>
            <w:pPr>
              <w:pStyle w:val="null3"/>
              <w:spacing w:before="105" w:after="105"/>
              <w:jc w:val="left"/>
            </w:pPr>
            <w:r>
              <w:rPr>
                <w:rFonts w:ascii="仿宋_GB2312" w:hAnsi="仿宋_GB2312" w:cs="仿宋_GB2312" w:eastAsia="仿宋_GB2312"/>
                <w:sz w:val="24"/>
                <w:color w:val="333333"/>
              </w:rPr>
              <w:t>第三次付款</w:t>
            </w:r>
            <w:r>
              <w:rPr>
                <w:rFonts w:ascii="仿宋_GB2312" w:hAnsi="仿宋_GB2312" w:cs="仿宋_GB2312" w:eastAsia="仿宋_GB2312"/>
                <w:sz w:val="24"/>
                <w:color w:val="333333"/>
              </w:rPr>
              <w:t>:通过验收合格后，乙方提供合同10%的等额有效发票。</w:t>
            </w:r>
          </w:p>
          <w:p>
            <w:pPr>
              <w:pStyle w:val="null3"/>
              <w:spacing w:before="105" w:after="105"/>
              <w:jc w:val="left"/>
            </w:pPr>
            <w:r>
              <w:rPr>
                <w:rFonts w:ascii="仿宋_GB2312" w:hAnsi="仿宋_GB2312" w:cs="仿宋_GB2312" w:eastAsia="仿宋_GB2312"/>
                <w:sz w:val="24"/>
                <w:color w:val="333333"/>
              </w:rPr>
              <w:t>4.</w:t>
            </w:r>
            <w:r>
              <w:rPr>
                <w:rFonts w:ascii="仿宋_GB2312" w:hAnsi="仿宋_GB2312" w:cs="仿宋_GB2312" w:eastAsia="仿宋_GB2312"/>
                <w:sz w:val="24"/>
                <w:color w:val="333333"/>
              </w:rPr>
              <w:t>其他要求：若本项目采购包的中标单位非原服务商，中标单位需要与</w:t>
            </w:r>
            <w:r>
              <w:rPr>
                <w:rFonts w:ascii="仿宋_GB2312" w:hAnsi="仿宋_GB2312" w:cs="仿宋_GB2312" w:eastAsia="仿宋_GB2312"/>
                <w:sz w:val="24"/>
                <w:color w:val="333333"/>
              </w:rPr>
              <w:t>原</w:t>
            </w:r>
            <w:r>
              <w:rPr>
                <w:rFonts w:ascii="仿宋_GB2312" w:hAnsi="仿宋_GB2312" w:cs="仿宋_GB2312" w:eastAsia="仿宋_GB2312"/>
                <w:sz w:val="24"/>
                <w:color w:val="333333"/>
              </w:rPr>
              <w:t>服务商进行交接和配合，相关交接和配合费用包含在采购包项目投标价中，中标单位应以本次服务的价格向原服务商支付交接期的报酬，具体天数以中标单位、</w:t>
            </w:r>
            <w:r>
              <w:rPr>
                <w:rFonts w:ascii="仿宋_GB2312" w:hAnsi="仿宋_GB2312" w:cs="仿宋_GB2312" w:eastAsia="仿宋_GB2312"/>
                <w:sz w:val="24"/>
                <w:color w:val="333333"/>
              </w:rPr>
              <w:t>原</w:t>
            </w:r>
            <w:r>
              <w:rPr>
                <w:rFonts w:ascii="仿宋_GB2312" w:hAnsi="仿宋_GB2312" w:cs="仿宋_GB2312" w:eastAsia="仿宋_GB2312"/>
                <w:sz w:val="24"/>
                <w:color w:val="333333"/>
              </w:rPr>
              <w:t>服务商和采购人三方协商签字为准。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商务响应表 开标（报价）一览表 中小企业声明函 自觉抵制政府采购领域商业贿赂行为承诺书 封面 商业信誉、财务会计制度、缴纳税收和社保的承诺函 环保类行政处罚记录声明函 投标书 具有独立承担民事责任的能力证明文件 技术响应表 投标人承诺函 投标（响应）报价明细表 投标人无不良信用记录 符合法律、行政法规规定的其他条件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投标书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商务响应表 开标（报价）一览表 中小企业声明函 自觉抵制政府采购领域商业贿赂行为承诺书 封面 商业信誉、财务会计制度、缴纳税收和社保的承诺函 环保类行政处罚记录声明函 投标书 具有独立承担民事责任的能力证明文件 技术响应表 投标人承诺函 投标（响应）报价明细表 投标人无不良信用记录 符合法律、行政法规规定的其他条件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运维安全方案</w:t>
            </w:r>
          </w:p>
        </w:tc>
        <w:tc>
          <w:tcPr>
            <w:tcW w:type="dxa" w:w="2492"/>
          </w:tcPr>
          <w:p>
            <w:pPr>
              <w:pStyle w:val="null3"/>
              <w:jc w:val="both"/>
            </w:pPr>
            <w:r>
              <w:rPr>
                <w:rFonts w:ascii="仿宋_GB2312" w:hAnsi="仿宋_GB2312" w:cs="仿宋_GB2312" w:eastAsia="仿宋_GB2312"/>
              </w:rPr>
              <w:t>根据供应商针对本项目需求提供的运维安全方案包括但不限于（1）系统安全；（2）日常安全管理；（3）预警分析；（4）系统安全隐患排查等内容。 评审专家根据方案内容进行综合评分，以上内容要素完整、内容齐全的得12分，在12分的基础上，每有1项内容要素遗漏或缺失的扣3分，每项内容要素中每有1处内容存在缺陷或不足的扣1分。 （说明：内容存在缺陷或不足是指以下任意一种情形：供应商所提供方案存在与项目无关或与本项目实际情况不符、与项目需求不吻合、套用其他方案、内容前后不一致、内容简略、凭空编造、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运维服务质量措施与考核</w:t>
            </w:r>
          </w:p>
        </w:tc>
        <w:tc>
          <w:tcPr>
            <w:tcW w:type="dxa" w:w="2492"/>
          </w:tcPr>
          <w:p>
            <w:pPr>
              <w:pStyle w:val="null3"/>
              <w:jc w:val="both"/>
            </w:pPr>
            <w:r>
              <w:rPr>
                <w:rFonts w:ascii="仿宋_GB2312" w:hAnsi="仿宋_GB2312" w:cs="仿宋_GB2312" w:eastAsia="仿宋_GB2312"/>
              </w:rPr>
              <w:t>根据供应商针对本项目需求提供的运维服务质量措施与考核包括但不限于（1）质量计划；（2）质量保证；（3）质量控制；（4）质量考核；（5）运维指标等内容。 评审专家根据方案内容进行综合评分，以上内容要素完整、内容齐全的得15分，在15分的基础上，每有1项内容要素遗漏或缺失的扣3分，每项内容要素中每有1处内容存在缺陷或不足的扣1分。 （说明：内容存在缺陷或不足是指以下任意一种情形：供应商所提供方案存在与项目无关或与本项目实际情况不符、与项目需求不吻合、套用其他方案、内容前后不一致、内容简略、凭空编造、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根据供应商针对本项目需求提供的方案内容包括但不限于：（1）运维服务保障体系；（2）运维服务内容；（3）运维服务流程；（4）日常巡检运维管理；（5）资料档案管理等， 评审专家根据方案内容进行综合评分，以上内容要素完整、内容齐全的得15分，在15分的基础上，每有1项内容要素遗漏或缺失的扣3分，每项内容要素中每有1处内容存在缺陷或不足的扣1分。 （说明：内容存在缺陷或不足是指以下任意一种情形：供应商所提供方案存在与项目无关或与本项目实际情况不符、与项目需求不吻合、套用其他方案、内容前后不一致、内容简略、凭空编造、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响应服务方案</w:t>
            </w:r>
          </w:p>
        </w:tc>
        <w:tc>
          <w:tcPr>
            <w:tcW w:type="dxa" w:w="2492"/>
          </w:tcPr>
          <w:p>
            <w:pPr>
              <w:pStyle w:val="null3"/>
              <w:jc w:val="both"/>
            </w:pPr>
            <w:r>
              <w:rPr>
                <w:rFonts w:ascii="仿宋_GB2312" w:hAnsi="仿宋_GB2312" w:cs="仿宋_GB2312" w:eastAsia="仿宋_GB2312"/>
              </w:rPr>
              <w:t>根据供应商针对本项目提供的服务体系及响应服务方案包括但不限于（1）服务标准原则（2）服务流程（3）服务方式（4）服务响应时效（5）服务承诺等内容。 评审专家根据方案内容进行综合评分，以上内容要素完整、内容齐全的得10分，在10分的基础上，每有1项内容要素遗漏或缺失的扣2分，每项内容要素中每有1处内容存在缺陷或不足的扣1分。 （说明：内容存在缺陷或不足是指以下任意一种情形：供应商所提供方案存在与项目无关或与本项目实际情况不符、与项目需求不吻合、套用其他方案、内容前后不一致、内容简略、凭空编造、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供应商针对本项目需求提供方案包括但不限于：（1）应急处理保障制度；（2）应急保障体系；（3）应急人员配备；（4）应急保障措施等内容。评审专家根据方案内容进行综合评分，以上内容要素完整、内容齐全的得10分，在10分的基础上，每有1项内容要素遗漏或缺失的扣2.5分，每项内容要素中每有1处内容存在缺陷或不足的扣1分。 （说明：内容存在缺陷或不足是指以下任意一种情形：供应商所提供方案存在与项目无关或与本项目实际情况不符、与项目需求不吻合、套用其他方案、内容前后不一致、内容简略、凭空编造、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2022年1月1日以来承接的类似项目业绩（需提供合同复印件，以合同签署日期为准），每提供一份得3分，最高得15分。未提供相关证明资料不得分。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项目团队能力</w:t>
            </w:r>
          </w:p>
        </w:tc>
        <w:tc>
          <w:tcPr>
            <w:tcW w:type="dxa" w:w="2492"/>
          </w:tcPr>
          <w:p>
            <w:pPr>
              <w:pStyle w:val="null3"/>
              <w:jc w:val="both"/>
            </w:pPr>
            <w:r>
              <w:rPr>
                <w:rFonts w:ascii="仿宋_GB2312" w:hAnsi="仿宋_GB2312" w:cs="仿宋_GB2312" w:eastAsia="仿宋_GB2312"/>
              </w:rPr>
              <w:t>投标人拟投入本项目项目经理1人，该人具有（1）项目管理专业人士资格认证(PMP)或信息系统项目管理师证书；（2）注册信息安全专业人员（CISP）证书或信息安全工程师证书；以上证书每提供一个得2分，满分4分。 证明材料：提供相关证书复印件及2025年以来任意3个月在本单位的社保缴纳证明材料并加盖公章。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投标人资质情况</w:t>
            </w:r>
          </w:p>
        </w:tc>
        <w:tc>
          <w:tcPr>
            <w:tcW w:type="dxa" w:w="2492"/>
          </w:tcPr>
          <w:p>
            <w:pPr>
              <w:pStyle w:val="null3"/>
              <w:jc w:val="both"/>
            </w:pPr>
            <w:r>
              <w:rPr>
                <w:rFonts w:ascii="仿宋_GB2312" w:hAnsi="仿宋_GB2312" w:cs="仿宋_GB2312" w:eastAsia="仿宋_GB2312"/>
              </w:rPr>
              <w:t>1、获得ISO9001认证证书，得3分； 2、获得信息技术服务运行维护标准(ITSS)符合性证书（二级或二级以上），得3分； 3、获得信息安全服务资质认证证书（二级或二级以上），得3分； 证明材料：提供有效期内的证书复印件并加盖单位公章。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HFGC20252616H</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2025年海南社会管理信息化平台网信大数据系统运维项目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2025年海南社会管理信息化平台网信大数据系统运维项目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2025年海南社会管理信息化平台网信大数据系统运维项目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2052500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详见附件：投标书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