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EF1C1">
      <w:pPr>
        <w:pStyle w:val="13"/>
      </w:pPr>
      <w:r>
        <w:rPr>
          <w:rFonts w:ascii="仿宋_GB2312" w:hAnsi="仿宋_GB2312" w:eastAsia="仿宋_GB2312" w:cs="仿宋_GB2312"/>
        </w:rPr>
        <w:t>　</w:t>
      </w:r>
    </w:p>
    <w:p w14:paraId="410B4DB9">
      <w:pPr>
        <w:pStyle w:val="13"/>
        <w:jc w:val="center"/>
        <w:outlineLvl w:val="1"/>
      </w:pPr>
      <w:r>
        <w:rPr>
          <w:rFonts w:ascii="仿宋_GB2312" w:hAnsi="仿宋_GB2312" w:eastAsia="仿宋_GB2312" w:cs="仿宋_GB2312"/>
          <w:b/>
          <w:sz w:val="36"/>
        </w:rPr>
        <w:t>第五章 政府采购合同</w:t>
      </w:r>
    </w:p>
    <w:p w14:paraId="177B2F53">
      <w:pPr>
        <w:pStyle w:val="13"/>
        <w:rPr>
          <w:rFonts w:ascii="仿宋_GB2312" w:hAnsi="仿宋_GB2312" w:eastAsia="仿宋_GB2312" w:cs="仿宋_GB2312"/>
        </w:rPr>
      </w:pPr>
      <w:r>
        <w:rPr>
          <w:rFonts w:ascii="仿宋_GB2312" w:hAnsi="仿宋_GB2312" w:eastAsia="仿宋_GB2312" w:cs="仿宋_GB2312"/>
        </w:rPr>
        <w:br w:type="textWrapping"/>
      </w:r>
    </w:p>
    <w:p w14:paraId="3D5E6EE7">
      <w:pPr>
        <w:jc w:val="center"/>
        <w:rPr>
          <w:rFonts w:hint="default"/>
          <w:color w:val="auto"/>
          <w:highlight w:val="none"/>
        </w:rPr>
      </w:pPr>
      <w:r>
        <w:rPr>
          <w:rFonts w:hint="eastAsia"/>
          <w:b/>
          <w:bCs/>
          <w:color w:val="auto"/>
          <w:sz w:val="44"/>
          <w:szCs w:val="44"/>
          <w:highlight w:val="none"/>
        </w:rPr>
        <w:t>第五章  合同文本</w:t>
      </w:r>
    </w:p>
    <w:p w14:paraId="720E584D">
      <w:pPr>
        <w:pStyle w:val="16"/>
        <w:jc w:val="both"/>
        <w:rPr>
          <w:rFonts w:ascii="仿宋" w:hAnsi="仿宋" w:eastAsia="仿宋" w:cs="仿宋"/>
          <w:color w:val="auto"/>
          <w:highlight w:val="none"/>
        </w:rPr>
      </w:pPr>
      <w:r>
        <w:rPr>
          <w:rFonts w:hint="eastAsia" w:ascii="仿宋" w:hAnsi="仿宋" w:eastAsia="仿宋" w:cs="仿宋"/>
          <w:color w:val="auto"/>
          <w:highlight w:val="none"/>
          <w:lang w:val="en"/>
        </w:rPr>
        <w:t>`</w:t>
      </w:r>
      <w:r>
        <w:rPr>
          <w:rFonts w:hint="eastAsia" w:ascii="仿宋" w:hAnsi="仿宋" w:eastAsia="仿宋" w:cs="仿宋"/>
          <w:color w:val="auto"/>
          <w:highlight w:val="none"/>
        </w:rPr>
        <w:t>窗体顶端</w:t>
      </w:r>
    </w:p>
    <w:p w14:paraId="49129335">
      <w:pPr>
        <w:rPr>
          <w:rFonts w:ascii="仿宋" w:hAnsi="仿宋" w:eastAsia="仿宋" w:cs="仿宋"/>
          <w:color w:val="auto"/>
          <w:sz w:val="24"/>
          <w:highlight w:val="none"/>
          <w:u w:val="single"/>
        </w:rPr>
      </w:pPr>
      <w:r>
        <w:rPr>
          <w:rFonts w:hint="eastAsia" w:ascii="仿宋" w:hAnsi="仿宋" w:eastAsia="仿宋" w:cs="仿宋"/>
          <w:b/>
          <w:color w:val="auto"/>
          <w:sz w:val="30"/>
          <w:szCs w:val="30"/>
          <w:highlight w:val="none"/>
        </w:rPr>
        <w:t>合同编号：</w:t>
      </w:r>
      <w:r>
        <w:rPr>
          <w:rFonts w:hint="eastAsia" w:ascii="仿宋" w:hAnsi="仿宋" w:eastAsia="仿宋" w:cs="仿宋"/>
          <w:color w:val="auto"/>
          <w:sz w:val="24"/>
          <w:highlight w:val="none"/>
          <w:u w:val="single"/>
        </w:rPr>
        <w:t xml:space="preserve">           </w:t>
      </w:r>
    </w:p>
    <w:p w14:paraId="3B631A48">
      <w:pPr>
        <w:spacing w:line="360" w:lineRule="auto"/>
        <w:jc w:val="left"/>
        <w:rPr>
          <w:rFonts w:ascii="仿宋" w:hAnsi="仿宋" w:eastAsia="仿宋" w:cs="仿宋"/>
          <w:b/>
          <w:color w:val="auto"/>
          <w:sz w:val="30"/>
          <w:szCs w:val="30"/>
          <w:highlight w:val="none"/>
        </w:rPr>
      </w:pPr>
    </w:p>
    <w:p w14:paraId="7DA56BD6">
      <w:pPr>
        <w:spacing w:line="360" w:lineRule="auto"/>
        <w:ind w:right="40" w:firstLine="4350" w:firstLineChars="1450"/>
        <w:jc w:val="left"/>
        <w:rPr>
          <w:rFonts w:ascii="仿宋" w:hAnsi="仿宋" w:eastAsia="仿宋" w:cs="仿宋"/>
          <w:color w:val="auto"/>
          <w:sz w:val="30"/>
          <w:szCs w:val="30"/>
          <w:highlight w:val="none"/>
        </w:rPr>
      </w:pPr>
    </w:p>
    <w:p w14:paraId="67F5A740">
      <w:pPr>
        <w:spacing w:line="360" w:lineRule="auto"/>
        <w:ind w:right="40" w:firstLine="4350" w:firstLineChars="1450"/>
        <w:jc w:val="left"/>
        <w:rPr>
          <w:rFonts w:ascii="仿宋" w:hAnsi="仿宋" w:eastAsia="仿宋" w:cs="仿宋"/>
          <w:color w:val="auto"/>
          <w:sz w:val="30"/>
          <w:szCs w:val="30"/>
          <w:highlight w:val="none"/>
        </w:rPr>
      </w:pPr>
    </w:p>
    <w:p w14:paraId="1B364D2C">
      <w:pPr>
        <w:spacing w:line="360" w:lineRule="auto"/>
        <w:jc w:val="center"/>
        <w:rPr>
          <w:rFonts w:ascii="宋体" w:hAnsi="宋体"/>
          <w:b/>
          <w:color w:val="auto"/>
          <w:sz w:val="72"/>
          <w:szCs w:val="72"/>
          <w:highlight w:val="none"/>
        </w:rPr>
      </w:pPr>
      <w:r>
        <w:rPr>
          <w:rFonts w:hint="eastAsia" w:ascii="宋体" w:hAnsi="宋体"/>
          <w:b/>
          <w:color w:val="auto"/>
          <w:sz w:val="72"/>
          <w:szCs w:val="72"/>
          <w:highlight w:val="none"/>
        </w:rPr>
        <w:t>海南省政府采购项目</w:t>
      </w:r>
    </w:p>
    <w:p w14:paraId="745AA222">
      <w:pPr>
        <w:spacing w:line="360" w:lineRule="auto"/>
        <w:rPr>
          <w:rFonts w:ascii="宋体" w:hAnsi="宋体"/>
          <w:b/>
          <w:color w:val="auto"/>
          <w:sz w:val="30"/>
          <w:szCs w:val="30"/>
          <w:highlight w:val="none"/>
        </w:rPr>
      </w:pPr>
    </w:p>
    <w:p w14:paraId="677AB9C7">
      <w:pPr>
        <w:spacing w:line="360" w:lineRule="auto"/>
        <w:jc w:val="center"/>
        <w:rPr>
          <w:rFonts w:ascii="宋体" w:hAnsi="宋体"/>
          <w:b/>
          <w:color w:val="auto"/>
          <w:sz w:val="110"/>
          <w:szCs w:val="110"/>
          <w:highlight w:val="none"/>
        </w:rPr>
      </w:pPr>
      <w:r>
        <w:rPr>
          <w:rFonts w:hint="eastAsia" w:ascii="宋体" w:hAnsi="宋体"/>
          <w:b/>
          <w:color w:val="auto"/>
          <w:sz w:val="110"/>
          <w:szCs w:val="110"/>
          <w:highlight w:val="none"/>
        </w:rPr>
        <w:t xml:space="preserve">合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 xml:space="preserve">同 </w:t>
      </w:r>
      <w:r>
        <w:rPr>
          <w:rFonts w:hint="eastAsia" w:ascii="宋体" w:hAnsi="宋体"/>
          <w:b/>
          <w:color w:val="auto"/>
          <w:sz w:val="32"/>
          <w:szCs w:val="32"/>
          <w:highlight w:val="none"/>
        </w:rPr>
        <w:t xml:space="preserve">  </w:t>
      </w:r>
      <w:r>
        <w:rPr>
          <w:rFonts w:hint="eastAsia" w:ascii="宋体" w:hAnsi="宋体"/>
          <w:b/>
          <w:color w:val="auto"/>
          <w:sz w:val="110"/>
          <w:szCs w:val="110"/>
          <w:highlight w:val="none"/>
        </w:rPr>
        <w:t>书</w:t>
      </w:r>
    </w:p>
    <w:p w14:paraId="00BB8935">
      <w:pPr>
        <w:spacing w:line="360" w:lineRule="auto"/>
        <w:rPr>
          <w:rFonts w:ascii="宋体" w:hAnsi="宋体"/>
          <w:b/>
          <w:color w:val="auto"/>
          <w:sz w:val="32"/>
          <w:szCs w:val="32"/>
          <w:highlight w:val="none"/>
        </w:rPr>
      </w:pPr>
    </w:p>
    <w:p w14:paraId="140A1622">
      <w:pPr>
        <w:tabs>
          <w:tab w:val="left" w:pos="1260"/>
          <w:tab w:val="left" w:pos="1620"/>
          <w:tab w:val="left" w:pos="6840"/>
          <w:tab w:val="left" w:pos="7020"/>
          <w:tab w:val="left" w:pos="7200"/>
        </w:tabs>
        <w:adjustRightInd w:val="0"/>
        <w:spacing w:line="360" w:lineRule="auto"/>
        <w:ind w:right="-338" w:rightChars="-161" w:firstLine="1928" w:firstLineChars="600"/>
        <w:rPr>
          <w:rFonts w:ascii="宋体" w:hAnsi="宋体"/>
          <w:b/>
          <w:color w:val="auto"/>
          <w:sz w:val="32"/>
          <w:szCs w:val="32"/>
          <w:highlight w:val="none"/>
        </w:rPr>
      </w:pPr>
    </w:p>
    <w:p w14:paraId="519609AF">
      <w:pPr>
        <w:tabs>
          <w:tab w:val="left" w:pos="1260"/>
          <w:tab w:val="left" w:pos="1620"/>
          <w:tab w:val="left" w:pos="6840"/>
          <w:tab w:val="left" w:pos="7020"/>
          <w:tab w:val="left" w:pos="7200"/>
        </w:tabs>
        <w:adjustRightInd w:val="0"/>
        <w:spacing w:line="360" w:lineRule="auto"/>
        <w:ind w:right="-338" w:rightChars="-161" w:firstLine="643" w:firstLineChars="200"/>
        <w:rPr>
          <w:rFonts w:hint="eastAsia" w:ascii="宋体" w:hAnsi="宋体"/>
          <w:b/>
          <w:sz w:val="32"/>
          <w:szCs w:val="32"/>
          <w:highlight w:val="none"/>
          <w:u w:val="single"/>
        </w:rPr>
      </w:pPr>
      <w:r>
        <w:rPr>
          <w:rFonts w:hint="eastAsia" w:ascii="宋体" w:hAnsi="宋体"/>
          <w:b/>
          <w:sz w:val="32"/>
          <w:szCs w:val="32"/>
          <w:highlight w:val="none"/>
        </w:rPr>
        <w:t>项目名称：</w:t>
      </w:r>
      <w:r>
        <w:rPr>
          <w:rFonts w:hint="eastAsia" w:ascii="宋体" w:hAnsi="宋体"/>
          <w:b/>
          <w:sz w:val="32"/>
          <w:szCs w:val="32"/>
          <w:highlight w:val="none"/>
          <w:u w:val="single"/>
        </w:rPr>
        <w:t>海南大学崖州湾科教园生物医学工程学院大楼</w:t>
      </w:r>
    </w:p>
    <w:p w14:paraId="5704077E">
      <w:pPr>
        <w:tabs>
          <w:tab w:val="left" w:pos="1260"/>
          <w:tab w:val="left" w:pos="1620"/>
          <w:tab w:val="left" w:pos="6840"/>
          <w:tab w:val="left" w:pos="7020"/>
          <w:tab w:val="left" w:pos="7200"/>
        </w:tabs>
        <w:adjustRightInd w:val="0"/>
        <w:spacing w:line="360" w:lineRule="auto"/>
        <w:ind w:right="-338" w:rightChars="-161" w:firstLine="2249" w:firstLineChars="700"/>
        <w:rPr>
          <w:rFonts w:hint="default" w:ascii="宋体" w:hAnsi="宋体" w:eastAsia="宋体"/>
          <w:b/>
          <w:sz w:val="28"/>
          <w:szCs w:val="32"/>
          <w:highlight w:val="none"/>
          <w:lang w:val="en-US" w:eastAsia="zh-CN"/>
        </w:rPr>
      </w:pPr>
      <w:r>
        <w:rPr>
          <w:rFonts w:hint="eastAsia" w:ascii="宋体" w:hAnsi="宋体"/>
          <w:b/>
          <w:sz w:val="32"/>
          <w:szCs w:val="32"/>
          <w:highlight w:val="none"/>
          <w:u w:val="single"/>
        </w:rPr>
        <w:t>及非人灵长类模式动物研究基地物业服务</w:t>
      </w:r>
      <w:r>
        <w:rPr>
          <w:rFonts w:hint="eastAsia" w:ascii="宋体" w:hAnsi="宋体"/>
          <w:b/>
          <w:sz w:val="28"/>
          <w:szCs w:val="32"/>
          <w:highlight w:val="none"/>
          <w:u w:val="single"/>
        </w:rPr>
        <w:t xml:space="preserve">  </w:t>
      </w:r>
      <w:r>
        <w:rPr>
          <w:rFonts w:hint="eastAsia" w:ascii="宋体" w:hAnsi="宋体"/>
          <w:b/>
          <w:sz w:val="28"/>
          <w:szCs w:val="32"/>
          <w:highlight w:val="none"/>
          <w:u w:val="single"/>
          <w:lang w:val="en-US" w:eastAsia="zh-CN"/>
        </w:rPr>
        <w:t xml:space="preserve">  </w:t>
      </w:r>
    </w:p>
    <w:p w14:paraId="47677E5E">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sz w:val="32"/>
          <w:szCs w:val="32"/>
          <w:highlight w:val="none"/>
        </w:rPr>
      </w:pPr>
      <w:r>
        <w:rPr>
          <w:rFonts w:hint="eastAsia" w:ascii="宋体" w:hAnsi="宋体"/>
          <w:b/>
          <w:sz w:val="32"/>
          <w:szCs w:val="32"/>
          <w:highlight w:val="none"/>
        </w:rPr>
        <w:t>项目编号：</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 xml:space="preserve"> </w:t>
      </w:r>
    </w:p>
    <w:p w14:paraId="1782AC99">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sz w:val="32"/>
          <w:szCs w:val="32"/>
          <w:highlight w:val="none"/>
        </w:rPr>
      </w:pPr>
      <w:r>
        <w:rPr>
          <w:rFonts w:hint="eastAsia" w:ascii="宋体" w:hAnsi="宋体"/>
          <w:b/>
          <w:sz w:val="32"/>
          <w:szCs w:val="32"/>
          <w:highlight w:val="none"/>
        </w:rPr>
        <w:t>甲    方：</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海南大学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 xml:space="preserve">  </w:t>
      </w:r>
    </w:p>
    <w:p w14:paraId="6B60AF92">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sz w:val="32"/>
          <w:szCs w:val="32"/>
          <w:highlight w:val="none"/>
        </w:rPr>
      </w:pPr>
      <w:r>
        <w:rPr>
          <w:rFonts w:hint="eastAsia" w:ascii="宋体" w:hAnsi="宋体"/>
          <w:b/>
          <w:sz w:val="32"/>
          <w:szCs w:val="32"/>
          <w:highlight w:val="none"/>
        </w:rPr>
        <w:t>乙    方：</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 xml:space="preserve"> </w:t>
      </w:r>
    </w:p>
    <w:p w14:paraId="7C4D84F7">
      <w:pPr>
        <w:tabs>
          <w:tab w:val="left" w:pos="1260"/>
          <w:tab w:val="left" w:pos="1620"/>
          <w:tab w:val="left" w:pos="6840"/>
          <w:tab w:val="left" w:pos="7020"/>
          <w:tab w:val="left" w:pos="7200"/>
        </w:tabs>
        <w:adjustRightInd w:val="0"/>
        <w:spacing w:line="360" w:lineRule="auto"/>
        <w:ind w:right="-338" w:rightChars="-161" w:firstLine="643" w:firstLineChars="200"/>
        <w:rPr>
          <w:rFonts w:ascii="宋体" w:hAnsi="宋体"/>
          <w:b/>
          <w:sz w:val="32"/>
          <w:szCs w:val="32"/>
          <w:highlight w:val="none"/>
        </w:rPr>
      </w:pPr>
      <w:r>
        <w:rPr>
          <w:rFonts w:hint="eastAsia" w:ascii="宋体" w:hAnsi="宋体"/>
          <w:b/>
          <w:sz w:val="32"/>
          <w:szCs w:val="32"/>
          <w:highlight w:val="none"/>
        </w:rPr>
        <w:t>签订日期：</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2025</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年</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 xml:space="preserve"> 月</w:t>
      </w:r>
      <w:r>
        <w:rPr>
          <w:rFonts w:hint="eastAsia" w:ascii="宋体" w:hAnsi="宋体"/>
          <w:b/>
          <w:sz w:val="32"/>
          <w:szCs w:val="32"/>
          <w:highlight w:val="none"/>
          <w:u w:val="single"/>
        </w:rPr>
        <w:t xml:space="preserve">  </w:t>
      </w:r>
      <w:r>
        <w:rPr>
          <w:rFonts w:hint="eastAsia" w:ascii="宋体" w:hAnsi="宋体"/>
          <w:b/>
          <w:sz w:val="32"/>
          <w:szCs w:val="32"/>
          <w:highlight w:val="none"/>
          <w:u w:val="single"/>
          <w:lang w:val="en-US" w:eastAsia="zh-CN"/>
        </w:rPr>
        <w:t xml:space="preserve">    </w:t>
      </w:r>
      <w:r>
        <w:rPr>
          <w:rFonts w:hint="eastAsia" w:ascii="宋体" w:hAnsi="宋体"/>
          <w:b/>
          <w:sz w:val="32"/>
          <w:szCs w:val="32"/>
          <w:highlight w:val="none"/>
          <w:u w:val="single"/>
        </w:rPr>
        <w:t xml:space="preserve">  </w:t>
      </w:r>
      <w:r>
        <w:rPr>
          <w:rFonts w:hint="eastAsia" w:ascii="宋体" w:hAnsi="宋体"/>
          <w:b/>
          <w:sz w:val="32"/>
          <w:szCs w:val="32"/>
          <w:highlight w:val="none"/>
        </w:rPr>
        <w:t>日</w:t>
      </w:r>
    </w:p>
    <w:p w14:paraId="6B80FA8D">
      <w:pPr>
        <w:pStyle w:val="17"/>
        <w:spacing w:line="360" w:lineRule="auto"/>
        <w:jc w:val="both"/>
        <w:rPr>
          <w:color w:val="auto"/>
          <w:highlight w:val="none"/>
        </w:rPr>
      </w:pPr>
    </w:p>
    <w:p w14:paraId="2CE9D5DA">
      <w:pPr>
        <w:pStyle w:val="18"/>
        <w:spacing w:line="360" w:lineRule="auto"/>
        <w:ind w:left="510"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合同专用条款</w:t>
      </w:r>
    </w:p>
    <w:p w14:paraId="762C9C61">
      <w:pPr>
        <w:pStyle w:val="18"/>
        <w:spacing w:line="360" w:lineRule="auto"/>
        <w:ind w:left="510" w:firstLine="0" w:firstLineChars="0"/>
        <w:rPr>
          <w:rFonts w:ascii="宋体" w:hAnsi="宋体"/>
          <w:b/>
          <w:color w:val="auto"/>
          <w:sz w:val="32"/>
          <w:szCs w:val="32"/>
          <w:highlight w:val="none"/>
        </w:rPr>
      </w:pPr>
    </w:p>
    <w:p w14:paraId="4D9023CA">
      <w:pPr>
        <w:pStyle w:val="18"/>
        <w:spacing w:line="360" w:lineRule="auto"/>
        <w:ind w:firstLine="0" w:firstLineChars="0"/>
        <w:rPr>
          <w:rFonts w:ascii="仿宋" w:hAnsi="仿宋" w:eastAsia="仿宋" w:cs="仿宋"/>
          <w:color w:val="auto"/>
          <w:szCs w:val="21"/>
          <w:highlight w:val="none"/>
        </w:rPr>
      </w:pPr>
      <w:r>
        <w:rPr>
          <w:rFonts w:hint="eastAsia" w:ascii="仿宋" w:hAnsi="仿宋" w:eastAsia="仿宋" w:cs="仿宋"/>
          <w:color w:val="auto"/>
          <w:szCs w:val="21"/>
          <w:highlight w:val="none"/>
          <w:u w:val="single"/>
        </w:rPr>
        <w:t xml:space="preserve">  海南大学   </w:t>
      </w:r>
      <w:r>
        <w:rPr>
          <w:rFonts w:hint="eastAsia" w:ascii="仿宋" w:hAnsi="仿宋" w:eastAsia="仿宋" w:cs="仿宋"/>
          <w:color w:val="auto"/>
          <w:szCs w:val="21"/>
          <w:highlight w:val="none"/>
        </w:rPr>
        <w:t>以</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 xml:space="preserve">公开招标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对  </w:t>
      </w:r>
      <w:r>
        <w:rPr>
          <w:rFonts w:hint="eastAsia" w:ascii="仿宋" w:hAnsi="仿宋" w:eastAsia="仿宋" w:cs="仿宋"/>
          <w:color w:val="auto"/>
          <w:szCs w:val="21"/>
          <w:highlight w:val="none"/>
          <w:u w:val="single"/>
        </w:rPr>
        <w:t xml:space="preserve">  海南大学崖州湾科教园生物医学工程学院大楼及非人灵长类模式动物研究基地物业服务  </w:t>
      </w:r>
      <w:r>
        <w:rPr>
          <w:rFonts w:hint="eastAsia" w:ascii="仿宋" w:hAnsi="仿宋" w:eastAsia="仿宋" w:cs="仿宋"/>
          <w:color w:val="auto"/>
          <w:szCs w:val="21"/>
          <w:highlight w:val="none"/>
        </w:rPr>
        <w:t>项目</w:t>
      </w:r>
      <w:r>
        <w:rPr>
          <w:rFonts w:hint="eastAsia" w:ascii="仿宋" w:hAnsi="仿宋" w:eastAsia="仿宋" w:cs="仿宋"/>
          <w:color w:val="auto"/>
          <w:szCs w:val="21"/>
          <w:highlight w:val="none"/>
          <w:u w:val="single"/>
        </w:rPr>
        <w:t>（</w:t>
      </w:r>
      <w:r>
        <w:rPr>
          <w:rFonts w:hint="eastAsia" w:ascii="仿宋" w:hAnsi="仿宋" w:eastAsia="仿宋" w:cs="仿宋"/>
          <w:b/>
          <w:bCs/>
          <w:color w:val="auto"/>
          <w:szCs w:val="21"/>
          <w:highlight w:val="none"/>
          <w:u w:val="single"/>
        </w:rPr>
        <w:t>招标编号：</w:t>
      </w:r>
      <w:r>
        <w:rPr>
          <w:rFonts w:hint="eastAsia" w:ascii="仿宋" w:hAnsi="仿宋" w:eastAsia="仿宋" w:cs="仿宋"/>
          <w:b/>
          <w:bCs/>
          <w:color w:val="auto"/>
          <w:szCs w:val="21"/>
          <w:highlight w:val="none"/>
          <w:u w:val="single"/>
          <w:lang w:val="en-US" w:eastAsia="zh-CN"/>
        </w:rPr>
        <w:t xml:space="preserve">         </w:t>
      </w:r>
      <w:r>
        <w:rPr>
          <w:rFonts w:hint="eastAsia" w:ascii="仿宋" w:hAnsi="仿宋" w:eastAsia="仿宋" w:cs="仿宋"/>
          <w:color w:val="auto"/>
          <w:szCs w:val="21"/>
          <w:highlight w:val="none"/>
          <w:u w:val="single"/>
        </w:rPr>
        <w:t>）</w:t>
      </w:r>
      <w:r>
        <w:rPr>
          <w:rFonts w:hint="eastAsia" w:ascii="仿宋" w:hAnsi="仿宋" w:eastAsia="仿宋" w:cs="仿宋"/>
          <w:color w:val="auto"/>
          <w:szCs w:val="21"/>
          <w:highlight w:val="none"/>
        </w:rPr>
        <w:t>进行了采购，</w:t>
      </w:r>
      <w:r>
        <w:rPr>
          <w:rFonts w:hint="eastAsia" w:ascii="仿宋" w:hAnsi="仿宋" w:eastAsia="仿宋" w:cs="仿宋"/>
          <w:color w:val="auto"/>
          <w:szCs w:val="21"/>
          <w:highlight w:val="none"/>
          <w:u w:val="single"/>
        </w:rPr>
        <w:t xml:space="preserve">   （中标供应商名称）</w:t>
      </w:r>
      <w:r>
        <w:rPr>
          <w:rFonts w:hint="eastAsia" w:ascii="仿宋" w:hAnsi="仿宋" w:eastAsia="仿宋" w:cs="仿宋"/>
          <w:color w:val="auto"/>
          <w:szCs w:val="21"/>
          <w:highlight w:val="none"/>
        </w:rPr>
        <w:t>为该项目中标供应商。</w:t>
      </w:r>
    </w:p>
    <w:p w14:paraId="063041CF">
      <w:pPr>
        <w:pStyle w:val="18"/>
        <w:spacing w:line="360" w:lineRule="auto"/>
        <w:ind w:firstLine="0" w:firstLineChars="0"/>
        <w:rPr>
          <w:rFonts w:ascii="仿宋" w:hAnsi="仿宋" w:eastAsia="仿宋" w:cs="仿宋"/>
          <w:color w:val="auto"/>
          <w:szCs w:val="21"/>
          <w:highlight w:val="none"/>
        </w:rPr>
      </w:pPr>
      <w:r>
        <w:rPr>
          <w:rFonts w:hint="eastAsia" w:ascii="仿宋" w:hAnsi="仿宋" w:eastAsia="仿宋" w:cs="仿宋"/>
          <w:color w:val="auto"/>
          <w:szCs w:val="21"/>
          <w:highlight w:val="none"/>
          <w:u w:val="single"/>
        </w:rPr>
        <w:t>海南大学  (以下简称：甲方)</w:t>
      </w:r>
      <w:r>
        <w:rPr>
          <w:rFonts w:hint="eastAsia" w:ascii="仿宋" w:hAnsi="仿宋" w:eastAsia="仿宋" w:cs="仿宋"/>
          <w:color w:val="auto"/>
          <w:szCs w:val="21"/>
          <w:highlight w:val="none"/>
        </w:rPr>
        <w:t xml:space="preserve">和 </w:t>
      </w:r>
      <w:r>
        <w:rPr>
          <w:rFonts w:hint="eastAsia" w:ascii="仿宋" w:hAnsi="仿宋" w:eastAsia="仿宋" w:cs="仿宋"/>
          <w:color w:val="auto"/>
          <w:szCs w:val="21"/>
          <w:highlight w:val="none"/>
          <w:u w:val="single"/>
        </w:rPr>
        <w:t xml:space="preserve"> （中标供应商名称）   (以下简称：乙方)</w:t>
      </w:r>
      <w:r>
        <w:rPr>
          <w:rFonts w:hint="eastAsia" w:ascii="仿宋" w:hAnsi="仿宋" w:eastAsia="仿宋" w:cs="仿宋"/>
          <w:color w:val="auto"/>
          <w:szCs w:val="21"/>
          <w:highlight w:val="none"/>
        </w:rPr>
        <w:t>根据《中华人民共和国民法典》、《中华人民共和国政府采购法》等相关法律法规，遵循平等、自愿、公平和诚实信用原则，同意按照下面的条款和条件订立本政府采购合同，共同信守。</w:t>
      </w:r>
    </w:p>
    <w:p w14:paraId="4339C210">
      <w:pPr>
        <w:pStyle w:val="19"/>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项目主要内容及实现功能目标：</w:t>
      </w:r>
    </w:p>
    <w:p w14:paraId="7E7B1325">
      <w:pPr>
        <w:pStyle w:val="19"/>
        <w:spacing w:line="360" w:lineRule="auto"/>
        <w:ind w:firstLine="420"/>
        <w:rPr>
          <w:rFonts w:ascii="仿宋" w:hAnsi="仿宋" w:eastAsia="仿宋" w:cs="仿宋"/>
          <w:b/>
          <w:bCs/>
          <w:color w:val="auto"/>
          <w:sz w:val="21"/>
          <w:szCs w:val="21"/>
          <w:highlight w:val="none"/>
        </w:rPr>
      </w:pPr>
      <w:r>
        <w:rPr>
          <w:rFonts w:hint="eastAsia" w:ascii="仿宋" w:hAnsi="仿宋" w:eastAsia="仿宋" w:cs="仿宋"/>
          <w:color w:val="auto"/>
          <w:sz w:val="21"/>
          <w:szCs w:val="21"/>
          <w:highlight w:val="none"/>
        </w:rPr>
        <w:t>（按照采购文件和投标/响应文件执行）</w:t>
      </w:r>
    </w:p>
    <w:p w14:paraId="74166AFE">
      <w:pPr>
        <w:pStyle w:val="19"/>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产品及服务供应清单：</w:t>
      </w:r>
      <w:r>
        <w:rPr>
          <w:rFonts w:hint="eastAsia" w:ascii="仿宋" w:hAnsi="仿宋" w:eastAsia="仿宋" w:cs="仿宋"/>
          <w:bCs/>
          <w:color w:val="auto"/>
          <w:sz w:val="21"/>
          <w:szCs w:val="21"/>
          <w:highlight w:val="none"/>
        </w:rPr>
        <w:t>见附件</w:t>
      </w:r>
      <w:r>
        <w:rPr>
          <w:rFonts w:hint="eastAsia" w:ascii="仿宋" w:hAnsi="仿宋" w:eastAsia="仿宋" w:cs="仿宋"/>
          <w:color w:val="auto"/>
          <w:sz w:val="21"/>
          <w:szCs w:val="21"/>
          <w:highlight w:val="none"/>
        </w:rPr>
        <w:t>。</w:t>
      </w:r>
    </w:p>
    <w:p w14:paraId="7EDD6896">
      <w:pPr>
        <w:pStyle w:val="19"/>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基本合同条款一览表</w:t>
      </w:r>
    </w:p>
    <w:tbl>
      <w:tblPr>
        <w:tblStyle w:val="10"/>
        <w:tblW w:w="89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548"/>
        <w:gridCol w:w="6663"/>
      </w:tblGrid>
      <w:tr w14:paraId="5D766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blHeader/>
          <w:jc w:val="center"/>
        </w:trPr>
        <w:tc>
          <w:tcPr>
            <w:tcW w:w="720" w:type="dxa"/>
            <w:tcBorders>
              <w:top w:val="single" w:color="auto" w:sz="4" w:space="0"/>
              <w:left w:val="single" w:color="auto" w:sz="4" w:space="0"/>
              <w:bottom w:val="single" w:color="auto" w:sz="4" w:space="0"/>
              <w:right w:val="single" w:color="auto" w:sz="4" w:space="0"/>
            </w:tcBorders>
            <w:vAlign w:val="center"/>
          </w:tcPr>
          <w:p w14:paraId="08C87A17">
            <w:pPr>
              <w:pStyle w:val="19"/>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序号</w:t>
            </w:r>
          </w:p>
        </w:tc>
        <w:tc>
          <w:tcPr>
            <w:tcW w:w="1548" w:type="dxa"/>
            <w:tcBorders>
              <w:top w:val="single" w:color="auto" w:sz="4" w:space="0"/>
              <w:left w:val="single" w:color="auto" w:sz="4" w:space="0"/>
              <w:bottom w:val="single" w:color="auto" w:sz="4" w:space="0"/>
              <w:right w:val="single" w:color="auto" w:sz="4" w:space="0"/>
            </w:tcBorders>
            <w:vAlign w:val="center"/>
          </w:tcPr>
          <w:p w14:paraId="1186CAD7">
            <w:pPr>
              <w:pStyle w:val="19"/>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合同条款</w:t>
            </w:r>
          </w:p>
        </w:tc>
        <w:tc>
          <w:tcPr>
            <w:tcW w:w="6663" w:type="dxa"/>
            <w:tcBorders>
              <w:top w:val="single" w:color="auto" w:sz="4" w:space="0"/>
              <w:left w:val="single" w:color="auto" w:sz="4" w:space="0"/>
              <w:bottom w:val="single" w:color="auto" w:sz="4" w:space="0"/>
              <w:right w:val="single" w:color="auto" w:sz="4" w:space="0"/>
            </w:tcBorders>
            <w:vAlign w:val="center"/>
          </w:tcPr>
          <w:p w14:paraId="6E1C2EA6">
            <w:pPr>
              <w:pStyle w:val="19"/>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内  容</w:t>
            </w:r>
          </w:p>
        </w:tc>
      </w:tr>
      <w:tr w14:paraId="7A2CB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4BE833A3">
            <w:pPr>
              <w:pStyle w:val="19"/>
              <w:tabs>
                <w:tab w:val="left" w:pos="453"/>
              </w:tabs>
              <w:spacing w:line="360" w:lineRule="auto"/>
              <w:ind w:left="453" w:hanging="453"/>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1.</w:t>
            </w:r>
          </w:p>
        </w:tc>
        <w:tc>
          <w:tcPr>
            <w:tcW w:w="1548" w:type="dxa"/>
            <w:tcBorders>
              <w:top w:val="single" w:color="auto" w:sz="4" w:space="0"/>
              <w:left w:val="single" w:color="auto" w:sz="4" w:space="0"/>
              <w:bottom w:val="single" w:color="auto" w:sz="4" w:space="0"/>
              <w:right w:val="single" w:color="auto" w:sz="4" w:space="0"/>
            </w:tcBorders>
            <w:vAlign w:val="center"/>
          </w:tcPr>
          <w:p w14:paraId="0472E6D9">
            <w:pPr>
              <w:pStyle w:val="19"/>
              <w:spacing w:line="360" w:lineRule="auto"/>
              <w:jc w:val="center"/>
              <w:rPr>
                <w:rFonts w:ascii="仿宋" w:hAnsi="仿宋" w:eastAsia="仿宋" w:cs="仿宋"/>
                <w:b/>
                <w:color w:val="auto"/>
                <w:sz w:val="21"/>
                <w:szCs w:val="21"/>
                <w:highlight w:val="none"/>
              </w:rPr>
            </w:pPr>
            <w:r>
              <w:rPr>
                <w:rFonts w:hint="eastAsia" w:ascii="仿宋" w:hAnsi="仿宋" w:eastAsia="仿宋" w:cs="仿宋"/>
                <w:b/>
                <w:bCs/>
                <w:color w:val="auto"/>
                <w:sz w:val="21"/>
                <w:szCs w:val="21"/>
                <w:highlight w:val="none"/>
              </w:rPr>
              <w:t>合同总额</w:t>
            </w:r>
          </w:p>
        </w:tc>
        <w:tc>
          <w:tcPr>
            <w:tcW w:w="6663" w:type="dxa"/>
            <w:tcBorders>
              <w:top w:val="single" w:color="auto" w:sz="4" w:space="0"/>
              <w:left w:val="single" w:color="auto" w:sz="4" w:space="0"/>
              <w:bottom w:val="single" w:color="auto" w:sz="4" w:space="0"/>
              <w:right w:val="single" w:color="auto" w:sz="4" w:space="0"/>
            </w:tcBorders>
            <w:vAlign w:val="center"/>
          </w:tcPr>
          <w:p w14:paraId="561C849F">
            <w:pPr>
              <w:pStyle w:val="19"/>
              <w:spacing w:line="360" w:lineRule="auto"/>
              <w:rPr>
                <w:rFonts w:ascii="仿宋" w:hAnsi="仿宋" w:eastAsia="仿宋" w:cs="仿宋"/>
                <w:color w:val="auto"/>
                <w:sz w:val="21"/>
                <w:szCs w:val="21"/>
                <w:highlight w:val="none"/>
              </w:rPr>
            </w:pPr>
            <w:r>
              <w:rPr>
                <w:rFonts w:hint="eastAsia" w:ascii="仿宋" w:hAnsi="仿宋" w:eastAsia="仿宋" w:cs="仿宋"/>
                <w:color w:val="auto"/>
                <w:sz w:val="21"/>
                <w:szCs w:val="21"/>
                <w:highlight w:val="none"/>
              </w:rPr>
              <w:t>人民币  小写：</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rPr>
              <w:t>万元；</w:t>
            </w:r>
          </w:p>
          <w:p w14:paraId="3FCE7C1A">
            <w:pPr>
              <w:pStyle w:val="19"/>
              <w:spacing w:line="360" w:lineRule="auto"/>
              <w:rPr>
                <w:rFonts w:ascii="仿宋" w:hAnsi="仿宋" w:eastAsia="仿宋" w:cs="仿宋"/>
                <w:b/>
                <w:color w:val="auto"/>
                <w:sz w:val="21"/>
                <w:szCs w:val="21"/>
                <w:highlight w:val="none"/>
              </w:rPr>
            </w:pPr>
            <w:r>
              <w:rPr>
                <w:rFonts w:hint="eastAsia" w:ascii="仿宋" w:hAnsi="仿宋" w:eastAsia="仿宋" w:cs="仿宋"/>
                <w:color w:val="auto"/>
                <w:sz w:val="21"/>
                <w:szCs w:val="21"/>
                <w:highlight w:val="none"/>
              </w:rPr>
              <w:t>大写：</w:t>
            </w:r>
            <w:r>
              <w:rPr>
                <w:rFonts w:hint="eastAsia" w:ascii="仿宋" w:hAnsi="仿宋" w:eastAsia="仿宋" w:cs="仿宋"/>
                <w:color w:val="auto"/>
                <w:sz w:val="21"/>
                <w:szCs w:val="21"/>
                <w:highlight w:val="none"/>
                <w:u w:val="single"/>
              </w:rPr>
              <w:t xml:space="preserve">                      </w:t>
            </w:r>
          </w:p>
        </w:tc>
      </w:tr>
      <w:tr w14:paraId="1CE91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1F354B4A">
            <w:pPr>
              <w:pStyle w:val="19"/>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2.</w:t>
            </w:r>
          </w:p>
        </w:tc>
        <w:tc>
          <w:tcPr>
            <w:tcW w:w="1548" w:type="dxa"/>
            <w:tcBorders>
              <w:top w:val="single" w:color="auto" w:sz="4" w:space="0"/>
              <w:left w:val="single" w:color="auto" w:sz="4" w:space="0"/>
              <w:bottom w:val="single" w:color="auto" w:sz="4" w:space="0"/>
              <w:right w:val="single" w:color="auto" w:sz="4" w:space="0"/>
            </w:tcBorders>
            <w:vAlign w:val="center"/>
          </w:tcPr>
          <w:p w14:paraId="60CB33E4">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合同总额内容</w:t>
            </w:r>
          </w:p>
        </w:tc>
        <w:tc>
          <w:tcPr>
            <w:tcW w:w="6663" w:type="dxa"/>
            <w:tcBorders>
              <w:top w:val="single" w:color="auto" w:sz="4" w:space="0"/>
              <w:left w:val="single" w:color="auto" w:sz="4" w:space="0"/>
              <w:bottom w:val="single" w:color="auto" w:sz="4" w:space="0"/>
              <w:right w:val="single" w:color="auto" w:sz="4" w:space="0"/>
            </w:tcBorders>
            <w:vAlign w:val="center"/>
          </w:tcPr>
          <w:p w14:paraId="7135D0C0">
            <w:pPr>
              <w:pStyle w:val="20"/>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合同总额包含员工工资、社保费用、法定节假日加班费、高温补贴、员工福利、劳动风险费、行政办公费（含工服、办公物品、交通通讯住房补贴等）、维修材料费、清洁物料费、四害、白蚁、红火蚁的消杀费、化粪池清运处理费、绿化维护费、设备运行费及折旧费、工具折旧费、需要配备的服务设备和工具费、公司管理费及税费等所有服务费用、合同实施过程中的应预见和不可预见费用等。</w:t>
            </w:r>
          </w:p>
          <w:p w14:paraId="255FAC64">
            <w:pPr>
              <w:pStyle w:val="20"/>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乙方提供服务的全部工作人员的薪金不低于三亚市最低工资标准。</w:t>
            </w:r>
          </w:p>
          <w:p w14:paraId="129F6474">
            <w:pPr>
              <w:pStyle w:val="20"/>
              <w:numPr>
                <w:ilvl w:val="0"/>
                <w:numId w:val="2"/>
              </w:numPr>
              <w:spacing w:line="360" w:lineRule="auto"/>
              <w:rPr>
                <w:rFonts w:ascii="仿宋" w:hAnsi="仿宋" w:eastAsia="仿宋" w:cs="仿宋"/>
                <w:color w:val="auto"/>
                <w:szCs w:val="21"/>
                <w:highlight w:val="none"/>
              </w:rPr>
            </w:pPr>
            <w:r>
              <w:rPr>
                <w:rFonts w:hint="eastAsia" w:ascii="仿宋" w:hAnsi="仿宋" w:eastAsia="仿宋" w:cs="仿宋"/>
                <w:color w:val="auto"/>
                <w:szCs w:val="21"/>
                <w:highlight w:val="none"/>
              </w:rPr>
              <w:t>乙方必须自行考虑本项目在实施期间的一切可能产生的费用。在合同执行过程中，甲方将不再另行支付与本项目相关的任何费用。</w:t>
            </w:r>
          </w:p>
        </w:tc>
      </w:tr>
      <w:tr w14:paraId="0731E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708252A7">
            <w:pPr>
              <w:pStyle w:val="19"/>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3.</w:t>
            </w:r>
          </w:p>
        </w:tc>
        <w:tc>
          <w:tcPr>
            <w:tcW w:w="1548" w:type="dxa"/>
            <w:tcBorders>
              <w:top w:val="single" w:color="auto" w:sz="4" w:space="0"/>
              <w:left w:val="single" w:color="auto" w:sz="4" w:space="0"/>
              <w:bottom w:val="single" w:color="auto" w:sz="4" w:space="0"/>
              <w:right w:val="single" w:color="auto" w:sz="4" w:space="0"/>
            </w:tcBorders>
            <w:vAlign w:val="center"/>
          </w:tcPr>
          <w:p w14:paraId="18903EFA">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项目服务地点</w:t>
            </w:r>
          </w:p>
        </w:tc>
        <w:tc>
          <w:tcPr>
            <w:tcW w:w="6663" w:type="dxa"/>
            <w:tcBorders>
              <w:top w:val="single" w:color="auto" w:sz="4" w:space="0"/>
              <w:left w:val="single" w:color="auto" w:sz="4" w:space="0"/>
              <w:bottom w:val="single" w:color="auto" w:sz="4" w:space="0"/>
              <w:right w:val="single" w:color="auto" w:sz="4" w:space="0"/>
            </w:tcBorders>
            <w:vAlign w:val="center"/>
          </w:tcPr>
          <w:p w14:paraId="1389432C">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甲方（用户）指定地点。详细地址为：海南大学崖州湾科教园。</w:t>
            </w:r>
          </w:p>
        </w:tc>
      </w:tr>
      <w:tr w14:paraId="64F60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0583C067">
            <w:pPr>
              <w:pStyle w:val="19"/>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4.</w:t>
            </w:r>
          </w:p>
        </w:tc>
        <w:tc>
          <w:tcPr>
            <w:tcW w:w="1548" w:type="dxa"/>
            <w:tcBorders>
              <w:top w:val="single" w:color="auto" w:sz="4" w:space="0"/>
              <w:left w:val="single" w:color="auto" w:sz="4" w:space="0"/>
              <w:bottom w:val="single" w:color="auto" w:sz="4" w:space="0"/>
              <w:right w:val="single" w:color="auto" w:sz="4" w:space="0"/>
            </w:tcBorders>
            <w:vAlign w:val="center"/>
          </w:tcPr>
          <w:p w14:paraId="31D30B0D">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服务期限</w:t>
            </w:r>
          </w:p>
        </w:tc>
        <w:tc>
          <w:tcPr>
            <w:tcW w:w="6663" w:type="dxa"/>
            <w:tcBorders>
              <w:top w:val="single" w:color="auto" w:sz="4" w:space="0"/>
              <w:left w:val="single" w:color="auto" w:sz="4" w:space="0"/>
              <w:bottom w:val="single" w:color="auto" w:sz="4" w:space="0"/>
              <w:right w:val="single" w:color="auto" w:sz="4" w:space="0"/>
            </w:tcBorders>
            <w:vAlign w:val="center"/>
          </w:tcPr>
          <w:p w14:paraId="0077BB2F">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合同生效后提供</w:t>
            </w:r>
            <w:r>
              <w:rPr>
                <w:rFonts w:hint="eastAsia" w:ascii="仿宋" w:hAnsi="仿宋" w:eastAsia="仿宋" w:cs="仿宋"/>
                <w:color w:val="auto"/>
                <w:szCs w:val="21"/>
                <w:highlight w:val="none"/>
                <w:lang w:val="en-US" w:eastAsia="zh-CN"/>
              </w:rPr>
              <w:t>服务</w:t>
            </w:r>
            <w:r>
              <w:rPr>
                <w:rFonts w:hint="eastAsia" w:ascii="仿宋" w:hAnsi="仿宋" w:eastAsia="仿宋" w:cs="仿宋"/>
                <w:color w:val="auto"/>
                <w:szCs w:val="21"/>
                <w:highlight w:val="none"/>
              </w:rPr>
              <w:t>。即从</w:t>
            </w:r>
            <w:r>
              <w:rPr>
                <w:rFonts w:hint="eastAsia" w:ascii="仿宋" w:hAnsi="仿宋" w:eastAsia="仿宋" w:cs="仿宋"/>
                <w:color w:val="auto"/>
                <w:szCs w:val="21"/>
                <w:highlight w:val="none"/>
                <w:u w:val="single"/>
              </w:rPr>
              <w:t xml:space="preserve"> 202</w:t>
            </w:r>
            <w:r>
              <w:rPr>
                <w:rFonts w:hint="eastAsia" w:ascii="仿宋" w:hAnsi="仿宋" w:eastAsia="仿宋" w:cs="仿宋"/>
                <w:color w:val="auto"/>
                <w:szCs w:val="21"/>
                <w:highlight w:val="none"/>
                <w:u w:val="single"/>
                <w:lang w:val="en-US" w:eastAsia="zh-CN"/>
              </w:rPr>
              <w:t>5</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9</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lang w:val="en-US" w:eastAsia="zh-CN"/>
              </w:rPr>
              <w:t>10</w:t>
            </w:r>
            <w:r>
              <w:rPr>
                <w:rFonts w:hint="eastAsia" w:ascii="仿宋" w:hAnsi="仿宋" w:eastAsia="仿宋" w:cs="仿宋"/>
                <w:color w:val="auto"/>
                <w:szCs w:val="21"/>
                <w:highlight w:val="none"/>
              </w:rPr>
              <w:t>日至</w:t>
            </w:r>
            <w:r>
              <w:rPr>
                <w:rFonts w:hint="eastAsia" w:ascii="仿宋" w:hAnsi="仿宋" w:eastAsia="仿宋" w:cs="仿宋"/>
                <w:color w:val="auto"/>
                <w:szCs w:val="21"/>
                <w:highlight w:val="none"/>
                <w:u w:val="single"/>
              </w:rPr>
              <w:t xml:space="preserve"> 202</w:t>
            </w:r>
            <w:r>
              <w:rPr>
                <w:rFonts w:hint="eastAsia" w:ascii="仿宋" w:hAnsi="仿宋" w:eastAsia="仿宋" w:cs="仿宋"/>
                <w:color w:val="auto"/>
                <w:szCs w:val="21"/>
                <w:highlight w:val="none"/>
                <w:u w:val="single"/>
                <w:lang w:val="en-US" w:eastAsia="zh-CN"/>
              </w:rPr>
              <w:t>6</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12</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月</w:t>
            </w:r>
            <w:r>
              <w:rPr>
                <w:rFonts w:hint="eastAsia" w:ascii="仿宋" w:hAnsi="仿宋" w:eastAsia="仿宋" w:cs="仿宋"/>
                <w:color w:val="auto"/>
                <w:szCs w:val="21"/>
                <w:highlight w:val="none"/>
                <w:u w:val="single"/>
                <w:lang w:val="en-US" w:eastAsia="zh-CN"/>
              </w:rPr>
              <w:t>31</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tc>
      </w:tr>
      <w:tr w14:paraId="088629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720" w:type="dxa"/>
            <w:tcBorders>
              <w:top w:val="single" w:color="auto" w:sz="4" w:space="0"/>
              <w:left w:val="single" w:color="auto" w:sz="4" w:space="0"/>
              <w:right w:val="single" w:color="auto" w:sz="4" w:space="0"/>
            </w:tcBorders>
            <w:vAlign w:val="center"/>
          </w:tcPr>
          <w:p w14:paraId="1B98DA6B">
            <w:pPr>
              <w:pStyle w:val="19"/>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5.</w:t>
            </w:r>
          </w:p>
        </w:tc>
        <w:tc>
          <w:tcPr>
            <w:tcW w:w="1548" w:type="dxa"/>
            <w:tcBorders>
              <w:top w:val="single" w:color="auto" w:sz="4" w:space="0"/>
              <w:left w:val="single" w:color="auto" w:sz="4" w:space="0"/>
              <w:right w:val="single" w:color="auto" w:sz="4" w:space="0"/>
            </w:tcBorders>
            <w:vAlign w:val="center"/>
          </w:tcPr>
          <w:p w14:paraId="6379A903">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付款方式</w:t>
            </w:r>
          </w:p>
        </w:tc>
        <w:tc>
          <w:tcPr>
            <w:tcW w:w="6663" w:type="dxa"/>
            <w:tcBorders>
              <w:top w:val="single" w:color="auto" w:sz="4" w:space="0"/>
              <w:left w:val="single" w:color="auto" w:sz="4" w:space="0"/>
              <w:right w:val="single" w:color="auto" w:sz="4" w:space="0"/>
            </w:tcBorders>
            <w:vAlign w:val="center"/>
          </w:tcPr>
          <w:p w14:paraId="70C3D228">
            <w:pPr>
              <w:pStyle w:val="20"/>
              <w:numPr>
                <w:ilvl w:val="0"/>
                <w:numId w:val="3"/>
              </w:numPr>
              <w:spacing w:line="400" w:lineRule="exact"/>
              <w:jc w:val="left"/>
              <w:rPr>
                <w:ins w:id="0" w:author="黎先妹" w:date="2025-05-21T15:40:48Z"/>
                <w:rFonts w:hint="eastAsia" w:ascii="仿宋" w:hAnsi="仿宋" w:eastAsia="仿宋" w:cs="仿宋"/>
                <w:b/>
                <w:bCs/>
                <w:color w:val="FF0000"/>
                <w:szCs w:val="21"/>
                <w:highlight w:val="none"/>
              </w:rPr>
            </w:pPr>
            <w:ins w:id="1" w:author="黎先妹" w:date="2025-05-21T15:40:35Z">
              <w:r>
                <w:rPr>
                  <w:rFonts w:hint="eastAsia" w:ascii="仿宋" w:hAnsi="仿宋" w:eastAsia="仿宋" w:cs="仿宋"/>
                  <w:color w:val="auto"/>
                  <w:szCs w:val="21"/>
                  <w:highlight w:val="none"/>
                </w:rPr>
                <w:t>合同生效后，服务费按月度结算。每月度结算费用为:￥   元。中标单位须月末开具上个月度的服务费合法有效的普通增值税发票交采购人，采购人在收到中标单位发票的</w:t>
              </w:r>
            </w:ins>
            <w:ins w:id="2" w:author="黎先妹" w:date="2025-07-03T10:45:38Z">
              <w:r>
                <w:rPr>
                  <w:rFonts w:hint="eastAsia" w:ascii="仿宋" w:hAnsi="仿宋" w:eastAsia="仿宋" w:cs="仿宋"/>
                  <w:color w:val="auto"/>
                  <w:szCs w:val="21"/>
                  <w:highlight w:val="none"/>
                  <w:lang w:val="en-US" w:eastAsia="zh-CN"/>
                </w:rPr>
                <w:t>3</w:t>
              </w:r>
            </w:ins>
            <w:ins w:id="3" w:author="黎先妹" w:date="2025-05-21T15:40:35Z">
              <w:r>
                <w:rPr>
                  <w:rFonts w:hint="eastAsia" w:ascii="仿宋" w:hAnsi="仿宋" w:eastAsia="仿宋" w:cs="仿宋"/>
                  <w:color w:val="auto"/>
                  <w:szCs w:val="21"/>
                  <w:highlight w:val="none"/>
                </w:rPr>
                <w:t>个工作日内办理支付(如中标单位提供服务付款方式不足一个月时按日计算)。如遇寒暑假、财政资金未及时到位或财政指标相关调整等情况，支付时限相应顺延。</w:t>
              </w:r>
            </w:ins>
            <w:ins w:id="4" w:author="黎先妹" w:date="2025-05-28T11:46:44Z">
              <w:r>
                <w:rPr>
                  <w:rFonts w:hint="eastAsia" w:ascii="仿宋" w:hAnsi="仿宋" w:eastAsia="仿宋" w:cs="仿宋"/>
                  <w:b/>
                  <w:bCs/>
                  <w:color w:val="FF0000"/>
                  <w:szCs w:val="21"/>
                  <w:highlight w:val="none"/>
                  <w:lang w:val="en-US" w:eastAsia="zh-CN"/>
                </w:rPr>
                <w:t>另外</w:t>
              </w:r>
            </w:ins>
            <w:ins w:id="5" w:author="黎先妹" w:date="2025-05-28T11:46:45Z">
              <w:r>
                <w:rPr>
                  <w:rFonts w:hint="eastAsia" w:ascii="仿宋" w:hAnsi="仿宋" w:eastAsia="仿宋" w:cs="仿宋"/>
                  <w:b/>
                  <w:bCs/>
                  <w:color w:val="FF0000"/>
                  <w:szCs w:val="21"/>
                  <w:highlight w:val="none"/>
                  <w:lang w:val="en-US" w:eastAsia="zh-CN"/>
                </w:rPr>
                <w:t>，</w:t>
              </w:r>
            </w:ins>
            <w:ins w:id="6" w:author="黎先妹" w:date="2025-05-28T11:46:48Z">
              <w:r>
                <w:rPr>
                  <w:rFonts w:hint="eastAsia" w:ascii="仿宋" w:hAnsi="仿宋" w:eastAsia="仿宋" w:cs="仿宋"/>
                  <w:b/>
                  <w:bCs/>
                  <w:color w:val="FF0000"/>
                  <w:szCs w:val="21"/>
                  <w:highlight w:val="none"/>
                  <w:lang w:val="en-US" w:eastAsia="zh-CN"/>
                </w:rPr>
                <w:t>海南大学三亚研究院在生物医学工程学院大楼内办公，共使用面积3860平方米，此部分办公场所产生的物业服务费，由中标方（物业）自行与海南大学三亚研究院签署相关协议及收取相关物业费，并向其提供相关收费凭证材料。中标方（物业）知悉且同意该部分面积产生的费用不得向海南大学主张，后续与海南大学三亚研究院如何签约及何时收款的风险由中标方自行承担。但该部分面积同样作为本合同的考核范围，与本合同约定的其他服务面积中标方有同样的义务。</w:t>
              </w:r>
            </w:ins>
          </w:p>
          <w:p w14:paraId="056C6580">
            <w:pPr>
              <w:pStyle w:val="20"/>
              <w:numPr>
                <w:ilvl w:val="-1"/>
                <w:numId w:val="0"/>
              </w:numPr>
              <w:spacing w:line="400" w:lineRule="exact"/>
              <w:jc w:val="left"/>
              <w:rPr>
                <w:ins w:id="7" w:author="黎先妹" w:date="2025-05-21T15:40:35Z"/>
                <w:rFonts w:hint="eastAsia" w:ascii="仿宋" w:hAnsi="仿宋" w:eastAsia="仿宋" w:cs="仿宋"/>
                <w:color w:val="auto"/>
                <w:szCs w:val="21"/>
                <w:highlight w:val="none"/>
              </w:rPr>
            </w:pPr>
            <w:ins w:id="8" w:author="黎先妹" w:date="2025-05-21T15:40:35Z">
              <w:r>
                <w:rPr>
                  <w:rFonts w:hint="eastAsia" w:ascii="仿宋" w:hAnsi="仿宋" w:eastAsia="仿宋" w:cs="仿宋"/>
                  <w:color w:val="auto"/>
                  <w:szCs w:val="21"/>
                  <w:highlight w:val="none"/>
                </w:rPr>
                <w:t>(2)甲方对乙方的物业管理服务质量进行考核及每月扣罚，以月为单位进行考核，以月为单位进行归总扣罚，上月的扣罚费用在下月的服务费内进行扣减。</w:t>
              </w:r>
            </w:ins>
          </w:p>
          <w:p w14:paraId="750BFFD0">
            <w:pPr>
              <w:pStyle w:val="20"/>
              <w:spacing w:line="400" w:lineRule="exact"/>
              <w:jc w:val="left"/>
              <w:rPr>
                <w:rFonts w:ascii="仿宋" w:hAnsi="仿宋" w:eastAsia="仿宋" w:cs="仿宋"/>
                <w:color w:val="auto"/>
                <w:szCs w:val="21"/>
                <w:highlight w:val="none"/>
              </w:rPr>
            </w:pPr>
            <w:ins w:id="9" w:author="黎先妹" w:date="2025-05-21T15:40:35Z">
              <w:r>
                <w:rPr>
                  <w:rFonts w:hint="eastAsia" w:ascii="仿宋" w:hAnsi="仿宋" w:eastAsia="仿宋" w:cs="仿宋"/>
                  <w:color w:val="auto"/>
                  <w:szCs w:val="21"/>
                  <w:highlight w:val="none"/>
                </w:rPr>
                <w:t>(3)每月物业管理费用=中标合同金额合计÷物业管理服务的月份数-根据考核情况需要减值的部分费用。</w:t>
              </w:r>
            </w:ins>
          </w:p>
        </w:tc>
      </w:tr>
      <w:tr w14:paraId="389E5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46CA9F6B">
            <w:pPr>
              <w:pStyle w:val="19"/>
              <w:tabs>
                <w:tab w:val="left" w:pos="453"/>
              </w:tabs>
              <w:spacing w:line="360" w:lineRule="auto"/>
              <w:ind w:left="453" w:hanging="453"/>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6.</w:t>
            </w:r>
          </w:p>
        </w:tc>
        <w:tc>
          <w:tcPr>
            <w:tcW w:w="1548" w:type="dxa"/>
            <w:tcBorders>
              <w:top w:val="single" w:color="auto" w:sz="4" w:space="0"/>
              <w:left w:val="single" w:color="auto" w:sz="4" w:space="0"/>
              <w:bottom w:val="single" w:color="auto" w:sz="4" w:space="0"/>
              <w:right w:val="single" w:color="auto" w:sz="4" w:space="0"/>
            </w:tcBorders>
            <w:vAlign w:val="center"/>
          </w:tcPr>
          <w:p w14:paraId="3B359874">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付款要求</w:t>
            </w:r>
          </w:p>
        </w:tc>
        <w:tc>
          <w:tcPr>
            <w:tcW w:w="6663" w:type="dxa"/>
            <w:tcBorders>
              <w:top w:val="single" w:color="auto" w:sz="4" w:space="0"/>
              <w:left w:val="single" w:color="auto" w:sz="4" w:space="0"/>
              <w:bottom w:val="single" w:color="auto" w:sz="4" w:space="0"/>
              <w:right w:val="single" w:color="auto" w:sz="4" w:space="0"/>
            </w:tcBorders>
            <w:vAlign w:val="center"/>
          </w:tcPr>
          <w:p w14:paraId="74C0A6F5">
            <w:pPr>
              <w:pStyle w:val="20"/>
              <w:spacing w:line="360" w:lineRule="auto"/>
              <w:jc w:val="left"/>
              <w:rPr>
                <w:ins w:id="10" w:author="黎先妹" w:date="2025-05-21T15:41:08Z"/>
                <w:rFonts w:hint="eastAsia" w:ascii="仿宋" w:hAnsi="仿宋" w:eastAsia="仿宋" w:cs="仿宋"/>
                <w:color w:val="auto"/>
                <w:szCs w:val="21"/>
                <w:highlight w:val="none"/>
              </w:rPr>
            </w:pPr>
            <w:ins w:id="11" w:author="黎先妹" w:date="2025-05-21T15:41:08Z">
              <w:r>
                <w:rPr>
                  <w:rFonts w:hint="eastAsia" w:ascii="仿宋" w:hAnsi="仿宋" w:eastAsia="仿宋" w:cs="仿宋"/>
                  <w:color w:val="auto"/>
                  <w:szCs w:val="21"/>
                  <w:highlight w:val="none"/>
                </w:rPr>
                <w:t>（1）乙方每月度须向甲方提供依法纳税的服务费发票。</w:t>
              </w:r>
            </w:ins>
          </w:p>
          <w:p w14:paraId="565F6749">
            <w:pPr>
              <w:pStyle w:val="20"/>
              <w:spacing w:line="360" w:lineRule="auto"/>
              <w:jc w:val="left"/>
              <w:rPr>
                <w:ins w:id="12" w:author="黎先妹" w:date="2025-05-21T15:41:18Z"/>
                <w:rFonts w:hint="eastAsia" w:ascii="仿宋" w:hAnsi="仿宋" w:eastAsia="仿宋" w:cs="仿宋"/>
                <w:color w:val="auto"/>
                <w:szCs w:val="21"/>
                <w:highlight w:val="none"/>
              </w:rPr>
            </w:pPr>
            <w:ins w:id="13" w:author="黎先妹" w:date="2025-05-21T15:41:08Z">
              <w:r>
                <w:rPr>
                  <w:rFonts w:hint="eastAsia" w:ascii="仿宋" w:hAnsi="仿宋" w:eastAsia="仿宋" w:cs="仿宋"/>
                  <w:color w:val="auto"/>
                  <w:szCs w:val="21"/>
                  <w:highlight w:val="none"/>
                </w:rPr>
                <w:t>（2）甲方签署验收确认书及申办每期拨款手续均可在</w:t>
              </w:r>
            </w:ins>
            <w:ins w:id="14" w:author="黎先妹" w:date="2025-07-03T10:46:24Z">
              <w:r>
                <w:rPr>
                  <w:rFonts w:hint="eastAsia" w:ascii="仿宋" w:hAnsi="仿宋" w:eastAsia="仿宋" w:cs="仿宋"/>
                  <w:color w:val="auto"/>
                  <w:szCs w:val="21"/>
                  <w:highlight w:val="none"/>
                  <w:lang w:val="en-US" w:eastAsia="zh-CN"/>
                </w:rPr>
                <w:t>3</w:t>
              </w:r>
            </w:ins>
            <w:ins w:id="15" w:author="黎先妹" w:date="2025-05-21T15:41:08Z">
              <w:r>
                <w:rPr>
                  <w:rFonts w:hint="eastAsia" w:ascii="仿宋" w:hAnsi="仿宋" w:eastAsia="仿宋" w:cs="仿宋"/>
                  <w:color w:val="auto"/>
                  <w:szCs w:val="21"/>
                  <w:highlight w:val="none"/>
                </w:rPr>
                <w:t>个工作日内完。</w:t>
              </w:r>
            </w:ins>
          </w:p>
          <w:p w14:paraId="3748CEB2">
            <w:pPr>
              <w:pStyle w:val="20"/>
              <w:spacing w:line="360" w:lineRule="auto"/>
              <w:jc w:val="left"/>
              <w:rPr>
                <w:rFonts w:ascii="仿宋" w:hAnsi="仿宋" w:eastAsia="仿宋" w:cs="仿宋"/>
                <w:color w:val="auto"/>
                <w:szCs w:val="21"/>
                <w:highlight w:val="none"/>
              </w:rPr>
            </w:pPr>
            <w:ins w:id="16" w:author="黎先妹" w:date="2025-05-21T15:41:08Z">
              <w:r>
                <w:rPr>
                  <w:rFonts w:hint="eastAsia" w:ascii="仿宋" w:hAnsi="仿宋" w:eastAsia="仿宋" w:cs="仿宋"/>
                  <w:color w:val="auto"/>
                  <w:szCs w:val="21"/>
                  <w:highlight w:val="none"/>
                </w:rPr>
                <w:t>（3）服务费以转账方式转入乙方指定的银行账户。</w:t>
              </w:r>
            </w:ins>
          </w:p>
        </w:tc>
      </w:tr>
      <w:tr w14:paraId="42E1B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62899DAB">
            <w:pPr>
              <w:pStyle w:val="19"/>
              <w:tabs>
                <w:tab w:val="left" w:pos="453"/>
              </w:tabs>
              <w:spacing w:line="360" w:lineRule="auto"/>
              <w:jc w:val="center"/>
              <w:rPr>
                <w:rFonts w:ascii="仿宋" w:hAnsi="仿宋" w:eastAsia="仿宋" w:cs="仿宋"/>
                <w:b/>
                <w:color w:val="auto"/>
                <w:sz w:val="21"/>
                <w:szCs w:val="21"/>
                <w:highlight w:val="none"/>
              </w:rPr>
            </w:pPr>
            <w:r>
              <w:rPr>
                <w:rFonts w:hint="eastAsia" w:ascii="仿宋" w:hAnsi="仿宋" w:eastAsia="仿宋" w:cs="仿宋"/>
                <w:b/>
                <w:color w:val="auto"/>
                <w:sz w:val="21"/>
                <w:szCs w:val="21"/>
                <w:highlight w:val="none"/>
              </w:rPr>
              <w:t>7.</w:t>
            </w:r>
          </w:p>
        </w:tc>
        <w:tc>
          <w:tcPr>
            <w:tcW w:w="1548" w:type="dxa"/>
            <w:tcBorders>
              <w:top w:val="single" w:color="auto" w:sz="4" w:space="0"/>
              <w:left w:val="single" w:color="auto" w:sz="4" w:space="0"/>
              <w:bottom w:val="single" w:color="auto" w:sz="4" w:space="0"/>
              <w:right w:val="single" w:color="auto" w:sz="4" w:space="0"/>
            </w:tcBorders>
            <w:vAlign w:val="center"/>
          </w:tcPr>
          <w:p w14:paraId="68B060DE">
            <w:pPr>
              <w:pStyle w:val="20"/>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履约保证金</w:t>
            </w:r>
          </w:p>
        </w:tc>
        <w:tc>
          <w:tcPr>
            <w:tcW w:w="6663" w:type="dxa"/>
            <w:tcBorders>
              <w:top w:val="single" w:color="auto" w:sz="4" w:space="0"/>
              <w:left w:val="single" w:color="auto" w:sz="4" w:space="0"/>
              <w:bottom w:val="single" w:color="auto" w:sz="4" w:space="0"/>
              <w:right w:val="single" w:color="auto" w:sz="4" w:space="0"/>
            </w:tcBorders>
            <w:vAlign w:val="center"/>
          </w:tcPr>
          <w:p w14:paraId="67F4DFD1">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履约保证金以现金等形式，应在合同签订后30日内采用下述方式之一提交：</w:t>
            </w:r>
          </w:p>
          <w:p w14:paraId="2D22980C">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(1)银行保函：由甲方可接受的在中华人民共和国境内注册和营业的银行总行或其省、直辖市级分行出具。</w:t>
            </w:r>
          </w:p>
          <w:p w14:paraId="4B9DED2B">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(2)现金、支票、汇票或者金融机构、担保机构出具的保函等形式提交。</w:t>
            </w:r>
          </w:p>
          <w:p w14:paraId="24338E0E">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履约保证金的金额</w:t>
            </w:r>
            <w:r>
              <w:rPr>
                <w:rFonts w:hint="eastAsia" w:ascii="仿宋" w:hAnsi="仿宋" w:eastAsia="仿宋" w:cs="仿宋"/>
                <w:color w:val="auto"/>
                <w:szCs w:val="21"/>
                <w:highlight w:val="none"/>
                <w:shd w:val="clear"/>
              </w:rPr>
              <w:t>：</w:t>
            </w:r>
            <w:r>
              <w:rPr>
                <w:rFonts w:hint="eastAsia" w:ascii="仿宋" w:hAnsi="仿宋" w:eastAsia="仿宋" w:cs="仿宋"/>
                <w:b/>
                <w:bCs/>
                <w:color w:val="auto"/>
                <w:szCs w:val="21"/>
                <w:highlight w:val="none"/>
                <w:shd w:val="clear"/>
              </w:rPr>
              <w:t>合同金额的</w:t>
            </w:r>
            <w:r>
              <w:rPr>
                <w:rFonts w:hint="eastAsia" w:ascii="仿宋" w:hAnsi="仿宋" w:eastAsia="仿宋" w:cs="仿宋"/>
                <w:b/>
                <w:bCs/>
                <w:color w:val="auto"/>
                <w:szCs w:val="21"/>
                <w:highlight w:val="none"/>
                <w:shd w:val="clear"/>
                <w:lang w:val="en-US" w:eastAsia="zh-CN"/>
              </w:rPr>
              <w:t>3</w:t>
            </w:r>
            <w:r>
              <w:rPr>
                <w:rFonts w:hint="eastAsia" w:ascii="仿宋" w:hAnsi="仿宋" w:eastAsia="仿宋" w:cs="仿宋"/>
                <w:b/>
                <w:bCs/>
                <w:color w:val="auto"/>
                <w:szCs w:val="21"/>
                <w:highlight w:val="none"/>
                <w:shd w:val="clear"/>
              </w:rPr>
              <w:t>%</w:t>
            </w:r>
          </w:p>
          <w:p w14:paraId="4DAF9B4F">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履约保证金汇至：海南大学</w:t>
            </w:r>
          </w:p>
          <w:p w14:paraId="4DE4EFC5">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账    号：21150001040000040</w:t>
            </w:r>
          </w:p>
          <w:p w14:paraId="2D5CBC49">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开 户 行：中国农业银行海口海大支行</w:t>
            </w:r>
          </w:p>
          <w:p w14:paraId="3F778CF7">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行    号：103641015005</w:t>
            </w:r>
          </w:p>
          <w:p w14:paraId="7B039CD8">
            <w:pPr>
              <w:pStyle w:val="20"/>
              <w:spacing w:line="360" w:lineRule="auto"/>
              <w:jc w:val="left"/>
              <w:rPr>
                <w:rFonts w:ascii="仿宋" w:hAnsi="仿宋" w:eastAsia="仿宋" w:cs="仿宋"/>
                <w:color w:val="auto"/>
                <w:szCs w:val="21"/>
                <w:highlight w:val="none"/>
              </w:rPr>
            </w:pPr>
            <w:r>
              <w:rPr>
                <w:rFonts w:hint="eastAsia" w:ascii="仿宋" w:hAnsi="仿宋" w:eastAsia="仿宋" w:cs="仿宋"/>
                <w:color w:val="auto"/>
                <w:szCs w:val="21"/>
                <w:highlight w:val="none"/>
              </w:rPr>
              <w:t>注：履约保证金交纳时间以保证金到账时间为准。履约期满考核合格后30日内无息退还。</w:t>
            </w:r>
          </w:p>
          <w:p w14:paraId="745029F5">
            <w:pPr>
              <w:pStyle w:val="20"/>
              <w:spacing w:line="360" w:lineRule="auto"/>
              <w:jc w:val="left"/>
              <w:rPr>
                <w:rFonts w:ascii="仿宋" w:hAnsi="仿宋" w:eastAsia="仿宋" w:cs="仿宋"/>
                <w:color w:val="auto"/>
                <w:szCs w:val="21"/>
                <w:highlight w:val="none"/>
              </w:rPr>
            </w:pPr>
          </w:p>
        </w:tc>
      </w:tr>
      <w:tr w14:paraId="15E1E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73D13235">
            <w:pPr>
              <w:pStyle w:val="19"/>
              <w:tabs>
                <w:tab w:val="left" w:pos="453"/>
              </w:tabs>
              <w:spacing w:line="360" w:lineRule="auto"/>
              <w:jc w:val="center"/>
              <w:rPr>
                <w:rFonts w:hint="eastAsia" w:ascii="仿宋" w:hAnsi="仿宋" w:eastAsia="仿宋" w:cs="仿宋"/>
                <w:b/>
                <w:color w:val="auto"/>
                <w:sz w:val="21"/>
                <w:szCs w:val="21"/>
                <w:highlight w:val="none"/>
              </w:rPr>
            </w:pPr>
          </w:p>
        </w:tc>
        <w:tc>
          <w:tcPr>
            <w:tcW w:w="1548" w:type="dxa"/>
            <w:tcBorders>
              <w:top w:val="single" w:color="auto" w:sz="4" w:space="0"/>
              <w:left w:val="single" w:color="auto" w:sz="4" w:space="0"/>
              <w:bottom w:val="single" w:color="auto" w:sz="4" w:space="0"/>
              <w:right w:val="single" w:color="auto" w:sz="4" w:space="0"/>
            </w:tcBorders>
            <w:vAlign w:val="center"/>
          </w:tcPr>
          <w:p w14:paraId="350DF6C4">
            <w:pPr>
              <w:pStyle w:val="20"/>
              <w:spacing w:line="360" w:lineRule="auto"/>
              <w:jc w:val="center"/>
              <w:rPr>
                <w:rFonts w:hint="eastAsia" w:ascii="仿宋" w:hAnsi="仿宋" w:eastAsia="仿宋" w:cs="仿宋"/>
                <w:b/>
                <w:color w:val="auto"/>
                <w:szCs w:val="21"/>
                <w:highlight w:val="none"/>
              </w:rPr>
            </w:pPr>
          </w:p>
        </w:tc>
        <w:tc>
          <w:tcPr>
            <w:tcW w:w="6663" w:type="dxa"/>
            <w:tcBorders>
              <w:top w:val="single" w:color="auto" w:sz="4" w:space="0"/>
              <w:left w:val="single" w:color="auto" w:sz="4" w:space="0"/>
              <w:bottom w:val="single" w:color="auto" w:sz="4" w:space="0"/>
              <w:right w:val="single" w:color="auto" w:sz="4" w:space="0"/>
            </w:tcBorders>
            <w:vAlign w:val="center"/>
          </w:tcPr>
          <w:p w14:paraId="473EC23E">
            <w:pPr>
              <w:pStyle w:val="20"/>
              <w:spacing w:line="360" w:lineRule="auto"/>
              <w:jc w:val="left"/>
              <w:rPr>
                <w:rFonts w:ascii="仿宋" w:hAnsi="仿宋" w:eastAsia="仿宋" w:cs="仿宋"/>
                <w:color w:val="auto"/>
                <w:szCs w:val="21"/>
                <w:highlight w:val="none"/>
              </w:rPr>
            </w:pPr>
          </w:p>
        </w:tc>
      </w:tr>
    </w:tbl>
    <w:p w14:paraId="34D44672">
      <w:pPr>
        <w:pStyle w:val="19"/>
        <w:numPr>
          <w:ilvl w:val="0"/>
          <w:numId w:val="1"/>
        </w:numPr>
        <w:spacing w:line="360" w:lineRule="auto"/>
        <w:rPr>
          <w:rFonts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物业服务范围及内容：</w:t>
      </w:r>
    </w:p>
    <w:p w14:paraId="374ADD1B">
      <w:pPr>
        <w:pStyle w:val="18"/>
        <w:spacing w:line="560" w:lineRule="exact"/>
        <w:rPr>
          <w:rFonts w:ascii="仿宋" w:hAnsi="仿宋" w:eastAsia="仿宋" w:cs="仿宋"/>
          <w:bCs/>
          <w:color w:val="auto"/>
          <w:szCs w:val="21"/>
          <w:highlight w:val="none"/>
        </w:rPr>
      </w:pPr>
      <w:r>
        <w:rPr>
          <w:rFonts w:hint="eastAsia" w:ascii="仿宋" w:hAnsi="仿宋" w:eastAsia="仿宋" w:cs="仿宋"/>
          <w:bCs/>
          <w:color w:val="auto"/>
          <w:szCs w:val="21"/>
          <w:highlight w:val="none"/>
        </w:rPr>
        <w:t>物业管理服务采购范围为海南大学生物医学工程学院大楼</w:t>
      </w:r>
      <w:r>
        <w:rPr>
          <w:rFonts w:hint="eastAsia" w:ascii="仿宋" w:hAnsi="仿宋" w:eastAsia="仿宋" w:cs="仿宋"/>
          <w:bCs/>
          <w:color w:val="auto"/>
          <w:szCs w:val="21"/>
          <w:highlight w:val="none"/>
          <w:lang w:val="en-US" w:eastAsia="zh-CN"/>
        </w:rPr>
        <w:t>及</w:t>
      </w:r>
      <w:r>
        <w:rPr>
          <w:rFonts w:hint="eastAsia" w:ascii="仿宋" w:hAnsi="仿宋" w:eastAsia="仿宋" w:cs="仿宋"/>
          <w:bCs/>
          <w:color w:val="auto"/>
          <w:szCs w:val="21"/>
          <w:highlight w:val="none"/>
        </w:rPr>
        <w:t>非人灵长类模式动物研究基地红线范围内所有的建筑、绿化、景观水体及道路等区域的物业服务。</w:t>
      </w:r>
      <w:r>
        <w:rPr>
          <w:rFonts w:hint="eastAsia" w:ascii="仿宋" w:hAnsi="仿宋" w:eastAsia="仿宋" w:cs="仿宋"/>
          <w:bCs/>
          <w:color w:val="auto"/>
          <w:szCs w:val="21"/>
          <w:highlight w:val="none"/>
          <w:lang w:eastAsia="zh-CN"/>
        </w:rPr>
        <w:t>服务期限2025年9月10日-2026年12月31日</w:t>
      </w:r>
      <w:r>
        <w:rPr>
          <w:rFonts w:hint="eastAsia" w:ascii="仿宋" w:hAnsi="仿宋" w:eastAsia="仿宋" w:cs="仿宋"/>
          <w:bCs/>
          <w:color w:val="auto"/>
          <w:szCs w:val="21"/>
          <w:highlight w:val="none"/>
        </w:rPr>
        <w:t>。基本数据具体如下：</w:t>
      </w:r>
    </w:p>
    <w:p w14:paraId="0A302406">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单体建筑基本信息表：</w:t>
      </w:r>
    </w:p>
    <w:tbl>
      <w:tblPr>
        <w:tblStyle w:val="10"/>
        <w:tblW w:w="4891"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3"/>
        <w:gridCol w:w="1985"/>
        <w:gridCol w:w="1305"/>
        <w:gridCol w:w="861"/>
        <w:gridCol w:w="1007"/>
        <w:gridCol w:w="1227"/>
        <w:gridCol w:w="1227"/>
      </w:tblGrid>
      <w:tr w14:paraId="3337D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139" w:hRule="atLeast"/>
        </w:trPr>
        <w:tc>
          <w:tcPr>
            <w:tcW w:w="522" w:type="dxa"/>
          </w:tcPr>
          <w:p w14:paraId="7F562FA7">
            <w:pPr>
              <w:spacing w:line="283" w:lineRule="auto"/>
              <w:rPr>
                <w:rFonts w:ascii="宋体" w:hAnsi="宋体" w:cs="宋体"/>
                <w:color w:val="auto"/>
                <w:szCs w:val="21"/>
                <w:highlight w:val="none"/>
              </w:rPr>
            </w:pPr>
          </w:p>
          <w:p w14:paraId="07E292D2">
            <w:pPr>
              <w:spacing w:before="78" w:line="222" w:lineRule="auto"/>
              <w:rPr>
                <w:rFonts w:ascii="宋体" w:hAnsi="宋体" w:cs="宋体"/>
                <w:b/>
                <w:color w:val="auto"/>
                <w:kern w:val="0"/>
                <w:szCs w:val="21"/>
                <w:highlight w:val="none"/>
              </w:rPr>
            </w:pPr>
            <w:r>
              <w:rPr>
                <w:rFonts w:hint="eastAsia" w:ascii="宋体" w:hAnsi="宋体" w:cs="宋体"/>
                <w:color w:val="auto"/>
                <w:spacing w:val="-8"/>
                <w:szCs w:val="21"/>
                <w:highlight w:val="none"/>
              </w:rPr>
              <w:t>序号</w:t>
            </w:r>
          </w:p>
        </w:tc>
        <w:tc>
          <w:tcPr>
            <w:tcW w:w="1982" w:type="dxa"/>
          </w:tcPr>
          <w:p w14:paraId="321D9287">
            <w:pPr>
              <w:spacing w:line="282" w:lineRule="auto"/>
              <w:rPr>
                <w:rFonts w:ascii="宋体" w:hAnsi="宋体" w:cs="宋体"/>
                <w:color w:val="auto"/>
                <w:szCs w:val="21"/>
                <w:highlight w:val="none"/>
              </w:rPr>
            </w:pPr>
          </w:p>
          <w:p w14:paraId="334D6369">
            <w:pPr>
              <w:spacing w:before="78" w:line="224" w:lineRule="auto"/>
              <w:ind w:left="1075"/>
              <w:rPr>
                <w:rFonts w:ascii="宋体" w:hAnsi="宋体" w:cs="宋体"/>
                <w:color w:val="auto"/>
                <w:kern w:val="0"/>
                <w:szCs w:val="21"/>
                <w:highlight w:val="none"/>
              </w:rPr>
            </w:pPr>
            <w:r>
              <w:rPr>
                <w:rFonts w:hint="eastAsia" w:ascii="宋体" w:hAnsi="宋体" w:cs="宋体"/>
                <w:color w:val="auto"/>
                <w:spacing w:val="-8"/>
                <w:szCs w:val="21"/>
                <w:highlight w:val="none"/>
              </w:rPr>
              <w:t>建筑</w:t>
            </w:r>
          </w:p>
        </w:tc>
        <w:tc>
          <w:tcPr>
            <w:tcW w:w="1304" w:type="dxa"/>
          </w:tcPr>
          <w:p w14:paraId="0F5E3261">
            <w:pPr>
              <w:spacing w:before="216"/>
              <w:rPr>
                <w:rFonts w:ascii="宋体" w:hAnsi="宋体" w:cs="宋体"/>
                <w:color w:val="auto"/>
                <w:szCs w:val="21"/>
                <w:highlight w:val="none"/>
              </w:rPr>
            </w:pPr>
            <w:r>
              <w:rPr>
                <w:rFonts w:hint="eastAsia" w:ascii="宋体" w:hAnsi="宋体" w:cs="宋体"/>
                <w:color w:val="auto"/>
                <w:spacing w:val="-4"/>
                <w:szCs w:val="21"/>
                <w:highlight w:val="none"/>
              </w:rPr>
              <w:t>建筑面积</w:t>
            </w:r>
          </w:p>
          <w:p w14:paraId="59658A03">
            <w:pPr>
              <w:spacing w:line="236" w:lineRule="auto"/>
              <w:rPr>
                <w:rFonts w:ascii="宋体" w:hAnsi="宋体" w:cs="宋体"/>
                <w:color w:val="auto"/>
                <w:kern w:val="0"/>
                <w:szCs w:val="21"/>
                <w:highlight w:val="none"/>
              </w:rPr>
            </w:pPr>
            <w:r>
              <w:rPr>
                <w:rFonts w:hint="eastAsia" w:ascii="宋体" w:hAnsi="宋体" w:cs="宋体"/>
                <w:color w:val="auto"/>
                <w:spacing w:val="-14"/>
                <w:szCs w:val="21"/>
                <w:highlight w:val="none"/>
              </w:rPr>
              <w:t>（㎡）</w:t>
            </w:r>
          </w:p>
        </w:tc>
        <w:tc>
          <w:tcPr>
            <w:tcW w:w="860" w:type="dxa"/>
          </w:tcPr>
          <w:p w14:paraId="414CA6CC">
            <w:pPr>
              <w:spacing w:before="216" w:line="317" w:lineRule="exact"/>
              <w:rPr>
                <w:rFonts w:ascii="宋体" w:hAnsi="宋体" w:cs="宋体"/>
                <w:color w:val="auto"/>
                <w:szCs w:val="21"/>
                <w:highlight w:val="none"/>
              </w:rPr>
            </w:pPr>
            <w:r>
              <w:rPr>
                <w:rFonts w:hint="eastAsia" w:ascii="宋体" w:hAnsi="宋体" w:cs="宋体"/>
                <w:color w:val="auto"/>
                <w:spacing w:val="-22"/>
                <w:position w:val="4"/>
                <w:szCs w:val="21"/>
                <w:highlight w:val="none"/>
              </w:rPr>
              <w:t>电梯</w:t>
            </w:r>
          </w:p>
          <w:p w14:paraId="23633AF9">
            <w:pPr>
              <w:spacing w:before="1" w:line="220" w:lineRule="auto"/>
              <w:rPr>
                <w:rFonts w:ascii="宋体" w:hAnsi="宋体" w:cs="宋体"/>
                <w:color w:val="auto"/>
                <w:kern w:val="0"/>
                <w:szCs w:val="21"/>
                <w:highlight w:val="none"/>
              </w:rPr>
            </w:pPr>
            <w:r>
              <w:rPr>
                <w:rFonts w:hint="eastAsia" w:ascii="宋体" w:hAnsi="宋体" w:cs="宋体"/>
                <w:color w:val="auto"/>
                <w:spacing w:val="-14"/>
                <w:szCs w:val="21"/>
                <w:highlight w:val="none"/>
              </w:rPr>
              <w:t>（台）</w:t>
            </w:r>
          </w:p>
        </w:tc>
        <w:tc>
          <w:tcPr>
            <w:tcW w:w="1006" w:type="dxa"/>
            <w:vAlign w:val="center"/>
          </w:tcPr>
          <w:p w14:paraId="3896AB0B">
            <w:pPr>
              <w:spacing w:before="59" w:line="235" w:lineRule="auto"/>
              <w:ind w:right="230"/>
              <w:jc w:val="center"/>
              <w:rPr>
                <w:rFonts w:ascii="宋体" w:hAnsi="宋体" w:cs="宋体"/>
                <w:color w:val="auto"/>
                <w:kern w:val="0"/>
                <w:szCs w:val="21"/>
                <w:highlight w:val="none"/>
              </w:rPr>
            </w:pPr>
            <w:r>
              <w:rPr>
                <w:rFonts w:hint="eastAsia" w:ascii="宋体" w:hAnsi="宋体" w:cs="宋体"/>
                <w:color w:val="auto"/>
                <w:spacing w:val="-5"/>
                <w:szCs w:val="21"/>
                <w:highlight w:val="none"/>
              </w:rPr>
              <w:t>消防控制</w:t>
            </w:r>
            <w:r>
              <w:rPr>
                <w:rFonts w:hint="eastAsia" w:ascii="宋体" w:hAnsi="宋体" w:cs="宋体"/>
                <w:color w:val="auto"/>
                <w:szCs w:val="21"/>
                <w:highlight w:val="none"/>
              </w:rPr>
              <w:t>室</w:t>
            </w:r>
            <w:r>
              <w:rPr>
                <w:rFonts w:hint="eastAsia" w:ascii="宋体" w:hAnsi="宋体" w:cs="宋体"/>
                <w:color w:val="auto"/>
                <w:spacing w:val="-7"/>
                <w:szCs w:val="21"/>
                <w:highlight w:val="none"/>
              </w:rPr>
              <w:t>（间）</w:t>
            </w:r>
          </w:p>
        </w:tc>
        <w:tc>
          <w:tcPr>
            <w:tcW w:w="1226" w:type="dxa"/>
            <w:vAlign w:val="center"/>
          </w:tcPr>
          <w:p w14:paraId="3C272155">
            <w:pPr>
              <w:autoSpaceDE w:val="0"/>
              <w:autoSpaceDN w:val="0"/>
              <w:ind w:right="89"/>
              <w:jc w:val="center"/>
              <w:rPr>
                <w:rFonts w:ascii="宋体" w:hAnsi="宋体" w:cs="宋体"/>
                <w:color w:val="auto"/>
                <w:kern w:val="0"/>
                <w:szCs w:val="21"/>
                <w:highlight w:val="none"/>
              </w:rPr>
            </w:pPr>
            <w:r>
              <w:rPr>
                <w:rFonts w:hint="eastAsia" w:ascii="宋体" w:hAnsi="宋体" w:cs="宋体"/>
                <w:color w:val="auto"/>
                <w:kern w:val="0"/>
                <w:szCs w:val="21"/>
                <w:highlight w:val="none"/>
              </w:rPr>
              <w:t>教学实验室（间）</w:t>
            </w:r>
          </w:p>
        </w:tc>
        <w:tc>
          <w:tcPr>
            <w:tcW w:w="1226" w:type="dxa"/>
            <w:vAlign w:val="center"/>
          </w:tcPr>
          <w:p w14:paraId="6E9C9793">
            <w:pPr>
              <w:autoSpaceDE w:val="0"/>
              <w:autoSpaceDN w:val="0"/>
              <w:ind w:left="101" w:right="89"/>
              <w:jc w:val="center"/>
              <w:rPr>
                <w:rFonts w:ascii="宋体" w:hAnsi="宋体" w:cs="宋体"/>
                <w:color w:val="auto"/>
                <w:kern w:val="0"/>
                <w:szCs w:val="21"/>
                <w:highlight w:val="none"/>
              </w:rPr>
            </w:pPr>
            <w:r>
              <w:rPr>
                <w:rFonts w:hint="eastAsia" w:ascii="宋体" w:hAnsi="宋体" w:cs="宋体"/>
                <w:color w:val="auto"/>
                <w:kern w:val="0"/>
                <w:szCs w:val="21"/>
                <w:highlight w:val="none"/>
              </w:rPr>
              <w:t>教室（间）</w:t>
            </w:r>
          </w:p>
        </w:tc>
      </w:tr>
      <w:tr w14:paraId="2405C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522" w:type="dxa"/>
            <w:vAlign w:val="center"/>
          </w:tcPr>
          <w:p w14:paraId="2BEE7993">
            <w:pPr>
              <w:spacing w:before="235" w:line="181" w:lineRule="auto"/>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val="en-US" w:eastAsia="zh-CN"/>
              </w:rPr>
              <w:t>1</w:t>
            </w:r>
          </w:p>
        </w:tc>
        <w:tc>
          <w:tcPr>
            <w:tcW w:w="1982" w:type="dxa"/>
          </w:tcPr>
          <w:p w14:paraId="155B04BF">
            <w:pPr>
              <w:spacing w:before="195" w:line="222" w:lineRule="auto"/>
              <w:jc w:val="center"/>
              <w:rPr>
                <w:rFonts w:ascii="宋体" w:hAnsi="宋体" w:cs="宋体"/>
                <w:color w:val="auto"/>
                <w:kern w:val="0"/>
                <w:szCs w:val="21"/>
                <w:highlight w:val="none"/>
              </w:rPr>
            </w:pPr>
            <w:r>
              <w:rPr>
                <w:rFonts w:hint="eastAsia" w:ascii="宋体" w:hAnsi="宋体" w:cs="宋体"/>
                <w:color w:val="auto"/>
                <w:spacing w:val="-6"/>
                <w:szCs w:val="21"/>
                <w:highlight w:val="none"/>
              </w:rPr>
              <w:t>生医工研究大楼</w:t>
            </w:r>
          </w:p>
        </w:tc>
        <w:tc>
          <w:tcPr>
            <w:tcW w:w="1304" w:type="dxa"/>
          </w:tcPr>
          <w:p w14:paraId="4F66A1BA">
            <w:pPr>
              <w:spacing w:before="236" w:line="180" w:lineRule="auto"/>
              <w:jc w:val="center"/>
              <w:rPr>
                <w:rFonts w:ascii="宋体" w:hAnsi="宋体" w:cs="宋体"/>
                <w:color w:val="auto"/>
                <w:kern w:val="0"/>
                <w:szCs w:val="21"/>
                <w:highlight w:val="none"/>
              </w:rPr>
            </w:pPr>
            <w:r>
              <w:rPr>
                <w:rFonts w:hint="eastAsia" w:ascii="宋体" w:hAnsi="宋体" w:cs="宋体"/>
                <w:color w:val="auto"/>
                <w:spacing w:val="-3"/>
                <w:szCs w:val="21"/>
                <w:highlight w:val="none"/>
              </w:rPr>
              <w:t>55055</w:t>
            </w:r>
            <w:ins w:id="17" w:author="黎先妹" w:date="2025-05-28T11:45:26Z">
              <w:r>
                <w:rPr>
                  <w:rFonts w:hint="eastAsia" w:ascii="宋体" w:hAnsi="宋体" w:cs="宋体"/>
                  <w:color w:val="auto"/>
                  <w:spacing w:val="-3"/>
                  <w:szCs w:val="21"/>
                  <w:highlight w:val="none"/>
                  <w:lang w:val="en-US" w:eastAsia="zh-CN"/>
                </w:rPr>
                <w:t xml:space="preserve">       </w:t>
              </w:r>
            </w:ins>
            <w:ins w:id="18" w:author="黎先妹" w:date="2025-05-28T11:45:26Z">
              <w:r>
                <w:rPr>
                  <w:rFonts w:hint="eastAsia" w:ascii="仿宋" w:hAnsi="仿宋" w:eastAsia="仿宋" w:cs="仿宋"/>
                  <w:b/>
                  <w:bCs/>
                  <w:color w:val="FF0000"/>
                  <w:spacing w:val="-3"/>
                  <w:sz w:val="18"/>
                  <w:szCs w:val="18"/>
                  <w:highlight w:val="none"/>
                  <w:lang w:eastAsia="zh-CN"/>
                </w:rPr>
                <w:t>（</w:t>
              </w:r>
            </w:ins>
            <w:ins w:id="19" w:author="黎先妹" w:date="2025-05-28T11:45:26Z">
              <w:r>
                <w:rPr>
                  <w:rFonts w:hint="eastAsia" w:ascii="仿宋" w:hAnsi="仿宋" w:eastAsia="仿宋" w:cs="仿宋"/>
                  <w:b/>
                  <w:bCs/>
                  <w:color w:val="FF0000"/>
                  <w:spacing w:val="-3"/>
                  <w:sz w:val="18"/>
                  <w:szCs w:val="18"/>
                  <w:highlight w:val="none"/>
                  <w:lang w:val="en-US" w:eastAsia="zh-CN"/>
                </w:rPr>
                <w:t>包含：三亚研究院所使用面积3860</w:t>
              </w:r>
            </w:ins>
            <w:ins w:id="20" w:author="黎先妹" w:date="2025-05-28T11:45:26Z">
              <w:r>
                <w:rPr>
                  <w:rFonts w:hint="eastAsia" w:ascii="仿宋" w:hAnsi="仿宋" w:eastAsia="仿宋" w:cs="仿宋"/>
                  <w:color w:val="FF0000"/>
                  <w:spacing w:val="-14"/>
                  <w:sz w:val="18"/>
                  <w:szCs w:val="18"/>
                  <w:highlight w:val="none"/>
                </w:rPr>
                <w:t>㎡</w:t>
              </w:r>
            </w:ins>
            <w:ins w:id="21" w:author="黎先妹" w:date="2025-05-28T11:45:26Z">
              <w:r>
                <w:rPr>
                  <w:rFonts w:hint="eastAsia" w:ascii="仿宋" w:hAnsi="仿宋" w:eastAsia="仿宋" w:cs="仿宋"/>
                  <w:b/>
                  <w:bCs/>
                  <w:color w:val="FF0000"/>
                  <w:spacing w:val="-3"/>
                  <w:sz w:val="18"/>
                  <w:szCs w:val="18"/>
                  <w:highlight w:val="none"/>
                  <w:lang w:eastAsia="zh-CN"/>
                </w:rPr>
                <w:t>）</w:t>
              </w:r>
            </w:ins>
          </w:p>
        </w:tc>
        <w:tc>
          <w:tcPr>
            <w:tcW w:w="860" w:type="dxa"/>
          </w:tcPr>
          <w:p w14:paraId="32D2A84D">
            <w:pPr>
              <w:spacing w:before="237" w:line="180" w:lineRule="auto"/>
              <w:jc w:val="center"/>
              <w:rPr>
                <w:rFonts w:ascii="宋体" w:hAnsi="宋体" w:cs="宋体"/>
                <w:color w:val="auto"/>
                <w:kern w:val="0"/>
                <w:szCs w:val="21"/>
                <w:highlight w:val="none"/>
              </w:rPr>
            </w:pPr>
            <w:r>
              <w:rPr>
                <w:rFonts w:hint="eastAsia" w:ascii="宋体" w:hAnsi="宋体" w:cs="宋体"/>
                <w:color w:val="auto"/>
                <w:szCs w:val="21"/>
                <w:highlight w:val="none"/>
              </w:rPr>
              <w:t>11</w:t>
            </w:r>
          </w:p>
        </w:tc>
        <w:tc>
          <w:tcPr>
            <w:tcW w:w="1006" w:type="dxa"/>
          </w:tcPr>
          <w:p w14:paraId="4494BB14">
            <w:pPr>
              <w:spacing w:before="235" w:line="181" w:lineRule="auto"/>
              <w:ind w:left="692"/>
              <w:jc w:val="center"/>
              <w:rPr>
                <w:rFonts w:ascii="宋体" w:hAnsi="宋体" w:cs="宋体"/>
                <w:color w:val="auto"/>
                <w:kern w:val="0"/>
                <w:szCs w:val="21"/>
                <w:highlight w:val="none"/>
              </w:rPr>
            </w:pPr>
            <w:r>
              <w:rPr>
                <w:rFonts w:hint="eastAsia" w:ascii="宋体" w:hAnsi="宋体" w:cs="宋体"/>
                <w:color w:val="auto"/>
                <w:szCs w:val="21"/>
                <w:highlight w:val="none"/>
              </w:rPr>
              <w:t>1</w:t>
            </w:r>
          </w:p>
        </w:tc>
        <w:tc>
          <w:tcPr>
            <w:tcW w:w="1226" w:type="dxa"/>
          </w:tcPr>
          <w:p w14:paraId="2C87CCFE">
            <w:pPr>
              <w:jc w:val="center"/>
              <w:rPr>
                <w:rFonts w:ascii="宋体" w:hAnsi="宋体" w:cs="宋体"/>
                <w:color w:val="auto"/>
                <w:szCs w:val="21"/>
                <w:highlight w:val="none"/>
              </w:rPr>
            </w:pPr>
          </w:p>
          <w:p w14:paraId="04CA1C3A">
            <w:pPr>
              <w:jc w:val="center"/>
              <w:rPr>
                <w:rFonts w:ascii="宋体" w:hAnsi="宋体" w:cs="宋体"/>
                <w:color w:val="auto"/>
                <w:szCs w:val="21"/>
                <w:highlight w:val="none"/>
              </w:rPr>
            </w:pPr>
            <w:r>
              <w:rPr>
                <w:rFonts w:hint="eastAsia" w:ascii="宋体" w:hAnsi="宋体" w:cs="宋体"/>
                <w:color w:val="auto"/>
                <w:szCs w:val="21"/>
                <w:highlight w:val="none"/>
              </w:rPr>
              <w:t>6</w:t>
            </w:r>
          </w:p>
        </w:tc>
        <w:tc>
          <w:tcPr>
            <w:tcW w:w="1226" w:type="dxa"/>
          </w:tcPr>
          <w:p w14:paraId="0EBE8BAA">
            <w:pPr>
              <w:ind w:firstLine="630" w:firstLineChars="300"/>
              <w:rPr>
                <w:rFonts w:ascii="宋体" w:hAnsi="宋体" w:cs="宋体"/>
                <w:color w:val="auto"/>
                <w:szCs w:val="21"/>
                <w:highlight w:val="none"/>
              </w:rPr>
            </w:pPr>
          </w:p>
          <w:p w14:paraId="7703078B">
            <w:pPr>
              <w:ind w:firstLine="630" w:firstLineChars="300"/>
              <w:rPr>
                <w:rFonts w:ascii="宋体" w:hAnsi="宋体" w:cs="宋体"/>
                <w:color w:val="auto"/>
                <w:szCs w:val="21"/>
                <w:highlight w:val="none"/>
              </w:rPr>
            </w:pPr>
            <w:r>
              <w:rPr>
                <w:rFonts w:hint="eastAsia" w:ascii="宋体" w:hAnsi="宋体" w:cs="宋体"/>
                <w:color w:val="auto"/>
                <w:szCs w:val="21"/>
                <w:highlight w:val="none"/>
              </w:rPr>
              <w:t>0</w:t>
            </w:r>
          </w:p>
        </w:tc>
      </w:tr>
      <w:tr w14:paraId="766B2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6" w:hRule="atLeast"/>
        </w:trPr>
        <w:tc>
          <w:tcPr>
            <w:tcW w:w="522" w:type="dxa"/>
            <w:vAlign w:val="center"/>
          </w:tcPr>
          <w:p w14:paraId="4DE03458">
            <w:pPr>
              <w:spacing w:before="235" w:line="181" w:lineRule="auto"/>
              <w:jc w:val="center"/>
              <w:rPr>
                <w:rFonts w:hint="eastAsia" w:ascii="宋体" w:hAnsi="宋体" w:eastAsia="宋体" w:cs="宋体"/>
                <w:color w:val="auto"/>
                <w:kern w:val="0"/>
                <w:szCs w:val="21"/>
                <w:highlight w:val="none"/>
                <w:lang w:eastAsia="zh-CN"/>
              </w:rPr>
            </w:pPr>
            <w:r>
              <w:rPr>
                <w:rFonts w:hint="eastAsia" w:ascii="宋体" w:hAnsi="宋体" w:cs="宋体"/>
                <w:color w:val="auto"/>
                <w:szCs w:val="21"/>
                <w:highlight w:val="none"/>
                <w:lang w:val="en-US" w:eastAsia="zh-CN"/>
              </w:rPr>
              <w:t>2</w:t>
            </w:r>
          </w:p>
        </w:tc>
        <w:tc>
          <w:tcPr>
            <w:tcW w:w="1982" w:type="dxa"/>
          </w:tcPr>
          <w:p w14:paraId="439518AE">
            <w:pPr>
              <w:spacing w:before="195" w:line="222" w:lineRule="auto"/>
              <w:jc w:val="center"/>
              <w:rPr>
                <w:rFonts w:ascii="宋体" w:hAnsi="宋体" w:cs="宋体"/>
                <w:color w:val="auto"/>
                <w:kern w:val="0"/>
                <w:szCs w:val="21"/>
                <w:highlight w:val="none"/>
              </w:rPr>
            </w:pPr>
            <w:r>
              <w:rPr>
                <w:rFonts w:hint="eastAsia" w:ascii="宋体" w:hAnsi="宋体" w:cs="宋体"/>
                <w:color w:val="auto"/>
                <w:spacing w:val="-6"/>
                <w:szCs w:val="21"/>
                <w:highlight w:val="none"/>
              </w:rPr>
              <w:t>非人灵长类模式动物研究基地</w:t>
            </w:r>
          </w:p>
        </w:tc>
        <w:tc>
          <w:tcPr>
            <w:tcW w:w="1304" w:type="dxa"/>
          </w:tcPr>
          <w:p w14:paraId="018DCC7F">
            <w:pPr>
              <w:spacing w:before="236" w:line="180" w:lineRule="auto"/>
              <w:jc w:val="center"/>
              <w:rPr>
                <w:rFonts w:ascii="宋体" w:hAnsi="宋体" w:cs="宋体"/>
                <w:color w:val="auto"/>
                <w:kern w:val="0"/>
                <w:szCs w:val="21"/>
                <w:highlight w:val="none"/>
              </w:rPr>
            </w:pPr>
            <w:r>
              <w:rPr>
                <w:rFonts w:hint="eastAsia" w:ascii="宋体" w:hAnsi="宋体" w:cs="宋体"/>
                <w:color w:val="auto"/>
                <w:spacing w:val="-3"/>
                <w:szCs w:val="21"/>
                <w:highlight w:val="none"/>
              </w:rPr>
              <w:t>3800</w:t>
            </w:r>
          </w:p>
        </w:tc>
        <w:tc>
          <w:tcPr>
            <w:tcW w:w="860" w:type="dxa"/>
          </w:tcPr>
          <w:p w14:paraId="0DED8487">
            <w:pPr>
              <w:spacing w:before="237" w:line="180" w:lineRule="auto"/>
              <w:jc w:val="center"/>
              <w:rPr>
                <w:rFonts w:ascii="宋体" w:hAnsi="宋体" w:cs="宋体"/>
                <w:color w:val="auto"/>
                <w:kern w:val="0"/>
                <w:szCs w:val="21"/>
                <w:highlight w:val="none"/>
              </w:rPr>
            </w:pPr>
            <w:r>
              <w:rPr>
                <w:rFonts w:hint="eastAsia" w:ascii="宋体" w:hAnsi="宋体" w:cs="宋体"/>
                <w:color w:val="auto"/>
                <w:szCs w:val="21"/>
                <w:highlight w:val="none"/>
              </w:rPr>
              <w:t>3</w:t>
            </w:r>
          </w:p>
        </w:tc>
        <w:tc>
          <w:tcPr>
            <w:tcW w:w="1006" w:type="dxa"/>
          </w:tcPr>
          <w:p w14:paraId="7F33B794">
            <w:pPr>
              <w:spacing w:before="235" w:line="181" w:lineRule="auto"/>
              <w:ind w:left="692"/>
              <w:jc w:val="center"/>
              <w:rPr>
                <w:rFonts w:ascii="宋体" w:hAnsi="宋体" w:cs="宋体"/>
                <w:color w:val="auto"/>
                <w:kern w:val="0"/>
                <w:szCs w:val="21"/>
                <w:highlight w:val="none"/>
              </w:rPr>
            </w:pPr>
            <w:r>
              <w:rPr>
                <w:rFonts w:hint="eastAsia" w:ascii="宋体" w:hAnsi="宋体" w:cs="宋体"/>
                <w:color w:val="auto"/>
                <w:szCs w:val="21"/>
                <w:highlight w:val="none"/>
              </w:rPr>
              <w:t>1</w:t>
            </w:r>
          </w:p>
        </w:tc>
        <w:tc>
          <w:tcPr>
            <w:tcW w:w="1226" w:type="dxa"/>
          </w:tcPr>
          <w:p w14:paraId="7054D585">
            <w:pPr>
              <w:jc w:val="center"/>
              <w:rPr>
                <w:rFonts w:ascii="宋体" w:hAnsi="宋体" w:cs="宋体"/>
                <w:color w:val="auto"/>
                <w:szCs w:val="21"/>
                <w:highlight w:val="none"/>
              </w:rPr>
            </w:pPr>
          </w:p>
        </w:tc>
        <w:tc>
          <w:tcPr>
            <w:tcW w:w="1226" w:type="dxa"/>
          </w:tcPr>
          <w:p w14:paraId="5492C798">
            <w:pPr>
              <w:jc w:val="center"/>
              <w:rPr>
                <w:rFonts w:ascii="宋体" w:hAnsi="宋体" w:cs="宋体"/>
                <w:color w:val="auto"/>
                <w:szCs w:val="21"/>
                <w:highlight w:val="none"/>
              </w:rPr>
            </w:pPr>
          </w:p>
          <w:p w14:paraId="75852CA2">
            <w:pPr>
              <w:jc w:val="center"/>
              <w:rPr>
                <w:rFonts w:ascii="宋体" w:hAnsi="宋体" w:cs="宋体"/>
                <w:color w:val="auto"/>
                <w:szCs w:val="21"/>
                <w:highlight w:val="none"/>
              </w:rPr>
            </w:pPr>
          </w:p>
        </w:tc>
      </w:tr>
    </w:tbl>
    <w:p w14:paraId="7AFDDABA">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室外配套设施、园林园建基本信息表：</w:t>
      </w:r>
    </w:p>
    <w:tbl>
      <w:tblPr>
        <w:tblStyle w:val="10"/>
        <w:tblW w:w="4915"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754"/>
        <w:gridCol w:w="3566"/>
        <w:gridCol w:w="1892"/>
        <w:gridCol w:w="1963"/>
      </w:tblGrid>
      <w:tr w14:paraId="591EC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5" w:hRule="atLeast"/>
        </w:trPr>
        <w:tc>
          <w:tcPr>
            <w:tcW w:w="461" w:type="pct"/>
            <w:vAlign w:val="center"/>
          </w:tcPr>
          <w:p w14:paraId="0001A2A5">
            <w:pPr>
              <w:autoSpaceDE w:val="0"/>
              <w:autoSpaceDN w:val="0"/>
              <w:ind w:left="101" w:right="89"/>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序号</w:t>
            </w:r>
          </w:p>
        </w:tc>
        <w:tc>
          <w:tcPr>
            <w:tcW w:w="2180" w:type="pct"/>
            <w:vAlign w:val="center"/>
          </w:tcPr>
          <w:p w14:paraId="1761CC43">
            <w:pPr>
              <w:autoSpaceDE w:val="0"/>
              <w:autoSpaceDN w:val="0"/>
              <w:ind w:left="1195" w:right="1184"/>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设施</w:t>
            </w:r>
          </w:p>
        </w:tc>
        <w:tc>
          <w:tcPr>
            <w:tcW w:w="1157" w:type="pct"/>
            <w:vAlign w:val="center"/>
          </w:tcPr>
          <w:p w14:paraId="3AE03920">
            <w:pPr>
              <w:autoSpaceDE w:val="0"/>
              <w:autoSpaceDN w:val="0"/>
              <w:ind w:left="278" w:right="267"/>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面积（㎡）</w:t>
            </w:r>
          </w:p>
        </w:tc>
        <w:tc>
          <w:tcPr>
            <w:tcW w:w="1200" w:type="pct"/>
            <w:vAlign w:val="center"/>
          </w:tcPr>
          <w:p w14:paraId="66C917F7">
            <w:pPr>
              <w:autoSpaceDE w:val="0"/>
              <w:autoSpaceDN w:val="0"/>
              <w:jc w:val="center"/>
              <w:rPr>
                <w:rFonts w:ascii="宋体" w:hAnsi="宋体" w:cs="宋体"/>
                <w:bCs/>
                <w:color w:val="auto"/>
                <w:kern w:val="0"/>
                <w:szCs w:val="21"/>
                <w:highlight w:val="none"/>
              </w:rPr>
            </w:pPr>
            <w:r>
              <w:rPr>
                <w:rFonts w:hint="eastAsia" w:ascii="宋体" w:hAnsi="宋体" w:cs="宋体"/>
                <w:bCs/>
                <w:color w:val="auto"/>
                <w:kern w:val="0"/>
                <w:szCs w:val="21"/>
                <w:highlight w:val="none"/>
              </w:rPr>
              <w:t>备注</w:t>
            </w:r>
          </w:p>
        </w:tc>
      </w:tr>
      <w:tr w14:paraId="32580E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trPr>
        <w:tc>
          <w:tcPr>
            <w:tcW w:w="461" w:type="pct"/>
          </w:tcPr>
          <w:p w14:paraId="2C65D155">
            <w:pPr>
              <w:spacing w:before="240" w:line="180" w:lineRule="auto"/>
              <w:jc w:val="center"/>
              <w:rPr>
                <w:rFonts w:hint="eastAsia" w:ascii="宋体" w:hAnsi="宋体" w:eastAsia="宋体" w:cs="宋体"/>
                <w:bCs/>
                <w:color w:val="auto"/>
                <w:kern w:val="0"/>
                <w:szCs w:val="21"/>
                <w:highlight w:val="none"/>
                <w:lang w:eastAsia="zh-CN"/>
              </w:rPr>
            </w:pPr>
            <w:r>
              <w:rPr>
                <w:rFonts w:hint="eastAsia" w:ascii="宋体" w:hAnsi="宋体" w:cs="宋体"/>
                <w:bCs/>
                <w:color w:val="auto"/>
                <w:szCs w:val="21"/>
                <w:highlight w:val="none"/>
                <w:lang w:val="en-US" w:eastAsia="zh-CN"/>
              </w:rPr>
              <w:t>1</w:t>
            </w:r>
          </w:p>
        </w:tc>
        <w:tc>
          <w:tcPr>
            <w:tcW w:w="2180" w:type="pct"/>
          </w:tcPr>
          <w:p w14:paraId="5128FFA9">
            <w:pPr>
              <w:spacing w:before="195" w:line="222" w:lineRule="auto"/>
              <w:jc w:val="center"/>
              <w:rPr>
                <w:rFonts w:ascii="宋体" w:hAnsi="宋体" w:cs="宋体"/>
                <w:bCs/>
                <w:color w:val="auto"/>
                <w:kern w:val="0"/>
                <w:szCs w:val="21"/>
                <w:highlight w:val="none"/>
              </w:rPr>
            </w:pPr>
            <w:r>
              <w:rPr>
                <w:rFonts w:hint="eastAsia" w:ascii="宋体" w:hAnsi="宋体" w:cs="宋体"/>
                <w:bCs/>
                <w:color w:val="auto"/>
                <w:spacing w:val="-6"/>
                <w:szCs w:val="21"/>
                <w:highlight w:val="none"/>
              </w:rPr>
              <w:t>生医工研究大楼</w:t>
            </w:r>
            <w:r>
              <w:rPr>
                <w:rFonts w:hint="eastAsia" w:ascii="宋体" w:hAnsi="宋体" w:cs="宋体"/>
                <w:bCs/>
                <w:color w:val="auto"/>
                <w:szCs w:val="21"/>
                <w:highlight w:val="none"/>
              </w:rPr>
              <w:t>绿化</w:t>
            </w:r>
          </w:p>
        </w:tc>
        <w:tc>
          <w:tcPr>
            <w:tcW w:w="1157" w:type="pct"/>
          </w:tcPr>
          <w:p w14:paraId="49DE1CF5">
            <w:pPr>
              <w:spacing w:before="239" w:line="180" w:lineRule="auto"/>
              <w:ind w:left="717"/>
              <w:jc w:val="center"/>
              <w:rPr>
                <w:rFonts w:ascii="宋体" w:hAnsi="宋体" w:cs="宋体"/>
                <w:bCs/>
                <w:color w:val="auto"/>
                <w:kern w:val="0"/>
                <w:szCs w:val="21"/>
                <w:highlight w:val="none"/>
              </w:rPr>
            </w:pPr>
            <w:r>
              <w:rPr>
                <w:rFonts w:hint="eastAsia" w:ascii="宋体" w:hAnsi="宋体" w:cs="宋体"/>
                <w:bCs/>
                <w:color w:val="auto"/>
                <w:spacing w:val="-3"/>
                <w:szCs w:val="21"/>
                <w:highlight w:val="none"/>
              </w:rPr>
              <w:t>14705</w:t>
            </w:r>
          </w:p>
        </w:tc>
        <w:tc>
          <w:tcPr>
            <w:tcW w:w="1200" w:type="pct"/>
          </w:tcPr>
          <w:p w14:paraId="4479ABAE">
            <w:pPr>
              <w:spacing w:before="198" w:line="221" w:lineRule="auto"/>
              <w:ind w:left="331"/>
              <w:jc w:val="center"/>
              <w:rPr>
                <w:rFonts w:ascii="宋体" w:hAnsi="宋体" w:cs="宋体"/>
                <w:bCs/>
                <w:color w:val="auto"/>
                <w:kern w:val="0"/>
                <w:szCs w:val="21"/>
                <w:highlight w:val="none"/>
              </w:rPr>
            </w:pPr>
          </w:p>
        </w:tc>
      </w:tr>
      <w:tr w14:paraId="0CC516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461" w:type="pct"/>
          </w:tcPr>
          <w:p w14:paraId="2CAB01DC">
            <w:pPr>
              <w:spacing w:before="240" w:line="180" w:lineRule="auto"/>
              <w:jc w:val="center"/>
              <w:rPr>
                <w:rFonts w:hint="eastAsia" w:ascii="宋体" w:hAnsi="宋体" w:eastAsia="宋体" w:cs="宋体"/>
                <w:bCs/>
                <w:color w:val="auto"/>
                <w:kern w:val="0"/>
                <w:szCs w:val="21"/>
                <w:highlight w:val="none"/>
                <w:lang w:eastAsia="zh-CN"/>
              </w:rPr>
            </w:pPr>
            <w:r>
              <w:rPr>
                <w:rFonts w:hint="eastAsia" w:ascii="宋体" w:hAnsi="宋体" w:cs="宋体"/>
                <w:bCs/>
                <w:color w:val="auto"/>
                <w:szCs w:val="21"/>
                <w:highlight w:val="none"/>
                <w:lang w:val="en-US" w:eastAsia="zh-CN"/>
              </w:rPr>
              <w:t>2</w:t>
            </w:r>
          </w:p>
        </w:tc>
        <w:tc>
          <w:tcPr>
            <w:tcW w:w="2180" w:type="pct"/>
          </w:tcPr>
          <w:p w14:paraId="25D49ED6">
            <w:pPr>
              <w:spacing w:before="195" w:line="222" w:lineRule="auto"/>
              <w:jc w:val="center"/>
              <w:rPr>
                <w:rFonts w:ascii="宋体" w:hAnsi="宋体" w:cs="宋体"/>
                <w:bCs/>
                <w:color w:val="auto"/>
                <w:kern w:val="0"/>
                <w:szCs w:val="21"/>
                <w:highlight w:val="none"/>
              </w:rPr>
            </w:pPr>
            <w:r>
              <w:rPr>
                <w:rFonts w:hint="eastAsia" w:ascii="宋体" w:hAnsi="宋体" w:cs="宋体"/>
                <w:bCs/>
                <w:color w:val="auto"/>
                <w:spacing w:val="-6"/>
                <w:szCs w:val="21"/>
                <w:highlight w:val="none"/>
              </w:rPr>
              <w:t>非人灵长类模式动物研究基地</w:t>
            </w:r>
            <w:r>
              <w:rPr>
                <w:rFonts w:hint="eastAsia" w:ascii="宋体" w:hAnsi="宋体" w:cs="宋体"/>
                <w:bCs/>
                <w:color w:val="auto"/>
                <w:szCs w:val="21"/>
                <w:highlight w:val="none"/>
              </w:rPr>
              <w:t>绿化</w:t>
            </w:r>
          </w:p>
        </w:tc>
        <w:tc>
          <w:tcPr>
            <w:tcW w:w="1157" w:type="pct"/>
          </w:tcPr>
          <w:p w14:paraId="744537AE">
            <w:pPr>
              <w:spacing w:before="239" w:line="180" w:lineRule="auto"/>
              <w:ind w:left="717"/>
              <w:jc w:val="center"/>
              <w:rPr>
                <w:rFonts w:ascii="宋体" w:hAnsi="宋体" w:cs="宋体"/>
                <w:bCs/>
                <w:color w:val="auto"/>
                <w:kern w:val="0"/>
                <w:szCs w:val="21"/>
                <w:highlight w:val="none"/>
              </w:rPr>
            </w:pPr>
            <w:r>
              <w:rPr>
                <w:rFonts w:hint="eastAsia" w:ascii="宋体" w:hAnsi="宋体" w:cs="宋体"/>
                <w:bCs/>
                <w:color w:val="auto"/>
                <w:spacing w:val="-3"/>
                <w:szCs w:val="21"/>
                <w:highlight w:val="none"/>
              </w:rPr>
              <w:t>1152</w:t>
            </w:r>
          </w:p>
        </w:tc>
        <w:tc>
          <w:tcPr>
            <w:tcW w:w="1200" w:type="pct"/>
          </w:tcPr>
          <w:p w14:paraId="6315200F">
            <w:pPr>
              <w:spacing w:before="198" w:line="221" w:lineRule="auto"/>
              <w:ind w:left="331"/>
              <w:jc w:val="center"/>
              <w:rPr>
                <w:rFonts w:ascii="宋体" w:hAnsi="宋体" w:cs="宋体"/>
                <w:bCs/>
                <w:color w:val="auto"/>
                <w:kern w:val="0"/>
                <w:szCs w:val="21"/>
                <w:highlight w:val="none"/>
              </w:rPr>
            </w:pPr>
          </w:p>
        </w:tc>
      </w:tr>
    </w:tbl>
    <w:p w14:paraId="42520AF4">
      <w:p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物业管理服务范围及内容表：</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1"/>
        <w:gridCol w:w="1802"/>
        <w:gridCol w:w="4718"/>
        <w:gridCol w:w="1041"/>
      </w:tblGrid>
      <w:tr w14:paraId="073015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21C11AB7">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序号</w:t>
            </w:r>
          </w:p>
        </w:tc>
        <w:tc>
          <w:tcPr>
            <w:tcW w:w="1057" w:type="pct"/>
            <w:tcBorders>
              <w:top w:val="single" w:color="auto" w:sz="4" w:space="0"/>
              <w:left w:val="single" w:color="auto" w:sz="4" w:space="0"/>
              <w:bottom w:val="single" w:color="auto" w:sz="4" w:space="0"/>
              <w:right w:val="single" w:color="auto" w:sz="4" w:space="0"/>
            </w:tcBorders>
            <w:vAlign w:val="center"/>
          </w:tcPr>
          <w:p w14:paraId="201834E3">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服务项目名称</w:t>
            </w:r>
          </w:p>
        </w:tc>
        <w:tc>
          <w:tcPr>
            <w:tcW w:w="2768" w:type="pct"/>
            <w:tcBorders>
              <w:top w:val="single" w:color="auto" w:sz="4" w:space="0"/>
              <w:left w:val="single" w:color="auto" w:sz="4" w:space="0"/>
              <w:bottom w:val="single" w:color="auto" w:sz="4" w:space="0"/>
              <w:right w:val="single" w:color="auto" w:sz="4" w:space="0"/>
            </w:tcBorders>
            <w:vAlign w:val="center"/>
          </w:tcPr>
          <w:p w14:paraId="1596226C">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服务范围及内容</w:t>
            </w:r>
          </w:p>
        </w:tc>
        <w:tc>
          <w:tcPr>
            <w:tcW w:w="611" w:type="pct"/>
            <w:tcBorders>
              <w:top w:val="single" w:color="auto" w:sz="4" w:space="0"/>
              <w:left w:val="single" w:color="auto" w:sz="4" w:space="0"/>
              <w:bottom w:val="single" w:color="auto" w:sz="4" w:space="0"/>
              <w:right w:val="single" w:color="auto" w:sz="4" w:space="0"/>
            </w:tcBorders>
            <w:vAlign w:val="center"/>
          </w:tcPr>
          <w:p w14:paraId="2D3FA54E">
            <w:pPr>
              <w:jc w:val="center"/>
              <w:rPr>
                <w:rFonts w:hint="eastAsia" w:ascii="仿宋" w:hAnsi="仿宋" w:eastAsia="仿宋" w:cs="仿宋"/>
                <w:b/>
                <w:bCs/>
                <w:color w:val="auto"/>
                <w:szCs w:val="21"/>
                <w:highlight w:val="none"/>
              </w:rPr>
            </w:pPr>
            <w:r>
              <w:rPr>
                <w:rFonts w:hint="eastAsia" w:ascii="仿宋" w:hAnsi="仿宋" w:eastAsia="仿宋" w:cs="仿宋"/>
                <w:b/>
                <w:bCs/>
                <w:color w:val="auto"/>
                <w:szCs w:val="21"/>
                <w:highlight w:val="none"/>
              </w:rPr>
              <w:t>备注</w:t>
            </w:r>
          </w:p>
        </w:tc>
      </w:tr>
      <w:tr w14:paraId="38192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1F4EE723">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1</w:t>
            </w:r>
          </w:p>
        </w:tc>
        <w:tc>
          <w:tcPr>
            <w:tcW w:w="1057" w:type="pct"/>
            <w:tcBorders>
              <w:top w:val="single" w:color="auto" w:sz="4" w:space="0"/>
              <w:left w:val="single" w:color="auto" w:sz="4" w:space="0"/>
              <w:bottom w:val="single" w:color="auto" w:sz="4" w:space="0"/>
              <w:right w:val="single" w:color="auto" w:sz="4" w:space="0"/>
            </w:tcBorders>
            <w:vAlign w:val="center"/>
          </w:tcPr>
          <w:p w14:paraId="5EE8992B">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安保管理服务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731950F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包括但不限于：</w:t>
            </w:r>
          </w:p>
          <w:p w14:paraId="64D809C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（1）园区所设门岗值班、园区巡逻及安保服务、指定区域值班与秩序维护等；</w:t>
            </w:r>
          </w:p>
          <w:p w14:paraId="05C88B1F">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（2）消控中心值班；</w:t>
            </w:r>
          </w:p>
          <w:p w14:paraId="3F4BE769">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（3）安防消防设备设施管理与维护服务、消防管理常规巡查服务，（含消防演练活动开展）；</w:t>
            </w:r>
          </w:p>
          <w:p w14:paraId="4BD87D5E">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（4）定期做好楼宇安全自查，及时配合业主单位相关职能部门的安全检查，并形成台账和总结。</w:t>
            </w:r>
          </w:p>
          <w:p w14:paraId="3ACE665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（5）大型活动秩序维护及安保服务；</w:t>
            </w:r>
          </w:p>
          <w:p w14:paraId="2395F13A">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（6）园区大楼交通秩序管理（包含停车场）；</w:t>
            </w:r>
          </w:p>
          <w:p w14:paraId="050D263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（7）做好突发应急事件处理服务等。</w:t>
            </w:r>
          </w:p>
        </w:tc>
        <w:tc>
          <w:tcPr>
            <w:tcW w:w="611" w:type="pct"/>
            <w:tcBorders>
              <w:top w:val="single" w:color="auto" w:sz="4" w:space="0"/>
              <w:left w:val="single" w:color="auto" w:sz="4" w:space="0"/>
              <w:bottom w:val="single" w:color="auto" w:sz="4" w:space="0"/>
              <w:right w:val="single" w:color="auto" w:sz="4" w:space="0"/>
            </w:tcBorders>
            <w:vAlign w:val="center"/>
          </w:tcPr>
          <w:p w14:paraId="2DEB03E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24小时服务</w:t>
            </w:r>
          </w:p>
        </w:tc>
      </w:tr>
      <w:tr w14:paraId="6F4BF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5D83E632">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2</w:t>
            </w:r>
          </w:p>
        </w:tc>
        <w:tc>
          <w:tcPr>
            <w:tcW w:w="1057" w:type="pct"/>
            <w:tcBorders>
              <w:top w:val="single" w:color="auto" w:sz="4" w:space="0"/>
              <w:left w:val="single" w:color="auto" w:sz="4" w:space="0"/>
              <w:bottom w:val="single" w:color="auto" w:sz="4" w:space="0"/>
              <w:right w:val="single" w:color="auto" w:sz="4" w:space="0"/>
            </w:tcBorders>
            <w:vAlign w:val="center"/>
          </w:tcPr>
          <w:p w14:paraId="5D77EBA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维修管理服务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5017CE85">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园区大楼是新建园区、实验教学区、科研实验区、多功能办公楼等设备设施的使用，以及对尚在施工方的维保期内的，中标人需做好维保监管服务，设备运行及维修管理服务内容包括但不限于：</w:t>
            </w:r>
          </w:p>
          <w:p w14:paraId="3C261F56">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（1）负责园区大楼房屋建筑物、公共区域及其配套设备设施的小型维修；</w:t>
            </w:r>
          </w:p>
          <w:p w14:paraId="4E74E31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（2）负责园区楼宇室内外各类零星维修，做好日常巡查工作，发现问题及时解决。</w:t>
            </w:r>
          </w:p>
          <w:p w14:paraId="6AD13B67">
            <w:pPr>
              <w:pStyle w:val="9"/>
              <w:spacing w:after="0"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负责园区内供电系统，水泵房、给水、排水、排洪及排污系统，太阳能热水系统，中央空调系统、门禁系统、消防系统、新风机系统、中央空调二次供冷系统、污水系统、冷库系统、生活水泵系统、监控系统、废气喷淋雾化塔系统、电梯、紧急喷淋装置、纯水系统的运行维护管理，做好相关设备设施的日常保养检查记录、运行记录、协助配合等工作。</w:t>
            </w:r>
          </w:p>
          <w:p w14:paraId="335D28A4">
            <w:pPr>
              <w:pStyle w:val="9"/>
              <w:spacing w:after="0"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（4）按照岗位设置要求配备巡查员。</w:t>
            </w:r>
          </w:p>
          <w:p w14:paraId="69CC40BF">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大楼为新建建筑，设备设施陆续启用，对尚在施工方的维保期内的，日常维修维护由建设施工单位负责，中标人做好维保监管服务，发现问题要及时报告，并与建设施工单位沟通协调，督促建设施工单位按质保要求进行维修维护，保障设备设施正常使用；对已过维保期的，为采购人提供园区内所有物业管理服务设备设施维护与日常零星维修服务。（单次单项单个材料费300元以下由中标方负责）</w:t>
            </w:r>
          </w:p>
        </w:tc>
        <w:tc>
          <w:tcPr>
            <w:tcW w:w="611" w:type="pct"/>
            <w:tcBorders>
              <w:top w:val="single" w:color="auto" w:sz="4" w:space="0"/>
              <w:left w:val="single" w:color="auto" w:sz="4" w:space="0"/>
              <w:bottom w:val="single" w:color="auto" w:sz="4" w:space="0"/>
              <w:right w:val="single" w:color="auto" w:sz="4" w:space="0"/>
            </w:tcBorders>
            <w:vAlign w:val="center"/>
          </w:tcPr>
          <w:p w14:paraId="18A3939E">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24小时服务</w:t>
            </w:r>
          </w:p>
        </w:tc>
      </w:tr>
      <w:tr w14:paraId="5DA89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3E1EC0DB">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3</w:t>
            </w:r>
          </w:p>
        </w:tc>
        <w:tc>
          <w:tcPr>
            <w:tcW w:w="1057" w:type="pct"/>
            <w:tcBorders>
              <w:top w:val="single" w:color="auto" w:sz="4" w:space="0"/>
              <w:left w:val="single" w:color="auto" w:sz="4" w:space="0"/>
              <w:bottom w:val="single" w:color="auto" w:sz="4" w:space="0"/>
              <w:right w:val="single" w:color="auto" w:sz="4" w:space="0"/>
            </w:tcBorders>
            <w:vAlign w:val="center"/>
          </w:tcPr>
          <w:p w14:paraId="7ECFDF5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楼宇综合管理服务</w:t>
            </w:r>
          </w:p>
        </w:tc>
        <w:tc>
          <w:tcPr>
            <w:tcW w:w="2768" w:type="pct"/>
            <w:tcBorders>
              <w:top w:val="single" w:color="auto" w:sz="4" w:space="0"/>
              <w:left w:val="single" w:color="auto" w:sz="4" w:space="0"/>
              <w:bottom w:val="single" w:color="auto" w:sz="4" w:space="0"/>
              <w:right w:val="single" w:color="auto" w:sz="4" w:space="0"/>
            </w:tcBorders>
            <w:vAlign w:val="center"/>
          </w:tcPr>
          <w:p w14:paraId="4305ABE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楼宇内教室、会议室（含多媒体）管理服务：做好教学楼课室、多媒体课室和其他教务功能用房的日常管理及教学服务，整栋楼宇卫生保洁，多媒体管理服务，资产、设备的保全工作，后勤仓库、监控视频管理工作等。</w:t>
            </w:r>
          </w:p>
          <w:p w14:paraId="51B84B4D">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会务接待服务：做好崖州湾科教园内各类会务场所的会议准备、会务服务与场地安全保障等各项支持服务。</w:t>
            </w:r>
          </w:p>
          <w:p w14:paraId="3A3CBE04">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会议室借用管理服务：做好园区各类会议室的借用登记，提供齐全、正常运行的会议设备，技术支持，会议用品等（笔，草稿纸，水（茶水）服务和水杯、茶具的清洗消毒，会场卫生保障等。</w:t>
            </w:r>
          </w:p>
          <w:p w14:paraId="725FF6B6">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协助酒店预订保障服务：做好外来领导调研、参会等入住酒店的预订、取消服务，通过在线或电话等方式预订所需的酒店房型。</w:t>
            </w:r>
          </w:p>
          <w:p w14:paraId="028439F9">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办公室卫生服务：做好办公区域卫生的清洁。</w:t>
            </w:r>
          </w:p>
          <w:p w14:paraId="05953CA8">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快递收发管理服务：做好快递的接收管理，方便教职工收取快递。</w:t>
            </w:r>
          </w:p>
          <w:p w14:paraId="1C854F24">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崖州湾科教园屏幕管理服务：前台大厅屏幕使用管理服务等。</w:t>
            </w:r>
          </w:p>
          <w:p w14:paraId="210FF68C">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网络通信保障服务：保障崖州湾科教园网络联系和通信畅通，排除网络运行故障。</w:t>
            </w:r>
          </w:p>
          <w:p w14:paraId="7F48F1BE">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商务服务：如应急的复印、打印等。</w:t>
            </w:r>
          </w:p>
          <w:p w14:paraId="1527C81D">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紧急救援：制定应急预案，应对突发事件的处理。</w:t>
            </w:r>
          </w:p>
          <w:p w14:paraId="5A10E707">
            <w:pPr>
              <w:numPr>
                <w:ilvl w:val="0"/>
                <w:numId w:val="4"/>
              </w:num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水电管理：定期巡查楼宇所有水电表读数（抄水电表）并及时送水电表，协助业主单位前往南方电网和供水公司领取缴费清单和发票，处理各类投诉等事务。</w:t>
            </w:r>
          </w:p>
          <w:p w14:paraId="6977A7FF">
            <w:pPr>
              <w:spacing w:line="288" w:lineRule="auto"/>
              <w:rPr>
                <w:rFonts w:hint="eastAsia" w:ascii="仿宋" w:hAnsi="仿宋" w:eastAsia="仿宋" w:cs="仿宋"/>
                <w:color w:val="auto"/>
                <w:szCs w:val="21"/>
                <w:highlight w:val="none"/>
              </w:rPr>
            </w:pPr>
          </w:p>
        </w:tc>
        <w:tc>
          <w:tcPr>
            <w:tcW w:w="611" w:type="pct"/>
            <w:tcBorders>
              <w:top w:val="single" w:color="auto" w:sz="4" w:space="0"/>
              <w:left w:val="single" w:color="auto" w:sz="4" w:space="0"/>
              <w:bottom w:val="single" w:color="auto" w:sz="4" w:space="0"/>
              <w:right w:val="single" w:color="auto" w:sz="4" w:space="0"/>
            </w:tcBorders>
            <w:vAlign w:val="center"/>
          </w:tcPr>
          <w:p w14:paraId="0E5EA4FC">
            <w:pPr>
              <w:rPr>
                <w:rFonts w:hint="eastAsia" w:ascii="仿宋" w:hAnsi="仿宋" w:eastAsia="仿宋" w:cs="仿宋"/>
                <w:color w:val="auto"/>
                <w:szCs w:val="21"/>
                <w:highlight w:val="none"/>
              </w:rPr>
            </w:pPr>
            <w:r>
              <w:rPr>
                <w:rFonts w:hint="eastAsia" w:ascii="仿宋" w:hAnsi="仿宋" w:eastAsia="仿宋" w:cs="仿宋"/>
                <w:color w:val="auto"/>
                <w:szCs w:val="21"/>
                <w:highlight w:val="none"/>
              </w:rPr>
              <w:t>教学楼宇按学院课程表作息时间服务/会议接待（按需）</w:t>
            </w:r>
          </w:p>
        </w:tc>
      </w:tr>
      <w:tr w14:paraId="5CA34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61" w:type="dxa"/>
            <w:tcBorders>
              <w:top w:val="single" w:color="auto" w:sz="4" w:space="0"/>
              <w:left w:val="single" w:color="auto" w:sz="4" w:space="0"/>
              <w:bottom w:val="single" w:color="auto" w:sz="4" w:space="0"/>
              <w:right w:val="single" w:color="auto" w:sz="4" w:space="0"/>
            </w:tcBorders>
            <w:vAlign w:val="center"/>
          </w:tcPr>
          <w:p w14:paraId="1124469A">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4</w:t>
            </w:r>
          </w:p>
        </w:tc>
        <w:tc>
          <w:tcPr>
            <w:tcW w:w="1802" w:type="dxa"/>
            <w:tcBorders>
              <w:top w:val="single" w:color="auto" w:sz="4" w:space="0"/>
              <w:left w:val="single" w:color="auto" w:sz="4" w:space="0"/>
              <w:bottom w:val="single" w:color="auto" w:sz="4" w:space="0"/>
              <w:right w:val="single" w:color="auto" w:sz="4" w:space="0"/>
            </w:tcBorders>
            <w:vAlign w:val="center"/>
          </w:tcPr>
          <w:p w14:paraId="3597BB83">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清洁卫生服务</w:t>
            </w:r>
          </w:p>
        </w:tc>
        <w:tc>
          <w:tcPr>
            <w:tcW w:w="4718" w:type="dxa"/>
            <w:tcBorders>
              <w:top w:val="single" w:color="auto" w:sz="4" w:space="0"/>
              <w:left w:val="single" w:color="auto" w:sz="4" w:space="0"/>
              <w:bottom w:val="single" w:color="auto" w:sz="4" w:space="0"/>
              <w:right w:val="single" w:color="auto" w:sz="4" w:space="0"/>
            </w:tcBorders>
            <w:vAlign w:val="center"/>
          </w:tcPr>
          <w:p w14:paraId="20DE6924">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包括但不限于：</w:t>
            </w:r>
          </w:p>
          <w:p w14:paraId="35AC1CC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（1）服务园区环境保洁（包括：道路、路面停车场、广场、各类塑像等构筑物、沟渠、沙井、绿化带等保洁）</w:t>
            </w:r>
          </w:p>
          <w:p w14:paraId="035B48F5">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（2）负责各楼宇公共区域卫生保洁以及教室内部卫生清洁（包含：讲台、座椅、地面）、会议室、报告厅、办公区及公共实验室（包含本科实验室）的室内保洁卫生。</w:t>
            </w:r>
          </w:p>
          <w:p w14:paraId="1505C69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（3）负责园区化粪池、排污、排水管道系统的清疏和二次供水池的清洗（定期清理）。</w:t>
            </w:r>
          </w:p>
          <w:p w14:paraId="25248727">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（4）负责园区的垃圾分类处理和垃圾清运工作。</w:t>
            </w:r>
          </w:p>
          <w:p w14:paraId="02E1C21A">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（5）园区内公共区域防疫消杀消毒等工作。</w:t>
            </w:r>
          </w:p>
          <w:p w14:paraId="2541E03C">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（6）定期（每月不低于四次）做好园区的四害（蚊子、苍蝇、蟑螂、老鼠）消杀、清除蚊媒孳生地、监测蚊媒密度等工作。</w:t>
            </w:r>
          </w:p>
          <w:p w14:paraId="0C9D0880">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（7）配合园区做好应急消毒、防疫工作等。</w:t>
            </w:r>
          </w:p>
          <w:p w14:paraId="6AE09732">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（8）配合业主单位实验室废弃物清运工作。</w:t>
            </w:r>
          </w:p>
          <w:p w14:paraId="3AB2D89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（9）二次供水池的清洗、消毒、水质检测。</w:t>
            </w:r>
          </w:p>
          <w:p w14:paraId="39CA4B4D">
            <w:pPr>
              <w:spacing w:line="288" w:lineRule="auto"/>
              <w:rPr>
                <w:rFonts w:hint="eastAsia" w:ascii="仿宋" w:hAnsi="仿宋" w:eastAsia="仿宋" w:cs="仿宋"/>
                <w:color w:val="auto"/>
                <w:szCs w:val="21"/>
                <w:highlight w:val="none"/>
              </w:rPr>
            </w:pPr>
          </w:p>
        </w:tc>
        <w:tc>
          <w:tcPr>
            <w:tcW w:w="1041" w:type="dxa"/>
            <w:tcBorders>
              <w:top w:val="single" w:color="auto" w:sz="4" w:space="0"/>
              <w:left w:val="single" w:color="auto" w:sz="4" w:space="0"/>
              <w:bottom w:val="single" w:color="auto" w:sz="4" w:space="0"/>
              <w:right w:val="single" w:color="auto" w:sz="4" w:space="0"/>
            </w:tcBorders>
            <w:vAlign w:val="center"/>
          </w:tcPr>
          <w:p w14:paraId="20C0E40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8小时服务</w:t>
            </w:r>
          </w:p>
          <w:p w14:paraId="6974A681">
            <w:pPr>
              <w:pStyle w:val="3"/>
              <w:jc w:val="center"/>
              <w:rPr>
                <w:rFonts w:hint="eastAsia" w:ascii="仿宋" w:hAnsi="仿宋" w:eastAsia="仿宋" w:cs="仿宋"/>
                <w:b w:val="0"/>
                <w:color w:val="auto"/>
                <w:kern w:val="2"/>
                <w:sz w:val="21"/>
                <w:szCs w:val="21"/>
                <w:highlight w:val="none"/>
              </w:rPr>
            </w:pPr>
          </w:p>
        </w:tc>
      </w:tr>
      <w:tr w14:paraId="52179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564" w:type="pct"/>
            <w:tcBorders>
              <w:top w:val="single" w:color="auto" w:sz="4" w:space="0"/>
              <w:left w:val="single" w:color="auto" w:sz="4" w:space="0"/>
              <w:bottom w:val="single" w:color="auto" w:sz="4" w:space="0"/>
              <w:right w:val="single" w:color="auto" w:sz="4" w:space="0"/>
            </w:tcBorders>
            <w:vAlign w:val="center"/>
          </w:tcPr>
          <w:p w14:paraId="1BF9C5DF">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5</w:t>
            </w:r>
          </w:p>
        </w:tc>
        <w:tc>
          <w:tcPr>
            <w:tcW w:w="1057" w:type="pct"/>
            <w:tcBorders>
              <w:top w:val="single" w:color="auto" w:sz="4" w:space="0"/>
              <w:left w:val="single" w:color="auto" w:sz="4" w:space="0"/>
              <w:bottom w:val="single" w:color="auto" w:sz="4" w:space="0"/>
              <w:right w:val="single" w:color="auto" w:sz="4" w:space="0"/>
            </w:tcBorders>
            <w:vAlign w:val="center"/>
          </w:tcPr>
          <w:p w14:paraId="527C9D67">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绿化养护服务</w:t>
            </w:r>
          </w:p>
        </w:tc>
        <w:tc>
          <w:tcPr>
            <w:tcW w:w="2768" w:type="pct"/>
            <w:tcBorders>
              <w:top w:val="single" w:color="auto" w:sz="4" w:space="0"/>
              <w:left w:val="single" w:color="auto" w:sz="4" w:space="0"/>
              <w:bottom w:val="single" w:color="auto" w:sz="4" w:space="0"/>
              <w:right w:val="single" w:color="auto" w:sz="4" w:space="0"/>
            </w:tcBorders>
            <w:vAlign w:val="center"/>
          </w:tcPr>
          <w:p w14:paraId="10765C48">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1）负责园区整体绿化养护工作，按照园区要求进行修剪、喷淋、施肥、杀虫、除杂草和防台风处理等（人为破坏或自然灾害造成的植物死亡，补种费由采购人承担；因养护管理不当造成的植物死亡，补种费由物业公司负责），并提供绿化养护所需的药品、肥料、工器具（含大型设备）等。</w:t>
            </w:r>
          </w:p>
          <w:p w14:paraId="347F2579">
            <w:pPr>
              <w:spacing w:line="288" w:lineRule="auto"/>
              <w:rPr>
                <w:rFonts w:hint="eastAsia" w:ascii="仿宋" w:hAnsi="仿宋" w:eastAsia="仿宋" w:cs="仿宋"/>
                <w:color w:val="auto"/>
                <w:szCs w:val="21"/>
                <w:highlight w:val="none"/>
              </w:rPr>
            </w:pPr>
            <w:r>
              <w:rPr>
                <w:rFonts w:hint="eastAsia" w:ascii="仿宋" w:hAnsi="仿宋" w:eastAsia="仿宋" w:cs="仿宋"/>
                <w:color w:val="auto"/>
                <w:szCs w:val="21"/>
                <w:highlight w:val="none"/>
              </w:rPr>
              <w:t>（2）各楼层阳台管护，协调处理好绿化和试验盆栽的需求。</w:t>
            </w:r>
          </w:p>
        </w:tc>
        <w:tc>
          <w:tcPr>
            <w:tcW w:w="611" w:type="pct"/>
            <w:tcBorders>
              <w:top w:val="single" w:color="auto" w:sz="4" w:space="0"/>
              <w:left w:val="single" w:color="auto" w:sz="4" w:space="0"/>
              <w:bottom w:val="single" w:color="auto" w:sz="4" w:space="0"/>
              <w:right w:val="single" w:color="auto" w:sz="4" w:space="0"/>
            </w:tcBorders>
            <w:vAlign w:val="center"/>
          </w:tcPr>
          <w:p w14:paraId="7E909081">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8小时服务</w:t>
            </w:r>
          </w:p>
        </w:tc>
      </w:tr>
      <w:tr w14:paraId="57E58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564" w:type="pct"/>
            <w:tcBorders>
              <w:top w:val="single" w:color="auto" w:sz="4" w:space="0"/>
              <w:left w:val="single" w:color="auto" w:sz="4" w:space="0"/>
              <w:bottom w:val="single" w:color="auto" w:sz="4" w:space="0"/>
              <w:right w:val="single" w:color="auto" w:sz="4" w:space="0"/>
            </w:tcBorders>
            <w:vAlign w:val="center"/>
          </w:tcPr>
          <w:p w14:paraId="09F2DD3C">
            <w:pPr>
              <w:jc w:val="center"/>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6</w:t>
            </w:r>
          </w:p>
        </w:tc>
        <w:tc>
          <w:tcPr>
            <w:tcW w:w="1057" w:type="pct"/>
            <w:tcBorders>
              <w:top w:val="single" w:color="auto" w:sz="4" w:space="0"/>
              <w:left w:val="single" w:color="auto" w:sz="4" w:space="0"/>
              <w:bottom w:val="single" w:color="auto" w:sz="4" w:space="0"/>
              <w:right w:val="single" w:color="auto" w:sz="4" w:space="0"/>
            </w:tcBorders>
            <w:vAlign w:val="center"/>
          </w:tcPr>
          <w:p w14:paraId="7E5B9209">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其他服务</w:t>
            </w:r>
          </w:p>
        </w:tc>
        <w:tc>
          <w:tcPr>
            <w:tcW w:w="2768" w:type="pct"/>
            <w:tcBorders>
              <w:top w:val="single" w:color="auto" w:sz="4" w:space="0"/>
              <w:left w:val="single" w:color="auto" w:sz="4" w:space="0"/>
              <w:bottom w:val="single" w:color="auto" w:sz="4" w:space="0"/>
              <w:right w:val="single" w:color="auto" w:sz="4" w:space="0"/>
            </w:tcBorders>
            <w:vAlign w:val="center"/>
          </w:tcPr>
          <w:p w14:paraId="7300A244">
            <w:pPr>
              <w:numPr>
                <w:ilvl w:val="0"/>
                <w:numId w:val="5"/>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配置爱心雨伞、急救箱等物品，寄存物品等服务，提供保修平台、物业管理档案建立、每月提供管理服务工作月报、设立意见箱和网上投诉平台、定期组织员工专业技能培训；</w:t>
            </w:r>
          </w:p>
          <w:p w14:paraId="6916E753">
            <w:pPr>
              <w:numPr>
                <w:ilvl w:val="0"/>
                <w:numId w:val="5"/>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配合业主单位提升园区文化氛围营造，积极主动配合业主单位开展文化、娱乐活动；</w:t>
            </w:r>
          </w:p>
          <w:p w14:paraId="3EB6DFA4">
            <w:pPr>
              <w:numPr>
                <w:ilvl w:val="0"/>
                <w:numId w:val="5"/>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以园区宣传栏为阵地，结合各类有意义的主题开展文化专题宣传；</w:t>
            </w:r>
          </w:p>
          <w:p w14:paraId="24A30FBE">
            <w:pPr>
              <w:numPr>
                <w:ilvl w:val="0"/>
                <w:numId w:val="5"/>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积极配合业主单位重大节日的工作宣传安排，制定全年重大节日活动计划（教师节，端午节，三八妇女节，中秋节，国庆节等）；</w:t>
            </w:r>
          </w:p>
          <w:p w14:paraId="5726FE06">
            <w:pPr>
              <w:numPr>
                <w:ilvl w:val="0"/>
                <w:numId w:val="5"/>
              </w:numPr>
              <w:spacing w:line="4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配合业主单位开展讲座、报告、学生第二课堂等文化活动，协助业主单位会议、会务等文化交流活动。协助做好自助设备类、健身房、形体房及公共场所的管理等。</w:t>
            </w:r>
          </w:p>
        </w:tc>
        <w:tc>
          <w:tcPr>
            <w:tcW w:w="611" w:type="pct"/>
            <w:tcBorders>
              <w:top w:val="single" w:color="auto" w:sz="4" w:space="0"/>
              <w:left w:val="single" w:color="auto" w:sz="4" w:space="0"/>
              <w:bottom w:val="single" w:color="auto" w:sz="4" w:space="0"/>
              <w:right w:val="single" w:color="auto" w:sz="4" w:space="0"/>
            </w:tcBorders>
            <w:vAlign w:val="center"/>
          </w:tcPr>
          <w:p w14:paraId="300447E2">
            <w:pPr>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按需</w:t>
            </w:r>
          </w:p>
        </w:tc>
      </w:tr>
    </w:tbl>
    <w:p w14:paraId="3F93488D">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服务对照执行标准：</w:t>
      </w:r>
    </w:p>
    <w:p w14:paraId="36AD8CF6">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符合中华人民共和国国家和履约地相关安全质量标准、行业技术规范标准；</w:t>
      </w:r>
    </w:p>
    <w:p w14:paraId="5D050CEE">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符合采购文件和响应承诺中的合理要求；</w:t>
      </w:r>
    </w:p>
    <w:p w14:paraId="7D44B9F4">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符合本合同约定的相关要求；</w:t>
      </w:r>
    </w:p>
    <w:p w14:paraId="287BCB58">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上述各类标准与法规必须是有关官方机构最新发布的现行标准版本。</w:t>
      </w:r>
    </w:p>
    <w:p w14:paraId="10698D83">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投诉跟踪服务要求：</w:t>
      </w:r>
    </w:p>
    <w:p w14:paraId="0A500CEA">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须提供常设的投诉热线服务，并对投诉内容进行及时跟踪、回访。对甲方的投诉与通知，需按甲方指定的时间内处理完毕，若突发事件不能在短时间内解决，乙方需采取应急措施，或按甲方认可的应急方案执行，不得影响甲方的正常工作业务。</w:t>
      </w:r>
    </w:p>
    <w:p w14:paraId="7141373E">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乙方需建立完善的管理服务质量自检体系，对自身管理制度、管理计划和管理质量进行严格的自检。甲方随机抽检。</w:t>
      </w:r>
    </w:p>
    <w:p w14:paraId="2AC9DB77">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服务期内，甲方有权按本项目的管理要求对乙方进行不定期抽查检查，若对不合格的管理服务提出警告后，仍未得到有效解决时，甲方有权终止服务合同。</w:t>
      </w:r>
    </w:p>
    <w:p w14:paraId="093F8CFA">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乙方服务机构名称及地址： </w:t>
      </w:r>
    </w:p>
    <w:p w14:paraId="1B21DF68">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联系人1：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，联系电话：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，手机： </w:t>
      </w:r>
    </w:p>
    <w:p w14:paraId="380FD9D1">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联系人2：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，联系电话：    </w:t>
      </w:r>
      <w:r>
        <w:rPr>
          <w:rFonts w:hint="eastAsia" w:ascii="仿宋" w:hAnsi="仿宋" w:eastAsia="仿宋" w:cs="仿宋"/>
          <w:bCs/>
          <w:color w:val="auto"/>
          <w:sz w:val="21"/>
          <w:szCs w:val="21"/>
          <w:highlight w:val="none"/>
          <w:lang w:val="en-US" w:eastAsia="zh-CN"/>
        </w:rPr>
        <w:t xml:space="preserve">    </w:t>
      </w:r>
      <w:r>
        <w:rPr>
          <w:rFonts w:hint="eastAsia" w:ascii="仿宋" w:hAnsi="仿宋" w:eastAsia="仿宋" w:cs="仿宋"/>
          <w:bCs/>
          <w:color w:val="auto"/>
          <w:sz w:val="21"/>
          <w:szCs w:val="21"/>
          <w:highlight w:val="none"/>
        </w:rPr>
        <w:t xml:space="preserve">，手机： </w:t>
      </w:r>
    </w:p>
    <w:p w14:paraId="68FABECD">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服务专线电话：</w:t>
      </w:r>
    </w:p>
    <w:p w14:paraId="6ED76050">
      <w:pPr>
        <w:pStyle w:val="19"/>
        <w:numPr>
          <w:ilvl w:val="1"/>
          <w:numId w:val="1"/>
        </w:numPr>
        <w:spacing w:line="360" w:lineRule="auto"/>
        <w:rPr>
          <w:rFonts w:ascii="仿宋" w:hAnsi="仿宋" w:eastAsia="仿宋" w:cs="仿宋"/>
          <w:bCs/>
          <w:color w:val="auto"/>
          <w:sz w:val="21"/>
          <w:szCs w:val="21"/>
          <w:highlight w:val="none"/>
        </w:rPr>
      </w:pPr>
      <w:bookmarkStart w:id="0" w:name="_Toc465245603"/>
      <w:r>
        <w:rPr>
          <w:rFonts w:hint="eastAsia" w:ascii="仿宋" w:hAnsi="仿宋" w:eastAsia="仿宋" w:cs="仿宋"/>
          <w:bCs/>
          <w:color w:val="auto"/>
          <w:sz w:val="21"/>
          <w:szCs w:val="21"/>
          <w:highlight w:val="none"/>
        </w:rPr>
        <w:t>其他服务要求：（补充内容不得对采购文件和投标/响应文件作实质性修改）</w:t>
      </w:r>
      <w:bookmarkEnd w:id="0"/>
    </w:p>
    <w:p w14:paraId="02F64A49">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（1）承包期限内，发生与本项目相关的任何突发应急事件，乙方应在园区内要求的时间内按业主单位要求解决问题。</w:t>
      </w:r>
    </w:p>
    <w:p w14:paraId="7F5EDE24">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2）乙方的人员配置须满足甲方的要求，无缺岗现象。乙方若有管理人员调动做到至少提前半个月告知甲方；项目主任、部门经理等主要人员调动需提前一个月告知。得到甲方确认后，在一周内安排满足甲方要求的人员到岗，做好工作交接后方可调离。若各部门工作人员离职，乙方需及时报告甲方并在人员离职后10天内补充到位，确保缺岗期间的工作正常运行。若离职人员10天内未补充到岗，则视同该岗位当月缺岗。项目经理、主管等主要管理人员请假2天以上7天以内，需向甲方报备、审批。</w:t>
      </w:r>
    </w:p>
    <w:p w14:paraId="2D877844">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验收要求：                                                        </w:t>
      </w:r>
    </w:p>
    <w:p w14:paraId="5F2B11AD">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验收人员：包括：①甲方（项目负责人），②校内外专家或其委托的第三方 机构（如监理公司等），③乙方等，具体参与人员以甲方最终确认为准。</w:t>
      </w:r>
    </w:p>
    <w:p w14:paraId="0667E08D">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履约验收时间：双方签订合同后每个月由各职能部门进行验收。                                   </w:t>
      </w:r>
    </w:p>
    <w:p w14:paraId="1D979E86">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履约验收方式：按招标文件、乙方投标文件和本合同规定标准进行验收。 </w:t>
      </w:r>
    </w:p>
    <w:p w14:paraId="5132FDDE">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履约验收程序：每个月由各职能部门进行月度检查，然后由物业主管部门汇总结果。 </w:t>
      </w:r>
    </w:p>
    <w:p w14:paraId="7FF50CD6">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履约验收内容：对应乙方的投标文件的技术和商务、人员要求等，结合甲方招标文件要求的标准为准则。</w:t>
      </w:r>
    </w:p>
    <w:p w14:paraId="47324730">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履约验收标准：按照《崖州湾科教园物业服务考核实施细则》执行。</w:t>
      </w:r>
    </w:p>
    <w:p w14:paraId="506222F5">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乙方需为验收提供必需的一切条件及相关费用，并提供本项目的相关文档和验收所需资料，积极配合甲方完成验收工作。</w:t>
      </w:r>
    </w:p>
    <w:p w14:paraId="233861A8">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其他验收要求：（补充内容不得对采购文件和投标/响应文件作实质性修改）</w:t>
      </w:r>
    </w:p>
    <w:p w14:paraId="4A44FDAC">
      <w:pPr>
        <w:pStyle w:val="19"/>
        <w:tabs>
          <w:tab w:val="left" w:pos="510"/>
        </w:tabs>
        <w:spacing w:line="360" w:lineRule="auto"/>
        <w:ind w:firstLine="420" w:firstLineChars="20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                                                             。</w:t>
      </w:r>
    </w:p>
    <w:p w14:paraId="6E9B52B2">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知识产权和保密要求：</w:t>
      </w:r>
    </w:p>
    <w:p w14:paraId="6ACFCD11">
      <w:pPr>
        <w:pStyle w:val="19"/>
        <w:numPr>
          <w:ilvl w:val="0"/>
          <w:numId w:val="6"/>
        </w:numPr>
        <w:spacing w:line="360" w:lineRule="auto"/>
        <w:ind w:left="51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知识产权：乙方须保证甲方不会产生因第三方提出知识产权和著作权而引起的法律或经济纠纷。否则，乙方须承担相应的法律责任。</w:t>
      </w:r>
    </w:p>
    <w:p w14:paraId="60C9C053">
      <w:pPr>
        <w:pStyle w:val="19"/>
        <w:numPr>
          <w:ilvl w:val="0"/>
          <w:numId w:val="6"/>
        </w:numPr>
        <w:spacing w:line="360" w:lineRule="auto"/>
        <w:ind w:left="51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保密要求： 乙方必须对合作过程中涉及的相关资料和数据等内容进行保密，未经甲方书面同意，乙方不得泄露以上相关内容。如查实乙方确有泄密行为，甲方依法追究乙方的法律及赔偿责任。乙方的保密责任，不因本合同的中止或解除而失效。                                                               </w:t>
      </w:r>
    </w:p>
    <w:p w14:paraId="03D8D0A3">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人员管理：</w:t>
      </w:r>
    </w:p>
    <w:p w14:paraId="2368022A">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乙方须按其投标文件中承诺提供的项目组人员投入到本项目中，在合同期内不得擅自更换。乙方如因工作安排或其它原因，需要更换项目组人员时，应事前向甲方提出书面申请，未经甲方同意，不得更换人员。</w:t>
      </w:r>
    </w:p>
    <w:p w14:paraId="1FC29351">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甲方有权以书面形式要求乙方更换不能按规定履行合同的人员。即使是甲方要求或同意更换的人员，其代替人员的资质仍应得到甲方的认可，且其资历和经验均不低于被更换人员。由此而产生的一切费用由乙方承担。 </w:t>
      </w:r>
    </w:p>
    <w:p w14:paraId="38EF8E20">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如乙方未经甲方书面同意擅自更换项目组人员，甲方有权终止合同，由此引致的经济损失，乙方须全额赔偿，甲方保留追究乙方相关责任的权利。  </w:t>
      </w:r>
    </w:p>
    <w:p w14:paraId="37A1471D">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乙方对其雇员的人身安全负全部责任。</w:t>
      </w:r>
    </w:p>
    <w:p w14:paraId="3E5943BE">
      <w:pPr>
        <w:pStyle w:val="19"/>
        <w:numPr>
          <w:ilvl w:val="0"/>
          <w:numId w:val="1"/>
        </w:numPr>
        <w:spacing w:line="360" w:lineRule="auto"/>
        <w:rPr>
          <w:rFonts w:hint="eastAsia" w:ascii="仿宋" w:hAnsi="仿宋" w:eastAsia="仿宋" w:cs="仿宋"/>
          <w:bCs/>
          <w:color w:val="auto"/>
          <w:szCs w:val="21"/>
          <w:highlight w:val="none"/>
        </w:rPr>
      </w:pPr>
      <w:r>
        <w:rPr>
          <w:rFonts w:hint="eastAsia" w:ascii="仿宋" w:hAnsi="仿宋" w:eastAsia="仿宋" w:cs="仿宋"/>
          <w:bCs/>
          <w:color w:val="auto"/>
          <w:szCs w:val="21"/>
          <w:highlight w:val="none"/>
        </w:rPr>
        <w:t>履约保证金</w:t>
      </w:r>
    </w:p>
    <w:p w14:paraId="093C1EA1">
      <w:pPr>
        <w:pStyle w:val="18"/>
        <w:tabs>
          <w:tab w:val="left" w:pos="1004"/>
        </w:tabs>
        <w:spacing w:line="360" w:lineRule="auto"/>
        <w:ind w:left="510" w:firstLine="0" w:firstLineChars="0"/>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发生以下情况之一，履约保证金将不予退还或依保函追索：</w:t>
      </w:r>
    </w:p>
    <w:p w14:paraId="64477450">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投标有效期内，投标人在政府采购活动中有违法、违规行为；</w:t>
      </w:r>
    </w:p>
    <w:p w14:paraId="566F42E6">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投标人提供虚假材料谋取中标、成交的；</w:t>
      </w:r>
    </w:p>
    <w:p w14:paraId="6AE9961F">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与采购人、其它投标人或者采购代理机构恶意串通的；</w:t>
      </w:r>
    </w:p>
    <w:p w14:paraId="453F31FD">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向采购人、采购代理机构、评标委员会成员行贿或者提供其他不正当利益的；</w:t>
      </w:r>
    </w:p>
    <w:p w14:paraId="4798EACD">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投标人在投标活动中有违反法律、违反政策规定行为的;</w:t>
      </w:r>
    </w:p>
    <w:p w14:paraId="6B389557">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中标人在投标活动中有违反法律、违反政策规定行为的；</w:t>
      </w:r>
    </w:p>
    <w:p w14:paraId="184CE92B">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采购合同规定的其他情形；</w:t>
      </w:r>
    </w:p>
    <w:p w14:paraId="1F2A6FA8">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成交人在投标活动中有违反法律法规政策规定行为的；</w:t>
      </w:r>
    </w:p>
    <w:p w14:paraId="145F175C">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中标人擅自全部或部分转包、转让的；</w:t>
      </w:r>
    </w:p>
    <w:p w14:paraId="45D656ED">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中标人在投标活动中有违反法律、违反政策规定行为的；</w:t>
      </w:r>
    </w:p>
    <w:p w14:paraId="57FDCD72">
      <w:pPr>
        <w:pStyle w:val="19"/>
        <w:numPr>
          <w:ilvl w:val="1"/>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中标人擅自全部或部分转包、转让的，没收履约保证金外，还需支付合同金额的20%的违约金。</w:t>
      </w:r>
    </w:p>
    <w:p w14:paraId="789D3F77">
      <w:pPr>
        <w:pStyle w:val="19"/>
        <w:numPr>
          <w:ilvl w:val="0"/>
          <w:numId w:val="1"/>
        </w:numPr>
        <w:spacing w:line="360" w:lineRule="auto"/>
        <w:rPr>
          <w:rFonts w:hint="eastAsia" w:ascii="仿宋" w:hAnsi="仿宋" w:eastAsia="仿宋" w:cs="仿宋"/>
          <w:bCs/>
          <w:color w:val="auto"/>
          <w:sz w:val="21"/>
          <w:szCs w:val="21"/>
          <w:highlight w:val="none"/>
        </w:rPr>
      </w:pPr>
      <w:r>
        <w:rPr>
          <w:rFonts w:hint="eastAsia" w:ascii="仿宋" w:hAnsi="仿宋" w:eastAsia="仿宋" w:cs="仿宋"/>
          <w:bCs/>
          <w:color w:val="auto"/>
          <w:szCs w:val="21"/>
          <w:highlight w:val="none"/>
        </w:rPr>
        <w:t>违约责任：</w:t>
      </w:r>
    </w:p>
    <w:p w14:paraId="1D41DD87">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乙方未按要求履行合同义务时，须从违约之日起每日按合同总额的 1‰比例向甲方支付违约金；逾期15日以上时，甲方有权终止合同，由此造成甲方的经济损失由乙方承担。违约金不足以弥补损失的，乙方应按全额赔偿。</w:t>
      </w:r>
    </w:p>
    <w:p w14:paraId="0536FBFD">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甲方未按要求履行合同义务时，或无故拖延验收、付款时，甲方须向乙方支付滞纳金，标准为每日按逾期当期应付款总额的  1‰ 累计。</w:t>
      </w:r>
    </w:p>
    <w:p w14:paraId="00CB36C2">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甲方逾期退还履约保证金的，则每日按履约保证金的3‰向乙方偿付违约金。</w:t>
      </w:r>
    </w:p>
    <w:p w14:paraId="2E578CE3">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提出异议的时间和方法：</w:t>
      </w:r>
    </w:p>
    <w:p w14:paraId="30054AB5">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甲方有异议时，应 15天内向乙方提出书面异议。</w:t>
      </w:r>
    </w:p>
    <w:p w14:paraId="7AEECAF1">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乙方在接到甲方书面异议后，应在3天内负责处理并函复甲方处理情况，否则，即视为默认甲方提出的异议和处理意见。</w:t>
      </w:r>
    </w:p>
    <w:p w14:paraId="32B9EB52">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14:paraId="173280C6">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争议的解决：</w:t>
      </w:r>
    </w:p>
    <w:p w14:paraId="511DEFF4">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合同履行过程中发生的任何争议，如双方未能通过友好协商解决，应向甲方所在地的人民法院提起诉讼。</w:t>
      </w:r>
    </w:p>
    <w:p w14:paraId="27D65CC4">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法院审理期间，除提交法院审理的事项外，其它无争议的事项和条款仍应继续履行。</w:t>
      </w:r>
    </w:p>
    <w:p w14:paraId="4A4D5A3C">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不可抗力： </w:t>
      </w:r>
    </w:p>
    <w:p w14:paraId="57E13811">
      <w:pPr>
        <w:pStyle w:val="21"/>
        <w:spacing w:line="360" w:lineRule="auto"/>
        <w:ind w:firstLine="420"/>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任何一方由于不可抗力原因不能履行合同时，应在不可抗力事件结束后48小时内向对方通报，以减轻可能给对方造成的损失，在取得有关机构的不可抗力证明或双方谅解确认后，允许延期履行或修订合同，并根据情况可部分或全部免于承担违约责任。</w:t>
      </w:r>
    </w:p>
    <w:p w14:paraId="55205EBF">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税费：</w:t>
      </w:r>
    </w:p>
    <w:p w14:paraId="384E18CB">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本合同实施过程中所发生的一切税费及不可预见费均由乙方承担。</w:t>
      </w:r>
    </w:p>
    <w:p w14:paraId="56A13428">
      <w:pPr>
        <w:pStyle w:val="19"/>
        <w:numPr>
          <w:ilvl w:val="1"/>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乙方依照税务规章优先在合同履约地开具发票及纳税。</w:t>
      </w:r>
    </w:p>
    <w:p w14:paraId="691DECC8">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合同生效：</w:t>
      </w:r>
    </w:p>
    <w:p w14:paraId="21DED061">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本合同在甲乙双方法人代表或其授权代表签字盖章后生效。</w:t>
      </w:r>
    </w:p>
    <w:p w14:paraId="45E36209">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乙方应提供的资料内容：</w:t>
      </w:r>
    </w:p>
    <w:p w14:paraId="2C545E7D">
      <w:pPr>
        <w:pStyle w:val="19"/>
        <w:numPr>
          <w:ilvl w:val="0"/>
          <w:numId w:val="7"/>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w:t>
      </w:r>
    </w:p>
    <w:p w14:paraId="13D48840">
      <w:pPr>
        <w:pStyle w:val="19"/>
        <w:numPr>
          <w:ilvl w:val="0"/>
          <w:numId w:val="7"/>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                                             </w:t>
      </w:r>
    </w:p>
    <w:p w14:paraId="461DB403">
      <w:pPr>
        <w:pStyle w:val="19"/>
        <w:numPr>
          <w:ilvl w:val="0"/>
          <w:numId w:val="1"/>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关于政府采购合同融资：</w:t>
      </w:r>
    </w:p>
    <w:p w14:paraId="0791125C">
      <w:pPr>
        <w:pStyle w:val="21"/>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乙方是否已申请政府采购合同融资：  是  / 否√  ；</w:t>
      </w:r>
    </w:p>
    <w:p w14:paraId="05F3E6D8">
      <w:pPr>
        <w:pStyle w:val="21"/>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融资银行及联系方式：   /                         。</w:t>
      </w:r>
    </w:p>
    <w:p w14:paraId="32507856">
      <w:pPr>
        <w:pStyle w:val="21"/>
        <w:numPr>
          <w:ilvl w:val="1"/>
          <w:numId w:val="8"/>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14:paraId="727B05CD">
      <w:pPr>
        <w:pStyle w:val="19"/>
        <w:numPr>
          <w:ilvl w:val="0"/>
          <w:numId w:val="1"/>
        </w:numPr>
        <w:spacing w:line="360" w:lineRule="auto"/>
        <w:rPr>
          <w:rFonts w:ascii="仿宋" w:hAnsi="仿宋" w:eastAsia="仿宋" w:cs="仿宋"/>
          <w:bCs/>
          <w:color w:val="auto"/>
          <w:szCs w:val="21"/>
          <w:highlight w:val="none"/>
        </w:rPr>
      </w:pPr>
      <w:r>
        <w:rPr>
          <w:rFonts w:hint="eastAsia" w:ascii="仿宋" w:hAnsi="仿宋" w:eastAsia="仿宋" w:cs="仿宋"/>
          <w:bCs/>
          <w:color w:val="auto"/>
          <w:szCs w:val="21"/>
          <w:highlight w:val="none"/>
        </w:rPr>
        <w:t>其它：</w:t>
      </w:r>
    </w:p>
    <w:p w14:paraId="051E94E0">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所有经一方或双方签署确认的文件（包括会议纪要、补充协议、往来信函）、采购文件、要约文件和响应承诺文件（投标文件）、合同附件及中标（成交）通知书均为本合同不可分割的有效组成部分，同具有法律效力。</w:t>
      </w:r>
    </w:p>
    <w:p w14:paraId="4D9A18E0">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如一方（包括联系人）地址、电话、传真号码有变更，应在变更后3个工作日内书面通知对方联系人或负责人，否则，因此造成的损失由未履行通知义务方承担相应责任。</w:t>
      </w:r>
    </w:p>
    <w:p w14:paraId="47CEF5FA">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未经甲方书面同意，乙方不得擅自向第三方转让其主体性和关键性合同义务。</w:t>
      </w:r>
    </w:p>
    <w:p w14:paraId="6F3C9CEB">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本合同一式  拾壹  份，甲方执 伍 份，乙方执  伍 份、海南省政府采购中心壹份。</w:t>
      </w:r>
    </w:p>
    <w:p w14:paraId="6BBCE2BB">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本合同（含附件）共计                页，缺页之合同为无效合同。</w:t>
      </w:r>
    </w:p>
    <w:p w14:paraId="7DB97773">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本合同签约履约地点：                          </w:t>
      </w:r>
    </w:p>
    <w:p w14:paraId="012DB7F8">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本合同所指“书面通知”包括但不限于短信、电子邮件等数据电文的通知形式，到达时间以民事诉讼法的规定为准，但进行书面通知前后，通知方均有义务电话确认通知事项。</w:t>
      </w:r>
    </w:p>
    <w:p w14:paraId="220900F5">
      <w:pPr>
        <w:pStyle w:val="21"/>
        <w:numPr>
          <w:ilvl w:val="1"/>
          <w:numId w:val="9"/>
        </w:numPr>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双方均已对以上各条款及附件作充分了解，并明确理解由此而产生的相关权责。</w:t>
      </w:r>
    </w:p>
    <w:p w14:paraId="4874FEA1">
      <w:pPr>
        <w:pStyle w:val="19"/>
        <w:spacing w:line="360" w:lineRule="auto"/>
        <w:rPr>
          <w:rFonts w:ascii="仿宋" w:hAnsi="仿宋" w:eastAsia="仿宋" w:cs="仿宋"/>
          <w:bCs/>
          <w:color w:val="auto"/>
          <w:sz w:val="21"/>
          <w:szCs w:val="21"/>
          <w:highlight w:val="none"/>
        </w:rPr>
      </w:pPr>
    </w:p>
    <w:tbl>
      <w:tblPr>
        <w:tblStyle w:val="10"/>
        <w:tblW w:w="9536" w:type="dxa"/>
        <w:tblInd w:w="-72" w:type="dxa"/>
        <w:tblLayout w:type="fixed"/>
        <w:tblCellMar>
          <w:top w:w="0" w:type="dxa"/>
          <w:left w:w="108" w:type="dxa"/>
          <w:bottom w:w="0" w:type="dxa"/>
          <w:right w:w="108" w:type="dxa"/>
        </w:tblCellMar>
      </w:tblPr>
      <w:tblGrid>
        <w:gridCol w:w="4372"/>
        <w:gridCol w:w="4988"/>
        <w:gridCol w:w="176"/>
      </w:tblGrid>
      <w:tr w14:paraId="4E198D56">
        <w:tblPrEx>
          <w:tblCellMar>
            <w:top w:w="0" w:type="dxa"/>
            <w:left w:w="108" w:type="dxa"/>
            <w:bottom w:w="0" w:type="dxa"/>
            <w:right w:w="108" w:type="dxa"/>
          </w:tblCellMar>
        </w:tblPrEx>
        <w:trPr>
          <w:gridAfter w:val="1"/>
          <w:wAfter w:w="176" w:type="dxa"/>
          <w:trHeight w:val="2244" w:hRule="atLeast"/>
        </w:trPr>
        <w:tc>
          <w:tcPr>
            <w:tcW w:w="4372" w:type="dxa"/>
            <w:tcBorders>
              <w:top w:val="nil"/>
              <w:left w:val="nil"/>
              <w:bottom w:val="nil"/>
              <w:right w:val="dotDotDash" w:color="auto" w:sz="4" w:space="0"/>
            </w:tcBorders>
          </w:tcPr>
          <w:p w14:paraId="735B9B07">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甲方（盖章）： </w:t>
            </w:r>
          </w:p>
          <w:p w14:paraId="2DCDAF31">
            <w:pPr>
              <w:pStyle w:val="19"/>
              <w:spacing w:line="360" w:lineRule="auto"/>
              <w:rPr>
                <w:rFonts w:ascii="仿宋" w:hAnsi="仿宋" w:eastAsia="仿宋" w:cs="仿宋"/>
                <w:bCs/>
                <w:color w:val="auto"/>
                <w:sz w:val="21"/>
                <w:szCs w:val="21"/>
                <w:highlight w:val="none"/>
              </w:rPr>
            </w:pPr>
          </w:p>
          <w:p w14:paraId="4B7A22C1">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代表：                               </w:t>
            </w:r>
          </w:p>
          <w:p w14:paraId="61DD648B">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地址： </w:t>
            </w:r>
          </w:p>
          <w:p w14:paraId="395B7BD5">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电话：</w:t>
            </w:r>
          </w:p>
          <w:p w14:paraId="13AD9ABF">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传真：/</w:t>
            </w:r>
          </w:p>
          <w:p w14:paraId="01269403">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日期：202</w:t>
            </w:r>
            <w:ins w:id="22" w:author="黎先妹" w:date="2025-05-14T16:24:42Z">
              <w:r>
                <w:rPr>
                  <w:rFonts w:hint="eastAsia" w:ascii="仿宋" w:hAnsi="仿宋" w:eastAsia="仿宋" w:cs="仿宋"/>
                  <w:bCs/>
                  <w:color w:val="auto"/>
                  <w:sz w:val="21"/>
                  <w:szCs w:val="21"/>
                  <w:highlight w:val="none"/>
                  <w:lang w:val="en-US" w:eastAsia="zh-CN"/>
                </w:rPr>
                <w:t>5</w:t>
              </w:r>
            </w:ins>
            <w:r>
              <w:rPr>
                <w:rFonts w:hint="eastAsia" w:ascii="仿宋" w:hAnsi="仿宋" w:eastAsia="仿宋" w:cs="仿宋"/>
                <w:bCs/>
                <w:color w:val="auto"/>
                <w:sz w:val="21"/>
                <w:szCs w:val="21"/>
                <w:highlight w:val="none"/>
              </w:rPr>
              <w:t>年     月    日</w:t>
            </w:r>
          </w:p>
        </w:tc>
        <w:tc>
          <w:tcPr>
            <w:tcW w:w="4988" w:type="dxa"/>
            <w:tcBorders>
              <w:top w:val="nil"/>
              <w:left w:val="dotDotDash" w:color="auto" w:sz="4" w:space="0"/>
              <w:bottom w:val="nil"/>
              <w:right w:val="nil"/>
            </w:tcBorders>
          </w:tcPr>
          <w:p w14:paraId="52E9604C">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乙方（盖章）： </w:t>
            </w:r>
          </w:p>
          <w:p w14:paraId="05C8B142">
            <w:pPr>
              <w:pStyle w:val="19"/>
              <w:spacing w:line="360" w:lineRule="auto"/>
              <w:rPr>
                <w:rFonts w:ascii="仿宋" w:hAnsi="仿宋" w:eastAsia="仿宋" w:cs="仿宋"/>
                <w:bCs/>
                <w:color w:val="auto"/>
                <w:sz w:val="21"/>
                <w:szCs w:val="21"/>
                <w:highlight w:val="none"/>
              </w:rPr>
            </w:pPr>
          </w:p>
          <w:p w14:paraId="294A0DC5">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代表：                                    </w:t>
            </w:r>
          </w:p>
          <w:p w14:paraId="32B1ADC2">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地址： </w:t>
            </w:r>
          </w:p>
          <w:p w14:paraId="734E5C21">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电话：</w:t>
            </w:r>
          </w:p>
          <w:p w14:paraId="0FFB64EA">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传真：/</w:t>
            </w:r>
          </w:p>
          <w:p w14:paraId="7C482B6B">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日期：202</w:t>
            </w:r>
            <w:ins w:id="23" w:author="黎先妹" w:date="2025-05-14T16:24:44Z">
              <w:r>
                <w:rPr>
                  <w:rFonts w:hint="eastAsia" w:ascii="仿宋" w:hAnsi="仿宋" w:eastAsia="仿宋" w:cs="仿宋"/>
                  <w:bCs/>
                  <w:color w:val="auto"/>
                  <w:sz w:val="21"/>
                  <w:szCs w:val="21"/>
                  <w:highlight w:val="none"/>
                  <w:lang w:val="en-US" w:eastAsia="zh-CN"/>
                </w:rPr>
                <w:t>5</w:t>
              </w:r>
            </w:ins>
            <w:r>
              <w:rPr>
                <w:rFonts w:hint="eastAsia" w:ascii="仿宋" w:hAnsi="仿宋" w:eastAsia="仿宋" w:cs="仿宋"/>
                <w:bCs/>
                <w:color w:val="auto"/>
                <w:sz w:val="21"/>
                <w:szCs w:val="21"/>
                <w:highlight w:val="none"/>
              </w:rPr>
              <w:t>年     月     日</w:t>
            </w:r>
          </w:p>
        </w:tc>
      </w:tr>
      <w:tr w14:paraId="09E9A313">
        <w:tblPrEx>
          <w:tblCellMar>
            <w:top w:w="0" w:type="dxa"/>
            <w:left w:w="108" w:type="dxa"/>
            <w:bottom w:w="0" w:type="dxa"/>
            <w:right w:w="108" w:type="dxa"/>
          </w:tblCellMar>
        </w:tblPrEx>
        <w:trPr>
          <w:trHeight w:val="1781" w:hRule="atLeast"/>
        </w:trPr>
        <w:tc>
          <w:tcPr>
            <w:tcW w:w="4372" w:type="dxa"/>
            <w:tcBorders>
              <w:top w:val="nil"/>
              <w:left w:val="nil"/>
              <w:bottom w:val="single" w:color="FFFFFF" w:sz="4" w:space="0"/>
              <w:right w:val="dotDotDash" w:color="auto" w:sz="4" w:space="0"/>
            </w:tcBorders>
          </w:tcPr>
          <w:p w14:paraId="14A50939">
            <w:pPr>
              <w:pStyle w:val="22"/>
              <w:spacing w:line="360" w:lineRule="auto"/>
              <w:rPr>
                <w:rFonts w:ascii="仿宋" w:hAnsi="仿宋" w:eastAsia="仿宋" w:cs="仿宋"/>
                <w:bCs/>
                <w:color w:val="auto"/>
                <w:szCs w:val="21"/>
                <w:highlight w:val="none"/>
              </w:rPr>
            </w:pPr>
          </w:p>
          <w:p w14:paraId="250591B9">
            <w:pPr>
              <w:pStyle w:val="22"/>
              <w:spacing w:line="360" w:lineRule="auto"/>
              <w:rPr>
                <w:rFonts w:ascii="仿宋" w:hAnsi="仿宋" w:eastAsia="仿宋" w:cs="仿宋"/>
                <w:bCs/>
                <w:color w:val="auto"/>
                <w:szCs w:val="21"/>
                <w:highlight w:val="none"/>
              </w:rPr>
            </w:pPr>
          </w:p>
        </w:tc>
        <w:tc>
          <w:tcPr>
            <w:tcW w:w="5164" w:type="dxa"/>
            <w:gridSpan w:val="2"/>
            <w:tcBorders>
              <w:top w:val="nil"/>
              <w:left w:val="dotDotDash" w:color="auto" w:sz="4" w:space="0"/>
              <w:bottom w:val="single" w:color="FFFFFF" w:sz="4" w:space="0"/>
              <w:right w:val="nil"/>
            </w:tcBorders>
          </w:tcPr>
          <w:p w14:paraId="10F5FF14">
            <w:pPr>
              <w:pStyle w:val="19"/>
              <w:spacing w:line="360" w:lineRule="auto"/>
              <w:rPr>
                <w:rFonts w:ascii="仿宋" w:hAnsi="仿宋" w:eastAsia="仿宋" w:cs="仿宋"/>
                <w:bCs/>
                <w:color w:val="auto"/>
                <w:sz w:val="21"/>
                <w:szCs w:val="21"/>
                <w:highlight w:val="none"/>
              </w:rPr>
            </w:pPr>
          </w:p>
          <w:p w14:paraId="4BF43192">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收款方、开票方须与乙方一致，专户为：</w:t>
            </w:r>
          </w:p>
          <w:p w14:paraId="1FFF5E09">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 xml:space="preserve">开户名称： </w:t>
            </w:r>
          </w:p>
          <w:p w14:paraId="16A026FE">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银行账号：</w:t>
            </w:r>
          </w:p>
          <w:p w14:paraId="2A336C68">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开 户 行：</w:t>
            </w:r>
          </w:p>
        </w:tc>
      </w:tr>
    </w:tbl>
    <w:p w14:paraId="24E4393D">
      <w:pPr>
        <w:pStyle w:val="19"/>
        <w:spacing w:line="360" w:lineRule="auto"/>
        <w:rPr>
          <w:rFonts w:ascii="仿宋" w:hAnsi="仿宋" w:eastAsia="仿宋" w:cs="仿宋"/>
          <w:b/>
          <w:color w:val="auto"/>
          <w:sz w:val="21"/>
          <w:szCs w:val="21"/>
          <w:highlight w:val="none"/>
        </w:rPr>
      </w:pPr>
    </w:p>
    <w:p w14:paraId="4308FBBB">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合同附件清单：</w:t>
      </w:r>
    </w:p>
    <w:p w14:paraId="60FD8832">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附件一：中标通知书</w:t>
      </w:r>
    </w:p>
    <w:p w14:paraId="696094C0">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附件二：《分项报价表》</w:t>
      </w:r>
    </w:p>
    <w:p w14:paraId="23F2F02C">
      <w:pPr>
        <w:pStyle w:val="19"/>
        <w:spacing w:line="360" w:lineRule="auto"/>
        <w:rPr>
          <w:rFonts w:ascii="仿宋" w:hAnsi="仿宋" w:eastAsia="仿宋" w:cs="仿宋"/>
          <w:bCs/>
          <w:color w:val="auto"/>
          <w:sz w:val="21"/>
          <w:szCs w:val="21"/>
          <w:highlight w:val="none"/>
        </w:rPr>
      </w:pPr>
      <w:r>
        <w:rPr>
          <w:rFonts w:hint="eastAsia" w:ascii="仿宋" w:hAnsi="仿宋" w:eastAsia="仿宋" w:cs="仿宋"/>
          <w:bCs/>
          <w:color w:val="auto"/>
          <w:sz w:val="21"/>
          <w:szCs w:val="21"/>
          <w:highlight w:val="none"/>
        </w:rPr>
        <w:t>附件三：实施本项目主要人员</w:t>
      </w:r>
    </w:p>
    <w:p w14:paraId="692AA302">
      <w:pPr>
        <w:rPr>
          <w:rFonts w:ascii="仿宋" w:hAnsi="仿宋" w:eastAsia="仿宋" w:cs="仿宋"/>
          <w:b/>
          <w:color w:val="auto"/>
          <w:szCs w:val="21"/>
          <w:highlight w:val="none"/>
        </w:rPr>
      </w:pPr>
      <w:r>
        <w:rPr>
          <w:rFonts w:hint="eastAsia" w:ascii="仿宋" w:hAnsi="仿宋" w:eastAsia="仿宋" w:cs="仿宋"/>
          <w:bCs/>
          <w:color w:val="auto"/>
          <w:szCs w:val="21"/>
          <w:highlight w:val="none"/>
        </w:rPr>
        <w:t>附件四：《海南大学崖州湾科教园物业管理考核办法及检查标准》</w:t>
      </w:r>
    </w:p>
    <w:p w14:paraId="00599806">
      <w:pPr>
        <w:rPr>
          <w:rFonts w:ascii="仿宋" w:hAnsi="仿宋" w:eastAsia="仿宋" w:cs="仿宋"/>
          <w:b/>
          <w:color w:val="auto"/>
          <w:szCs w:val="21"/>
          <w:highlight w:val="none"/>
        </w:rPr>
      </w:pPr>
    </w:p>
    <w:p w14:paraId="57F42C47">
      <w:pPr>
        <w:snapToGrid w:val="0"/>
        <w:spacing w:before="19" w:line="500" w:lineRule="exact"/>
        <w:ind w:firstLine="422" w:firstLineChars="200"/>
        <w:rPr>
          <w:rFonts w:ascii="仿宋" w:hAnsi="仿宋" w:eastAsia="仿宋" w:cs="仿宋"/>
          <w:color w:val="auto"/>
          <w:szCs w:val="21"/>
          <w:highlight w:val="none"/>
        </w:rPr>
      </w:pPr>
      <w:r>
        <w:rPr>
          <w:rFonts w:hint="eastAsia" w:ascii="仿宋" w:hAnsi="仿宋" w:eastAsia="仿宋" w:cs="仿宋"/>
          <w:b/>
          <w:color w:val="auto"/>
          <w:szCs w:val="21"/>
          <w:highlight w:val="none"/>
        </w:rPr>
        <w:t>合同鉴证：</w:t>
      </w:r>
    </w:p>
    <w:p w14:paraId="70779965">
      <w:pPr>
        <w:snapToGrid w:val="0"/>
        <w:spacing w:before="19" w:line="500" w:lineRule="exact"/>
        <w:ind w:firstLine="420" w:firstLineChars="200"/>
        <w:rPr>
          <w:rFonts w:ascii="仿宋" w:hAnsi="仿宋" w:eastAsia="仿宋" w:cs="仿宋"/>
          <w:color w:val="auto"/>
          <w:szCs w:val="21"/>
          <w:highlight w:val="none"/>
          <w:u w:val="single"/>
        </w:rPr>
      </w:pPr>
      <w:r>
        <w:rPr>
          <w:rFonts w:hint="eastAsia" w:ascii="仿宋" w:hAnsi="仿宋" w:eastAsia="仿宋" w:cs="仿宋"/>
          <w:color w:val="auto"/>
          <w:szCs w:val="21"/>
          <w:highlight w:val="none"/>
        </w:rPr>
        <w:t>政府集中采购机构：</w:t>
      </w:r>
      <w:r>
        <w:rPr>
          <w:rFonts w:hint="eastAsia" w:ascii="仿宋" w:hAnsi="仿宋" w:eastAsia="仿宋" w:cs="仿宋"/>
          <w:color w:val="auto"/>
          <w:szCs w:val="21"/>
          <w:highlight w:val="none"/>
          <w:u w:val="single"/>
        </w:rPr>
        <w:t>海南省政府采购中心（盖章）</w:t>
      </w:r>
    </w:p>
    <w:p w14:paraId="6F92880B">
      <w:pPr>
        <w:snapToGrid w:val="0"/>
        <w:spacing w:before="19" w:line="50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地  址：海口市国兴大道9号会展楼2楼</w:t>
      </w:r>
    </w:p>
    <w:p w14:paraId="29626C74">
      <w:pPr>
        <w:snapToGrid w:val="0"/>
        <w:spacing w:before="19" w:line="500" w:lineRule="exact"/>
        <w:ind w:firstLine="420" w:firstLineChars="200"/>
        <w:rPr>
          <w:rFonts w:ascii="仿宋" w:hAnsi="仿宋" w:eastAsia="仿宋" w:cs="仿宋"/>
          <w:color w:val="auto"/>
          <w:szCs w:val="21"/>
          <w:highlight w:val="none"/>
        </w:rPr>
      </w:pPr>
      <w:r>
        <w:rPr>
          <w:rFonts w:hint="eastAsia" w:ascii="仿宋" w:hAnsi="仿宋" w:eastAsia="仿宋" w:cs="仿宋"/>
          <w:color w:val="auto"/>
          <w:szCs w:val="21"/>
          <w:highlight w:val="none"/>
        </w:rPr>
        <w:t xml:space="preserve">经办人：       </w:t>
      </w:r>
    </w:p>
    <w:p w14:paraId="368B67FF">
      <w:pPr>
        <w:snapToGrid w:val="0"/>
        <w:spacing w:before="19" w:line="500" w:lineRule="exact"/>
        <w:ind w:firstLine="1050" w:firstLineChars="500"/>
        <w:rPr>
          <w:rFonts w:ascii="仿宋" w:hAnsi="仿宋" w:eastAsia="仿宋" w:cs="仿宋"/>
          <w:color w:val="auto"/>
          <w:szCs w:val="21"/>
          <w:highlight w:val="none"/>
        </w:rPr>
      </w:pPr>
      <w:r>
        <w:rPr>
          <w:rFonts w:hint="eastAsia" w:ascii="仿宋" w:hAnsi="仿宋" w:eastAsia="仿宋" w:cs="仿宋"/>
          <w:color w:val="auto"/>
          <w:szCs w:val="21"/>
          <w:highlight w:val="none"/>
        </w:rPr>
        <w:t>年   月    日</w:t>
      </w:r>
    </w:p>
    <w:p w14:paraId="6AFCEB8A">
      <w:pPr>
        <w:pStyle w:val="3"/>
        <w:rPr>
          <w:ins w:id="24" w:author="黎先妹" w:date="2025-05-21T16:16:47Z"/>
          <w:rFonts w:hint="default"/>
          <w:color w:val="auto"/>
          <w:highlight w:val="none"/>
        </w:rPr>
      </w:pPr>
      <w:bookmarkStart w:id="4" w:name="_GoBack"/>
      <w:bookmarkEnd w:id="4"/>
    </w:p>
    <w:p w14:paraId="3E8AC6E7">
      <w:pPr>
        <w:rPr>
          <w:ins w:id="25" w:author="黎先妹" w:date="2025-05-21T16:16:48Z"/>
          <w:rFonts w:hint="default"/>
          <w:color w:val="auto"/>
          <w:highlight w:val="none"/>
        </w:rPr>
      </w:pPr>
    </w:p>
    <w:p w14:paraId="578B462E">
      <w:pPr>
        <w:rPr>
          <w:ins w:id="26" w:author="黎先妹" w:date="2025-05-21T16:16:49Z"/>
          <w:rFonts w:hint="default"/>
          <w:color w:val="auto"/>
          <w:highlight w:val="none"/>
        </w:rPr>
      </w:pPr>
    </w:p>
    <w:p w14:paraId="432C963B">
      <w:pPr>
        <w:rPr>
          <w:ins w:id="27" w:author="黎先妹" w:date="2025-05-21T16:16:21Z"/>
          <w:rFonts w:hint="default"/>
          <w:color w:val="auto"/>
          <w:highlight w:val="none"/>
        </w:rPr>
      </w:pPr>
    </w:p>
    <w:p w14:paraId="2BC9A970">
      <w:pPr>
        <w:rPr>
          <w:ins w:id="28" w:author="黎先妹" w:date="2025-05-21T16:16:21Z"/>
          <w:rFonts w:hint="default"/>
          <w:color w:val="auto"/>
          <w:highlight w:val="none"/>
        </w:rPr>
      </w:pPr>
    </w:p>
    <w:p w14:paraId="208F7734">
      <w:pPr>
        <w:rPr>
          <w:ins w:id="29" w:author="黎先妹" w:date="2025-05-21T16:16:22Z"/>
          <w:rFonts w:hint="default"/>
          <w:color w:val="auto"/>
          <w:highlight w:val="none"/>
        </w:rPr>
      </w:pPr>
    </w:p>
    <w:p w14:paraId="3BD2720A">
      <w:pPr>
        <w:rPr>
          <w:rFonts w:hint="default"/>
          <w:color w:val="auto"/>
          <w:highlight w:val="none"/>
        </w:rPr>
      </w:pPr>
    </w:p>
    <w:p w14:paraId="7FC8D4D3">
      <w:pPr>
        <w:pStyle w:val="18"/>
        <w:spacing w:line="360" w:lineRule="auto"/>
        <w:ind w:left="510" w:firstLine="0" w:firstLineChars="0"/>
        <w:jc w:val="center"/>
        <w:rPr>
          <w:rFonts w:ascii="宋体" w:hAnsi="宋体"/>
          <w:b/>
          <w:color w:val="auto"/>
          <w:sz w:val="32"/>
          <w:szCs w:val="32"/>
          <w:highlight w:val="none"/>
        </w:rPr>
      </w:pPr>
      <w:r>
        <w:rPr>
          <w:rFonts w:hint="eastAsia" w:ascii="宋体" w:hAnsi="宋体"/>
          <w:b/>
          <w:color w:val="auto"/>
          <w:sz w:val="32"/>
          <w:szCs w:val="32"/>
          <w:highlight w:val="none"/>
        </w:rPr>
        <w:t>通用条款</w:t>
      </w:r>
    </w:p>
    <w:p w14:paraId="6A6FBA68">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1．定义</w:t>
      </w:r>
    </w:p>
    <w:p w14:paraId="5DD35F8E">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本合同下列术语应解释为：</w:t>
      </w:r>
    </w:p>
    <w:p w14:paraId="79C95F45">
      <w:pPr>
        <w:pStyle w:val="3"/>
        <w:spacing w:line="240" w:lineRule="atLeast"/>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（l）“合同”系指甲方和乙方（以下简称合同双方）签署的、合同格式中列明的合同双方所达成的协议，包括所有的附件、附录和构成合同的所有文件。</w:t>
      </w:r>
    </w:p>
    <w:p w14:paraId="1285DC2A">
      <w:pPr>
        <w:pStyle w:val="3"/>
        <w:spacing w:line="240" w:lineRule="atLeast"/>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（2）“合同价”系指根据合同规定，乙方在完全履行合同义务后甲方应付给乙方的价格。</w:t>
      </w:r>
    </w:p>
    <w:p w14:paraId="6147B1DC">
      <w:pPr>
        <w:pStyle w:val="3"/>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（3）“服务”系指根据合同约定乙方承担的全部义务。 </w:t>
      </w:r>
    </w:p>
    <w:p w14:paraId="3AE84712">
      <w:pPr>
        <w:pStyle w:val="3"/>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（4）“甲方”系指购买服务的单位。</w:t>
      </w:r>
    </w:p>
    <w:p w14:paraId="04391B61">
      <w:pPr>
        <w:pStyle w:val="3"/>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（5）“乙方”系指根据合同约定提供服务的机构。</w:t>
      </w:r>
    </w:p>
    <w:p w14:paraId="74D83CA0">
      <w:pPr>
        <w:pStyle w:val="3"/>
        <w:spacing w:line="240" w:lineRule="atLeast"/>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（7）“现场”系指将要进行服务的地点。</w:t>
      </w:r>
    </w:p>
    <w:p w14:paraId="7BE227D2">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2．技术规范</w:t>
      </w:r>
    </w:p>
    <w:p w14:paraId="19AB14EC">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5A47D647">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3．付款方式</w:t>
      </w:r>
    </w:p>
    <w:p w14:paraId="247ADE89">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 xml:space="preserve">   付款方式见合同专用条款。</w:t>
      </w:r>
    </w:p>
    <w:p w14:paraId="3D42C76F">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4．违约赔偿</w:t>
      </w:r>
    </w:p>
    <w:p w14:paraId="5D347184">
      <w:pPr>
        <w:pStyle w:val="3"/>
        <w:ind w:firstLine="480" w:firstLineChars="200"/>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除第5条规定的不可抗力外，如果乙方没有按照合同规定的时间服务，甲方可从相关费用中扣除违约赔偿费，费用见合同条款，甲方有权终止合同，并按合同约定及法律规定追究乙方的违约责任。因乙方违反本合同导致诉讼或其他争议处理程序的，乙方应向甲方承担参加诉讼或者其他争议处理程序而发生的律师费、公证费、鉴定费、保全保险费、调查取证费等费用。</w:t>
      </w:r>
    </w:p>
    <w:p w14:paraId="6DC402CB">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5．不可抗力</w:t>
      </w:r>
    </w:p>
    <w:p w14:paraId="6D1EDD7A">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5.l 如果双方中任何一方由于战争、严重火灾、水灾、台风和地震以及其它经双方同意属于不可抗力的事故，致使合同履行受阻时，履行合同的期限应予以延长，延长的期限应相当于事故所影响的时间。</w:t>
      </w:r>
    </w:p>
    <w:p w14:paraId="05155AA7">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5.2 受事故影响的一方应在不可抗力事故发生后尽快以电报、传真或电传通知另一方，并在事故发生后24小时，将有关部门出具的证明文件用特快专递寄给或送给另一方。如果不可抗力影响时间延续3天以上，双方应通过友好协商在合理的时间内达成进一步履行合同的协议。</w:t>
      </w:r>
    </w:p>
    <w:p w14:paraId="7D4E9545">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6．税费</w:t>
      </w:r>
    </w:p>
    <w:p w14:paraId="4A0B8785">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6.l 中国政府根据现行税法对甲方征收的与本合同有关的一切税费均由甲方承担。</w:t>
      </w:r>
    </w:p>
    <w:p w14:paraId="549E2860">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6.2 中国政府根据现行税法对乙方征收的与本合同有关的一切税费均由乙方承担。</w:t>
      </w:r>
    </w:p>
    <w:p w14:paraId="4841D603">
      <w:pPr>
        <w:pStyle w:val="3"/>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7</w:t>
      </w:r>
      <w:r>
        <w:rPr>
          <w:rFonts w:ascii="仿宋" w:hAnsi="仿宋" w:eastAsia="仿宋" w:cs="仿宋"/>
          <w:b w:val="0"/>
          <w:color w:val="auto"/>
          <w:kern w:val="44"/>
          <w:sz w:val="24"/>
          <w:szCs w:val="24"/>
          <w:highlight w:val="none"/>
        </w:rPr>
        <w:t>．违约终止合同</w:t>
      </w:r>
    </w:p>
    <w:p w14:paraId="0878D94B">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11BFA8D1">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（l）如果乙方未能在合同规定的期限或甲方同意延期的限期内提供服务；</w:t>
      </w:r>
    </w:p>
    <w:p w14:paraId="0CD5B048">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（2）如果乙方未能履行合同规定的其它义务。</w:t>
      </w:r>
    </w:p>
    <w:p w14:paraId="458F69C1">
      <w:pPr>
        <w:pStyle w:val="3"/>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8</w:t>
      </w:r>
      <w:r>
        <w:rPr>
          <w:rFonts w:ascii="仿宋" w:hAnsi="仿宋" w:eastAsia="仿宋" w:cs="仿宋"/>
          <w:b w:val="0"/>
          <w:color w:val="auto"/>
          <w:kern w:val="44"/>
          <w:sz w:val="24"/>
          <w:szCs w:val="24"/>
          <w:highlight w:val="none"/>
        </w:rPr>
        <w:t>．转让与分包</w:t>
      </w:r>
    </w:p>
    <w:p w14:paraId="08965AC3">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未经甲方事先书面同意，乙方不得整体或全部转让及转包其应履行的合同义务。</w:t>
      </w:r>
    </w:p>
    <w:p w14:paraId="4809C69E">
      <w:pPr>
        <w:pStyle w:val="3"/>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9</w:t>
      </w:r>
      <w:r>
        <w:rPr>
          <w:rFonts w:ascii="仿宋" w:hAnsi="仿宋" w:eastAsia="仿宋" w:cs="仿宋"/>
          <w:b w:val="0"/>
          <w:color w:val="auto"/>
          <w:kern w:val="44"/>
          <w:sz w:val="24"/>
          <w:szCs w:val="24"/>
          <w:highlight w:val="none"/>
        </w:rPr>
        <w:t>．适用法律</w:t>
      </w:r>
    </w:p>
    <w:p w14:paraId="7143C4D6">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本合同应按中华人民共和国的法律进行解释。</w:t>
      </w:r>
    </w:p>
    <w:p w14:paraId="120B9E1C">
      <w:pPr>
        <w:pStyle w:val="3"/>
        <w:rPr>
          <w:rFonts w:hint="default" w:ascii="仿宋" w:hAnsi="仿宋" w:eastAsia="仿宋" w:cs="仿宋"/>
          <w:b w:val="0"/>
          <w:color w:val="auto"/>
          <w:kern w:val="44"/>
          <w:sz w:val="24"/>
          <w:szCs w:val="24"/>
          <w:highlight w:val="none"/>
        </w:rPr>
      </w:pPr>
      <w:r>
        <w:rPr>
          <w:rFonts w:hint="default" w:ascii="仿宋" w:hAnsi="仿宋" w:eastAsia="仿宋" w:cs="仿宋"/>
          <w:b w:val="0"/>
          <w:color w:val="auto"/>
          <w:kern w:val="44"/>
          <w:sz w:val="24"/>
          <w:szCs w:val="24"/>
          <w:highlight w:val="none"/>
        </w:rPr>
        <w:t>10</w:t>
      </w:r>
      <w:r>
        <w:rPr>
          <w:rFonts w:ascii="仿宋" w:hAnsi="仿宋" w:eastAsia="仿宋" w:cs="仿宋"/>
          <w:b w:val="0"/>
          <w:color w:val="auto"/>
          <w:kern w:val="44"/>
          <w:sz w:val="24"/>
          <w:szCs w:val="24"/>
          <w:highlight w:val="none"/>
        </w:rPr>
        <w:t>．合同生效及其它</w:t>
      </w:r>
    </w:p>
    <w:p w14:paraId="445B9217">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w:t>
      </w:r>
      <w:r>
        <w:rPr>
          <w:rFonts w:hint="default" w:ascii="仿宋" w:hAnsi="仿宋" w:eastAsia="仿宋" w:cs="仿宋"/>
          <w:b w:val="0"/>
          <w:color w:val="auto"/>
          <w:kern w:val="44"/>
          <w:sz w:val="24"/>
          <w:szCs w:val="24"/>
          <w:highlight w:val="none"/>
        </w:rPr>
        <w:t>0</w:t>
      </w:r>
      <w:r>
        <w:rPr>
          <w:rFonts w:ascii="仿宋" w:hAnsi="仿宋" w:eastAsia="仿宋" w:cs="仿宋"/>
          <w:b w:val="0"/>
          <w:color w:val="auto"/>
          <w:kern w:val="44"/>
          <w:sz w:val="24"/>
          <w:szCs w:val="24"/>
          <w:highlight w:val="none"/>
        </w:rPr>
        <w:t>.1 合同在双方签字盖章后生效。</w:t>
      </w:r>
    </w:p>
    <w:p w14:paraId="76B8953B">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1</w:t>
      </w:r>
      <w:r>
        <w:rPr>
          <w:rFonts w:hint="default" w:ascii="仿宋" w:hAnsi="仿宋" w:eastAsia="仿宋" w:cs="仿宋"/>
          <w:b w:val="0"/>
          <w:color w:val="auto"/>
          <w:kern w:val="44"/>
          <w:sz w:val="24"/>
          <w:szCs w:val="24"/>
          <w:highlight w:val="none"/>
        </w:rPr>
        <w:t>0</w:t>
      </w:r>
      <w:r>
        <w:rPr>
          <w:rFonts w:ascii="仿宋" w:hAnsi="仿宋" w:eastAsia="仿宋" w:cs="仿宋"/>
          <w:b w:val="0"/>
          <w:color w:val="auto"/>
          <w:kern w:val="44"/>
          <w:sz w:val="24"/>
          <w:szCs w:val="24"/>
          <w:highlight w:val="none"/>
        </w:rPr>
        <w:t>.2 如需修改或补充合同内容，经协商，双方应签署书面修改或补充协议并经招标人鉴证，该协议将作为本合同的一个组成部分。</w:t>
      </w:r>
    </w:p>
    <w:p w14:paraId="4F85A256">
      <w:pPr>
        <w:rPr>
          <w:color w:val="auto"/>
          <w:highlight w:val="none"/>
        </w:rPr>
      </w:pPr>
    </w:p>
    <w:p w14:paraId="2A057039">
      <w:pPr>
        <w:pStyle w:val="3"/>
        <w:rPr>
          <w:rFonts w:hint="default" w:ascii="仿宋" w:hAnsi="仿宋" w:eastAsia="仿宋" w:cs="仿宋"/>
          <w:b w:val="0"/>
          <w:color w:val="auto"/>
          <w:kern w:val="44"/>
          <w:sz w:val="24"/>
          <w:szCs w:val="24"/>
          <w:highlight w:val="none"/>
        </w:rPr>
      </w:pPr>
    </w:p>
    <w:p w14:paraId="58DA55D2">
      <w:pPr>
        <w:pStyle w:val="3"/>
        <w:rPr>
          <w:rFonts w:hint="default" w:ascii="仿宋" w:hAnsi="仿宋" w:eastAsia="仿宋" w:cs="仿宋"/>
          <w:b w:val="0"/>
          <w:color w:val="auto"/>
          <w:kern w:val="44"/>
          <w:sz w:val="24"/>
          <w:szCs w:val="24"/>
          <w:highlight w:val="none"/>
        </w:rPr>
      </w:pPr>
      <w:r>
        <w:rPr>
          <w:rFonts w:ascii="仿宋" w:hAnsi="仿宋" w:eastAsia="仿宋" w:cs="仿宋"/>
          <w:b w:val="0"/>
          <w:color w:val="auto"/>
          <w:kern w:val="44"/>
          <w:sz w:val="24"/>
          <w:szCs w:val="24"/>
          <w:highlight w:val="none"/>
        </w:rPr>
        <w:t>备注：合同通用条款与合同专用条款不一致的，以合同专用条款为准。</w:t>
      </w:r>
    </w:p>
    <w:p w14:paraId="1288CAC7">
      <w:pPr>
        <w:rPr>
          <w:rFonts w:ascii="仿宋" w:hAnsi="仿宋" w:eastAsia="仿宋" w:cs="仿宋"/>
          <w:b/>
          <w:color w:val="auto"/>
          <w:kern w:val="44"/>
          <w:sz w:val="24"/>
          <w:highlight w:val="none"/>
        </w:rPr>
      </w:pPr>
    </w:p>
    <w:p w14:paraId="2FB0B72C">
      <w:pPr>
        <w:rPr>
          <w:color w:val="auto"/>
          <w:highlight w:val="none"/>
        </w:rPr>
      </w:pPr>
    </w:p>
    <w:p w14:paraId="1D395435">
      <w:pPr>
        <w:pStyle w:val="3"/>
        <w:rPr>
          <w:highlight w:val="none"/>
        </w:rPr>
      </w:pPr>
    </w:p>
    <w:p w14:paraId="31310152">
      <w:pPr>
        <w:spacing w:line="360" w:lineRule="auto"/>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附件四：</w:t>
      </w:r>
      <w:r>
        <w:rPr>
          <w:rFonts w:hint="eastAsia" w:ascii="仿宋" w:hAnsi="仿宋" w:eastAsia="仿宋" w:cs="仿宋"/>
          <w:bCs/>
          <w:color w:val="auto"/>
          <w:sz w:val="28"/>
          <w:szCs w:val="28"/>
          <w:highlight w:val="none"/>
        </w:rPr>
        <w:t>《海南大学崖州湾科教园</w:t>
      </w:r>
      <w:r>
        <w:rPr>
          <w:rFonts w:ascii="仿宋" w:hAnsi="仿宋" w:eastAsia="仿宋" w:cs="仿宋"/>
          <w:bCs/>
          <w:color w:val="auto"/>
          <w:sz w:val="28"/>
          <w:szCs w:val="28"/>
          <w:highlight w:val="none"/>
        </w:rPr>
        <w:t>物业管理</w:t>
      </w:r>
      <w:r>
        <w:rPr>
          <w:rFonts w:hint="eastAsia" w:ascii="仿宋" w:hAnsi="仿宋" w:eastAsia="仿宋" w:cs="仿宋"/>
          <w:bCs/>
          <w:color w:val="auto"/>
          <w:sz w:val="28"/>
          <w:szCs w:val="28"/>
          <w:highlight w:val="none"/>
        </w:rPr>
        <w:t>考核办法及检查标准》</w:t>
      </w:r>
    </w:p>
    <w:p w14:paraId="4C6126CF">
      <w:pPr>
        <w:spacing w:line="360" w:lineRule="auto"/>
        <w:rPr>
          <w:rFonts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一、考核办法及检查标准</w:t>
      </w:r>
    </w:p>
    <w:p w14:paraId="0F85B6D4">
      <w:pPr>
        <w:pStyle w:val="3"/>
        <w:spacing w:line="360" w:lineRule="auto"/>
        <w:rPr>
          <w:rFonts w:hint="default" w:ascii="仿宋" w:hAnsi="仿宋" w:eastAsia="仿宋" w:cs="仿宋"/>
          <w:color w:val="auto"/>
          <w:sz w:val="24"/>
          <w:szCs w:val="24"/>
          <w:highlight w:val="none"/>
        </w:rPr>
      </w:pPr>
      <w:bookmarkStart w:id="1" w:name="_Toc131061258"/>
      <w:r>
        <w:rPr>
          <w:rFonts w:ascii="仿宋" w:hAnsi="仿宋" w:eastAsia="仿宋" w:cs="仿宋"/>
          <w:color w:val="auto"/>
          <w:sz w:val="24"/>
          <w:szCs w:val="24"/>
          <w:highlight w:val="none"/>
        </w:rPr>
        <w:t>1.考核原则</w:t>
      </w:r>
      <w:bookmarkEnd w:id="1"/>
    </w:p>
    <w:p w14:paraId="737A5BA8">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坚持平时检查与集中考核相结合，按服务项目单项考核与综合考核相结合的原则。</w:t>
      </w:r>
    </w:p>
    <w:p w14:paraId="05DB98DB">
      <w:pPr>
        <w:pStyle w:val="3"/>
        <w:spacing w:line="360" w:lineRule="auto"/>
        <w:rPr>
          <w:rFonts w:hint="default" w:ascii="仿宋" w:hAnsi="仿宋" w:eastAsia="仿宋" w:cs="仿宋"/>
          <w:color w:val="auto"/>
          <w:sz w:val="24"/>
          <w:szCs w:val="24"/>
          <w:highlight w:val="none"/>
        </w:rPr>
      </w:pPr>
      <w:bookmarkStart w:id="2" w:name="_Toc131061259"/>
      <w:r>
        <w:rPr>
          <w:rFonts w:ascii="仿宋" w:hAnsi="仿宋" w:eastAsia="仿宋" w:cs="仿宋"/>
          <w:color w:val="auto"/>
          <w:sz w:val="24"/>
          <w:szCs w:val="24"/>
          <w:highlight w:val="none"/>
        </w:rPr>
        <w:t>2.考核范围和内容</w:t>
      </w:r>
      <w:bookmarkEnd w:id="2"/>
    </w:p>
    <w:p w14:paraId="7A619951">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2.1考核范围：</w:t>
      </w:r>
    </w:p>
    <w:p w14:paraId="57254E4F">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根据园区安保服务、设备运行及维修管理服务、综合楼管理服务、实验室楼宇管理服务、多媒体课室管理服务、会务接待服务、清洁卫生服务、绿化养护服务项目等所涉及的内容和范围，重点考核多媒体课室管理、综合楼管理服务、实验室楼宇管理服务、园区环境卫生、水电维修服务等内容。</w:t>
      </w:r>
    </w:p>
    <w:p w14:paraId="7560FBE4">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2.2考核内容：</w:t>
      </w:r>
    </w:p>
    <w:p w14:paraId="0205AB69">
      <w:pPr>
        <w:tabs>
          <w:tab w:val="left" w:pos="4893"/>
        </w:tabs>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依据本项目的管理服务质量标准与要求，对上述各服务项目的服务质量、综合管理进行考核。</w:t>
      </w:r>
    </w:p>
    <w:p w14:paraId="46CE2925">
      <w:pPr>
        <w:pStyle w:val="3"/>
        <w:spacing w:line="360" w:lineRule="auto"/>
        <w:rPr>
          <w:rFonts w:hint="default" w:ascii="仿宋" w:hAnsi="仿宋" w:eastAsia="仿宋" w:cs="仿宋"/>
          <w:color w:val="auto"/>
          <w:sz w:val="24"/>
          <w:szCs w:val="24"/>
          <w:highlight w:val="none"/>
        </w:rPr>
      </w:pPr>
      <w:bookmarkStart w:id="3" w:name="_Toc131061260"/>
      <w:r>
        <w:rPr>
          <w:rFonts w:ascii="仿宋" w:hAnsi="仿宋" w:eastAsia="仿宋" w:cs="仿宋"/>
          <w:color w:val="auto"/>
          <w:sz w:val="24"/>
          <w:szCs w:val="24"/>
          <w:highlight w:val="none"/>
        </w:rPr>
        <w:t>3.考核方式和标准</w:t>
      </w:r>
      <w:bookmarkEnd w:id="3"/>
    </w:p>
    <w:p w14:paraId="32602095">
      <w:pPr>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月度考核：</w:t>
      </w:r>
    </w:p>
    <w:p w14:paraId="7DC1FD66">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管委会根据考核评分表每月对服务项目进行评分及建立负面清单，并根据考核情况下发整改通知单。每月综合评分达到85分以上，每月全额支付，综合得分为70-84分的，将扣除月度服务费的3%，综合得分为低于69分的，将扣除月度服务费5%。</w:t>
      </w:r>
    </w:p>
    <w:p w14:paraId="74A94A4F">
      <w:pPr>
        <w:spacing w:line="360" w:lineRule="auto"/>
        <w:ind w:firstLine="482" w:firstLineChars="200"/>
        <w:rPr>
          <w:rFonts w:ascii="仿宋" w:hAnsi="仿宋" w:eastAsia="仿宋" w:cs="仿宋"/>
          <w:b/>
          <w:bCs/>
          <w:color w:val="auto"/>
          <w:sz w:val="24"/>
          <w:highlight w:val="none"/>
        </w:rPr>
      </w:pPr>
      <w:r>
        <w:rPr>
          <w:rFonts w:hint="eastAsia" w:ascii="仿宋" w:hAnsi="仿宋" w:eastAsia="仿宋" w:cs="仿宋"/>
          <w:b/>
          <w:bCs/>
          <w:color w:val="auto"/>
          <w:sz w:val="24"/>
          <w:highlight w:val="none"/>
        </w:rPr>
        <w:t>季度考核：</w:t>
      </w:r>
    </w:p>
    <w:p w14:paraId="2F0A73B9">
      <w:pPr>
        <w:tabs>
          <w:tab w:val="left" w:pos="4893"/>
        </w:tabs>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每季度对成交中标人该季度工作情况（包括工作内容、工作态度、问题处理速度、承诺配备人员是否在岗及被投诉情况）进行考核打分。</w:t>
      </w:r>
    </w:p>
    <w:p w14:paraId="3D29D6DA">
      <w:pPr>
        <w:tabs>
          <w:tab w:val="left" w:pos="4893"/>
        </w:tabs>
        <w:spacing w:line="360" w:lineRule="auto"/>
        <w:ind w:firstLine="480" w:firstLineChars="200"/>
        <w:rPr>
          <w:rFonts w:ascii="仿宋" w:hAnsi="仿宋" w:eastAsia="仿宋" w:cs="仿宋"/>
          <w:bCs/>
          <w:color w:val="auto"/>
          <w:sz w:val="24"/>
          <w:highlight w:val="none"/>
        </w:rPr>
      </w:pPr>
      <w:r>
        <w:rPr>
          <w:rFonts w:hint="eastAsia" w:ascii="仿宋" w:hAnsi="仿宋" w:eastAsia="仿宋" w:cs="仿宋"/>
          <w:bCs/>
          <w:color w:val="auto"/>
          <w:sz w:val="24"/>
          <w:highlight w:val="none"/>
        </w:rPr>
        <w:t>一年内累计出现2次季度考核评分85分以下（不含85分）的，采购人有权不续签合同且无需承担责任；若连续2次季度考核评分85分以下（不含85分）的，采购人有权终止合同且无需承担责任。</w:t>
      </w:r>
    </w:p>
    <w:p w14:paraId="3AE049EA">
      <w:pPr>
        <w:pStyle w:val="3"/>
        <w:rPr>
          <w:rFonts w:hint="default" w:eastAsia="仿宋"/>
          <w:color w:val="auto"/>
          <w:highlight w:val="none"/>
        </w:rPr>
      </w:pPr>
      <w:r>
        <w:rPr>
          <w:rFonts w:ascii="仿宋" w:hAnsi="仿宋" w:eastAsia="仿宋" w:cs="仿宋"/>
          <w:bCs/>
          <w:color w:val="auto"/>
          <w:sz w:val="28"/>
          <w:szCs w:val="28"/>
          <w:highlight w:val="none"/>
        </w:rPr>
        <w:t>二、海南大学崖州湾科教园物业管理监管考评表</w:t>
      </w:r>
    </w:p>
    <w:p w14:paraId="1CB568C9">
      <w:pPr>
        <w:pStyle w:val="4"/>
        <w:spacing w:before="0" w:beforeAutospacing="0" w:after="0" w:afterAutospacing="0" w:line="360" w:lineRule="auto"/>
        <w:rPr>
          <w:rFonts w:hint="eastAsia" w:ascii="宋体" w:hAnsi="宋体" w:eastAsia="宋体" w:cs="宋体"/>
          <w:color w:val="auto"/>
          <w:szCs w:val="28"/>
          <w:highlight w:val="none"/>
        </w:rPr>
      </w:pPr>
      <w:r>
        <w:rPr>
          <w:rFonts w:ascii="宋体" w:hAnsi="宋体" w:eastAsia="宋体" w:cs="宋体"/>
          <w:color w:val="auto"/>
          <w:szCs w:val="28"/>
          <w:highlight w:val="none"/>
        </w:rPr>
        <w:t>（一）园区安保管理服务（</w:t>
      </w:r>
      <w:r>
        <w:rPr>
          <w:rFonts w:hint="eastAsia" w:ascii="宋体" w:hAnsi="宋体" w:eastAsia="宋体" w:cs="宋体"/>
          <w:color w:val="auto"/>
          <w:szCs w:val="28"/>
          <w:highlight w:val="none"/>
        </w:rPr>
        <w:t>100分）</w:t>
      </w:r>
    </w:p>
    <w:tbl>
      <w:tblPr>
        <w:tblStyle w:val="10"/>
        <w:tblW w:w="5052"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8"/>
        <w:gridCol w:w="677"/>
        <w:gridCol w:w="2663"/>
        <w:gridCol w:w="713"/>
      </w:tblGrid>
      <w:tr w14:paraId="10389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EE1444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3" w:type="pct"/>
            <w:tcBorders>
              <w:top w:val="single" w:color="auto" w:sz="4" w:space="0"/>
              <w:left w:val="single" w:color="auto" w:sz="4" w:space="0"/>
              <w:bottom w:val="single" w:color="auto" w:sz="4" w:space="0"/>
              <w:right w:val="single" w:color="auto" w:sz="4" w:space="0"/>
            </w:tcBorders>
            <w:vAlign w:val="center"/>
          </w:tcPr>
          <w:p w14:paraId="68072D97">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546" w:type="pct"/>
            <w:tcBorders>
              <w:top w:val="single" w:color="auto" w:sz="4" w:space="0"/>
              <w:left w:val="single" w:color="auto" w:sz="4" w:space="0"/>
              <w:bottom w:val="single" w:color="auto" w:sz="4" w:space="0"/>
              <w:right w:val="single" w:color="auto" w:sz="4" w:space="0"/>
            </w:tcBorders>
            <w:vAlign w:val="center"/>
          </w:tcPr>
          <w:p w14:paraId="546CEB1B">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412" w:type="pct"/>
            <w:tcBorders>
              <w:top w:val="single" w:color="auto" w:sz="4" w:space="0"/>
              <w:left w:val="single" w:color="auto" w:sz="4" w:space="0"/>
              <w:bottom w:val="single" w:color="auto" w:sz="4" w:space="0"/>
              <w:right w:val="single" w:color="auto" w:sz="4" w:space="0"/>
            </w:tcBorders>
            <w:vAlign w:val="center"/>
          </w:tcPr>
          <w:p w14:paraId="36D2DB93">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4B6B3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5E1434D">
            <w:pPr>
              <w:spacing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一、管理总则（30分）</w:t>
            </w:r>
          </w:p>
        </w:tc>
      </w:tr>
      <w:tr w14:paraId="1F207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9CE78D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管理人员资质要求：部门经理要求从事本行业并担任主管职务3年及以上。</w:t>
            </w:r>
          </w:p>
        </w:tc>
        <w:tc>
          <w:tcPr>
            <w:tcW w:w="393" w:type="pct"/>
            <w:tcBorders>
              <w:top w:val="single" w:color="auto" w:sz="4" w:space="0"/>
              <w:left w:val="single" w:color="auto" w:sz="4" w:space="0"/>
              <w:bottom w:val="single" w:color="auto" w:sz="4" w:space="0"/>
              <w:right w:val="single" w:color="auto" w:sz="4" w:space="0"/>
            </w:tcBorders>
            <w:vAlign w:val="center"/>
          </w:tcPr>
          <w:p w14:paraId="4DB74E5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2</w:t>
            </w:r>
          </w:p>
        </w:tc>
        <w:tc>
          <w:tcPr>
            <w:tcW w:w="1546" w:type="pct"/>
            <w:tcBorders>
              <w:top w:val="single" w:color="auto" w:sz="4" w:space="0"/>
              <w:left w:val="single" w:color="auto" w:sz="4" w:space="0"/>
              <w:bottom w:val="single" w:color="auto" w:sz="4" w:space="0"/>
              <w:right w:val="single" w:color="auto" w:sz="4" w:space="0"/>
            </w:tcBorders>
            <w:vAlign w:val="center"/>
          </w:tcPr>
          <w:p w14:paraId="7F813C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资质不符合要求，扣2分。</w:t>
            </w:r>
          </w:p>
        </w:tc>
        <w:tc>
          <w:tcPr>
            <w:tcW w:w="412" w:type="pct"/>
            <w:tcBorders>
              <w:top w:val="single" w:color="auto" w:sz="4" w:space="0"/>
              <w:left w:val="single" w:color="auto" w:sz="4" w:space="0"/>
              <w:bottom w:val="single" w:color="auto" w:sz="4" w:space="0"/>
              <w:right w:val="single" w:color="auto" w:sz="4" w:space="0"/>
            </w:tcBorders>
            <w:vAlign w:val="center"/>
          </w:tcPr>
          <w:p w14:paraId="702F964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DFE4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33A3A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管理制度和标准完善，建立有效工作签到制度和工作质量考核制度；有完备的《安全保卫应急工作预案》。</w:t>
            </w:r>
          </w:p>
        </w:tc>
        <w:tc>
          <w:tcPr>
            <w:tcW w:w="393" w:type="pct"/>
            <w:tcBorders>
              <w:top w:val="single" w:color="auto" w:sz="4" w:space="0"/>
              <w:left w:val="single" w:color="auto" w:sz="4" w:space="0"/>
              <w:bottom w:val="single" w:color="auto" w:sz="4" w:space="0"/>
              <w:right w:val="single" w:color="auto" w:sz="4" w:space="0"/>
            </w:tcBorders>
            <w:vAlign w:val="center"/>
          </w:tcPr>
          <w:p w14:paraId="34B310A5">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7</w:t>
            </w:r>
          </w:p>
        </w:tc>
        <w:tc>
          <w:tcPr>
            <w:tcW w:w="1546" w:type="pct"/>
            <w:tcBorders>
              <w:top w:val="single" w:color="auto" w:sz="4" w:space="0"/>
              <w:left w:val="single" w:color="auto" w:sz="4" w:space="0"/>
              <w:bottom w:val="single" w:color="auto" w:sz="4" w:space="0"/>
              <w:right w:val="single" w:color="auto" w:sz="4" w:space="0"/>
            </w:tcBorders>
            <w:vAlign w:val="center"/>
          </w:tcPr>
          <w:p w14:paraId="6F2FCD3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无管理制度和标准，扣2分；</w:t>
            </w:r>
          </w:p>
          <w:p w14:paraId="7BCAFE6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管理制度和标准不完善，扣1分。</w:t>
            </w:r>
          </w:p>
        </w:tc>
        <w:tc>
          <w:tcPr>
            <w:tcW w:w="412" w:type="pct"/>
            <w:tcBorders>
              <w:top w:val="single" w:color="auto" w:sz="4" w:space="0"/>
              <w:left w:val="single" w:color="auto" w:sz="4" w:space="0"/>
              <w:bottom w:val="single" w:color="auto" w:sz="4" w:space="0"/>
              <w:right w:val="single" w:color="auto" w:sz="4" w:space="0"/>
            </w:tcBorders>
            <w:vAlign w:val="center"/>
          </w:tcPr>
          <w:p w14:paraId="7990C4E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BE97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90814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93" w:type="pct"/>
            <w:tcBorders>
              <w:top w:val="single" w:color="auto" w:sz="4" w:space="0"/>
              <w:left w:val="single" w:color="auto" w:sz="4" w:space="0"/>
              <w:bottom w:val="single" w:color="auto" w:sz="4" w:space="0"/>
              <w:right w:val="single" w:color="auto" w:sz="4" w:space="0"/>
            </w:tcBorders>
            <w:vAlign w:val="center"/>
          </w:tcPr>
          <w:p w14:paraId="7FE72C4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546" w:type="pct"/>
            <w:tcBorders>
              <w:top w:val="single" w:color="auto" w:sz="4" w:space="0"/>
              <w:left w:val="single" w:color="auto" w:sz="4" w:space="0"/>
              <w:bottom w:val="single" w:color="auto" w:sz="4" w:space="0"/>
              <w:right w:val="single" w:color="auto" w:sz="4" w:space="0"/>
            </w:tcBorders>
            <w:vAlign w:val="center"/>
          </w:tcPr>
          <w:p w14:paraId="413E618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未培训上岗，每人次扣1分；违反工作制度，每人次扣1分；服务态度不好，引起师生投诉，每人次扣2分。</w:t>
            </w:r>
          </w:p>
        </w:tc>
        <w:tc>
          <w:tcPr>
            <w:tcW w:w="412" w:type="pct"/>
            <w:tcBorders>
              <w:top w:val="single" w:color="auto" w:sz="4" w:space="0"/>
              <w:left w:val="single" w:color="auto" w:sz="4" w:space="0"/>
              <w:bottom w:val="single" w:color="auto" w:sz="4" w:space="0"/>
              <w:right w:val="single" w:color="auto" w:sz="4" w:space="0"/>
            </w:tcBorders>
            <w:vAlign w:val="center"/>
          </w:tcPr>
          <w:p w14:paraId="21A9A28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9E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E7523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巡查管理及报告制度落实情况</w:t>
            </w:r>
          </w:p>
        </w:tc>
        <w:tc>
          <w:tcPr>
            <w:tcW w:w="393" w:type="pct"/>
            <w:tcBorders>
              <w:top w:val="single" w:color="auto" w:sz="4" w:space="0"/>
              <w:left w:val="single" w:color="auto" w:sz="4" w:space="0"/>
              <w:bottom w:val="single" w:color="auto" w:sz="4" w:space="0"/>
              <w:right w:val="single" w:color="auto" w:sz="4" w:space="0"/>
            </w:tcBorders>
            <w:vAlign w:val="center"/>
          </w:tcPr>
          <w:p w14:paraId="6A8DA00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46" w:type="pct"/>
            <w:tcBorders>
              <w:top w:val="single" w:color="auto" w:sz="4" w:space="0"/>
              <w:left w:val="single" w:color="auto" w:sz="4" w:space="0"/>
              <w:bottom w:val="single" w:color="auto" w:sz="4" w:space="0"/>
              <w:right w:val="single" w:color="auto" w:sz="4" w:space="0"/>
            </w:tcBorders>
            <w:vAlign w:val="center"/>
          </w:tcPr>
          <w:p w14:paraId="085C24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未安排巡查或巡查不力未发现问题，每次扣0.5分；发现问题不及时报告每次扣0.5分；因巡查、报告不及时造成一定损失或影响的，扣2分。</w:t>
            </w:r>
          </w:p>
        </w:tc>
        <w:tc>
          <w:tcPr>
            <w:tcW w:w="412" w:type="pct"/>
            <w:tcBorders>
              <w:top w:val="single" w:color="auto" w:sz="4" w:space="0"/>
              <w:left w:val="single" w:color="auto" w:sz="4" w:space="0"/>
              <w:bottom w:val="single" w:color="auto" w:sz="4" w:space="0"/>
              <w:right w:val="single" w:color="auto" w:sz="4" w:space="0"/>
            </w:tcBorders>
            <w:vAlign w:val="center"/>
          </w:tcPr>
          <w:p w14:paraId="0BE50A3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56D6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46CA3C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有完善的月度工作计划并分区落实到人。</w:t>
            </w:r>
          </w:p>
        </w:tc>
        <w:tc>
          <w:tcPr>
            <w:tcW w:w="393" w:type="pct"/>
            <w:tcBorders>
              <w:top w:val="single" w:color="auto" w:sz="4" w:space="0"/>
              <w:left w:val="single" w:color="auto" w:sz="4" w:space="0"/>
              <w:bottom w:val="single" w:color="auto" w:sz="4" w:space="0"/>
              <w:right w:val="single" w:color="auto" w:sz="4" w:space="0"/>
            </w:tcBorders>
            <w:vAlign w:val="center"/>
          </w:tcPr>
          <w:p w14:paraId="3F30EA2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46" w:type="pct"/>
            <w:tcBorders>
              <w:top w:val="single" w:color="auto" w:sz="4" w:space="0"/>
              <w:left w:val="single" w:color="auto" w:sz="4" w:space="0"/>
              <w:bottom w:val="single" w:color="auto" w:sz="4" w:space="0"/>
              <w:right w:val="single" w:color="auto" w:sz="4" w:space="0"/>
            </w:tcBorders>
            <w:vAlign w:val="center"/>
          </w:tcPr>
          <w:p w14:paraId="1F2DA5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没有月度工作计划扣3分，工作计划未落实每项扣1分。</w:t>
            </w:r>
          </w:p>
        </w:tc>
        <w:tc>
          <w:tcPr>
            <w:tcW w:w="412" w:type="pct"/>
            <w:tcBorders>
              <w:top w:val="single" w:color="auto" w:sz="4" w:space="0"/>
              <w:left w:val="single" w:color="auto" w:sz="4" w:space="0"/>
              <w:bottom w:val="single" w:color="auto" w:sz="4" w:space="0"/>
              <w:right w:val="single" w:color="auto" w:sz="4" w:space="0"/>
            </w:tcBorders>
            <w:vAlign w:val="center"/>
          </w:tcPr>
          <w:p w14:paraId="5D65B82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08D2D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CDA70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3" w:type="pct"/>
            <w:tcBorders>
              <w:top w:val="single" w:color="auto" w:sz="4" w:space="0"/>
              <w:left w:val="single" w:color="auto" w:sz="4" w:space="0"/>
              <w:bottom w:val="single" w:color="auto" w:sz="4" w:space="0"/>
              <w:right w:val="single" w:color="auto" w:sz="4" w:space="0"/>
            </w:tcBorders>
            <w:vAlign w:val="center"/>
          </w:tcPr>
          <w:p w14:paraId="69B8B0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305ED6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412" w:type="pct"/>
            <w:tcBorders>
              <w:top w:val="single" w:color="auto" w:sz="4" w:space="0"/>
              <w:left w:val="single" w:color="auto" w:sz="4" w:space="0"/>
              <w:bottom w:val="single" w:color="auto" w:sz="4" w:space="0"/>
              <w:right w:val="single" w:color="auto" w:sz="4" w:space="0"/>
            </w:tcBorders>
            <w:vAlign w:val="center"/>
          </w:tcPr>
          <w:p w14:paraId="260ABB21">
            <w:pPr>
              <w:jc w:val="center"/>
              <w:rPr>
                <w:rFonts w:hint="eastAsia" w:ascii="宋体" w:hAnsi="宋体" w:eastAsia="宋体" w:cs="宋体"/>
                <w:color w:val="auto"/>
                <w:sz w:val="21"/>
                <w:szCs w:val="21"/>
                <w:highlight w:val="none"/>
              </w:rPr>
            </w:pPr>
          </w:p>
        </w:tc>
      </w:tr>
      <w:tr w14:paraId="5431A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DD3D221">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二、安全保卫管理（70分）</w:t>
            </w:r>
          </w:p>
        </w:tc>
      </w:tr>
      <w:tr w14:paraId="5E6A0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B76F30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门岗及日常巡逻要严格遵守工作职责，对进出校门的人员、车辆、物资要进行查询、验证、登记；做好大件贵重物品出门的核查工作，对进出及停放园区内车辆进行规范有效管理，园外车辆（含电瓶车）未经允许不得进入园区。</w:t>
            </w:r>
          </w:p>
        </w:tc>
        <w:tc>
          <w:tcPr>
            <w:tcW w:w="393" w:type="pct"/>
            <w:tcBorders>
              <w:top w:val="single" w:color="auto" w:sz="4" w:space="0"/>
              <w:left w:val="single" w:color="auto" w:sz="4" w:space="0"/>
              <w:bottom w:val="single" w:color="auto" w:sz="4" w:space="0"/>
              <w:right w:val="single" w:color="auto" w:sz="4" w:space="0"/>
            </w:tcBorders>
            <w:vAlign w:val="center"/>
          </w:tcPr>
          <w:p w14:paraId="574CFF7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575D8F7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对进出园区的人员、车辆、物资进行查询、验证、登记的，每一次扣1分；校园内车辆管理无序，出现阻碍正常通行，占用消防通道或违停不及时处理的，每一次扣1分，未经允许的园区车辆（含电瓶车）进入园区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7F90855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F818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0F7B8E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日常巡逻须加强对园区内水域的安全管理，每日巡逻频次不低于4次，按规定巡逻路线及巡逻点巡逻，发现安全隐患或突发情况及时处理并汇报。</w:t>
            </w:r>
          </w:p>
        </w:tc>
        <w:tc>
          <w:tcPr>
            <w:tcW w:w="393" w:type="pct"/>
            <w:tcBorders>
              <w:top w:val="single" w:color="auto" w:sz="4" w:space="0"/>
              <w:left w:val="single" w:color="auto" w:sz="4" w:space="0"/>
              <w:bottom w:val="single" w:color="auto" w:sz="4" w:space="0"/>
              <w:right w:val="single" w:color="auto" w:sz="4" w:space="0"/>
            </w:tcBorders>
            <w:vAlign w:val="center"/>
          </w:tcPr>
          <w:p w14:paraId="45F1574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56E78AB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日常巡逻频次低于4次，或不按巡逻路线巡逻，或发现安全隐患、突发情况不及时处理并汇报的，每一次扣1分。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609D0AE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873D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23547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严格按规范做好消防监控中心值班服务，持证上岗，受理园区接报警电话，做好接报警记录，熟悉安防、消防（包括但不限于治安、防火、防盗、交通事故及紧急求助等）紧急事务处置流程，充分发挥总控中心的中枢作用，做到信息畅通，响应快速，处置得当。</w:t>
            </w:r>
          </w:p>
        </w:tc>
        <w:tc>
          <w:tcPr>
            <w:tcW w:w="393" w:type="pct"/>
            <w:tcBorders>
              <w:top w:val="single" w:color="auto" w:sz="4" w:space="0"/>
              <w:left w:val="single" w:color="auto" w:sz="4" w:space="0"/>
              <w:bottom w:val="single" w:color="auto" w:sz="4" w:space="0"/>
              <w:right w:val="single" w:color="auto" w:sz="4" w:space="0"/>
            </w:tcBorders>
            <w:vAlign w:val="center"/>
          </w:tcPr>
          <w:p w14:paraId="79A417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26C758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未严格按照持证24小时值守的，每一次扣1分。受理园区报警电话不及时处理并汇报的，每一次扣1分。出现紧急事务不按规范流程处置，或响应不及时的，每一次扣1分。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728457AD">
            <w:pPr>
              <w:ind w:firstLine="48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158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12D112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现行消防技术规范对疏散指示、应急照明、灭火器、室内外消火栓、水泵接合器、防火门、消防安全标识以及安防消防相关系统等进行定期巡查与维护，消防水管网检查，做好记录，发现故障或缺失等安全隐患，及时处理。并制定突发火灾的应急预案，并做好消防应急演练。</w:t>
            </w:r>
          </w:p>
        </w:tc>
        <w:tc>
          <w:tcPr>
            <w:tcW w:w="393" w:type="pct"/>
            <w:tcBorders>
              <w:top w:val="single" w:color="auto" w:sz="4" w:space="0"/>
              <w:left w:val="single" w:color="auto" w:sz="4" w:space="0"/>
              <w:bottom w:val="single" w:color="auto" w:sz="4" w:space="0"/>
              <w:right w:val="single" w:color="auto" w:sz="4" w:space="0"/>
            </w:tcBorders>
            <w:vAlign w:val="center"/>
          </w:tcPr>
          <w:p w14:paraId="1EB98EE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7B3603E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未按现行规范做好消防设备设施、标识、系统等的定期巡查和维护并记录的，每一次扣1分。未制定火灾应急预案并做好消防应急演练的，每一次扣1分。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13178761">
            <w:pPr>
              <w:ind w:firstLine="480"/>
              <w:jc w:val="center"/>
              <w:rPr>
                <w:rFonts w:hint="eastAsia" w:ascii="宋体" w:hAnsi="宋体" w:eastAsia="宋体" w:cs="宋体"/>
                <w:color w:val="auto"/>
                <w:sz w:val="21"/>
                <w:szCs w:val="21"/>
                <w:highlight w:val="none"/>
              </w:rPr>
            </w:pPr>
          </w:p>
        </w:tc>
      </w:tr>
      <w:tr w14:paraId="5AB96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AE0144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如遇崖州湾科教园有重大活动或创建项目活动应无条件服从崖州湾科教园安排，安保级别由崖州湾科教园根据活动性质和要求核定，物业企业负责做好安保、消防、交通方案及现场秩序管理工作。</w:t>
            </w:r>
          </w:p>
        </w:tc>
        <w:tc>
          <w:tcPr>
            <w:tcW w:w="393" w:type="pct"/>
            <w:tcBorders>
              <w:top w:val="single" w:color="auto" w:sz="4" w:space="0"/>
              <w:left w:val="single" w:color="auto" w:sz="4" w:space="0"/>
              <w:bottom w:val="single" w:color="auto" w:sz="4" w:space="0"/>
              <w:right w:val="single" w:color="auto" w:sz="4" w:space="0"/>
            </w:tcBorders>
            <w:vAlign w:val="center"/>
          </w:tcPr>
          <w:p w14:paraId="37E50CF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7023DFA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未按崖州湾科教园安排，做好重大活动或创建活动安保、消防、交通及现场秩序管理的，每一次扣1分。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4B8C18A5">
            <w:pPr>
              <w:ind w:firstLine="480"/>
              <w:jc w:val="center"/>
              <w:rPr>
                <w:rFonts w:hint="eastAsia" w:ascii="宋体" w:hAnsi="宋体" w:eastAsia="宋体" w:cs="宋体"/>
                <w:color w:val="auto"/>
                <w:sz w:val="21"/>
                <w:szCs w:val="21"/>
                <w:highlight w:val="none"/>
              </w:rPr>
            </w:pPr>
          </w:p>
        </w:tc>
      </w:tr>
      <w:tr w14:paraId="5EBC7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2AF81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按要求做好防洪防汛防台风工作，定期对防汛力量和物资进行清点检查，定时维护；编制防汛应急演练，组织有关人员学习演练；做好各类突发事件的应急处理预案和演练。</w:t>
            </w:r>
          </w:p>
        </w:tc>
        <w:tc>
          <w:tcPr>
            <w:tcW w:w="393" w:type="pct"/>
            <w:tcBorders>
              <w:top w:val="single" w:color="auto" w:sz="4" w:space="0"/>
              <w:left w:val="single" w:color="auto" w:sz="4" w:space="0"/>
              <w:bottom w:val="single" w:color="auto" w:sz="4" w:space="0"/>
              <w:right w:val="single" w:color="auto" w:sz="4" w:space="0"/>
            </w:tcBorders>
            <w:vAlign w:val="center"/>
          </w:tcPr>
          <w:p w14:paraId="240170D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546" w:type="pct"/>
            <w:tcBorders>
              <w:top w:val="single" w:color="auto" w:sz="4" w:space="0"/>
              <w:left w:val="single" w:color="auto" w:sz="4" w:space="0"/>
              <w:bottom w:val="single" w:color="auto" w:sz="4" w:space="0"/>
              <w:right w:val="single" w:color="auto" w:sz="4" w:space="0"/>
            </w:tcBorders>
            <w:vAlign w:val="center"/>
          </w:tcPr>
          <w:p w14:paraId="0C2E679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未定期对防汛力量和物资进行清点检查，定时维护的。每一次扣1分。无应急处理预案，未组织有关人员进行各类突发事件应急处理演练的，每一次扣1分。</w:t>
            </w:r>
          </w:p>
        </w:tc>
        <w:tc>
          <w:tcPr>
            <w:tcW w:w="412" w:type="pct"/>
            <w:tcBorders>
              <w:top w:val="single" w:color="auto" w:sz="4" w:space="0"/>
              <w:left w:val="single" w:color="auto" w:sz="4" w:space="0"/>
              <w:bottom w:val="single" w:color="auto" w:sz="4" w:space="0"/>
              <w:right w:val="single" w:color="auto" w:sz="4" w:space="0"/>
            </w:tcBorders>
            <w:vAlign w:val="center"/>
          </w:tcPr>
          <w:p w14:paraId="524DC9DB">
            <w:pPr>
              <w:ind w:firstLine="480"/>
              <w:jc w:val="center"/>
              <w:rPr>
                <w:rFonts w:hint="eastAsia" w:ascii="宋体" w:hAnsi="宋体" w:eastAsia="宋体" w:cs="宋体"/>
                <w:color w:val="auto"/>
                <w:sz w:val="21"/>
                <w:szCs w:val="21"/>
                <w:highlight w:val="none"/>
              </w:rPr>
            </w:pPr>
          </w:p>
        </w:tc>
      </w:tr>
      <w:tr w14:paraId="5CE55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490C2D2">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协助园业主做好治安防范，文明执勤、训练有素，机动灵活，言语规范，认真履行职责。 </w:t>
            </w:r>
          </w:p>
        </w:tc>
        <w:tc>
          <w:tcPr>
            <w:tcW w:w="393" w:type="pct"/>
            <w:tcBorders>
              <w:top w:val="single" w:color="auto" w:sz="4" w:space="0"/>
              <w:left w:val="single" w:color="auto" w:sz="4" w:space="0"/>
              <w:bottom w:val="single" w:color="auto" w:sz="4" w:space="0"/>
              <w:right w:val="single" w:color="auto" w:sz="4" w:space="0"/>
            </w:tcBorders>
            <w:vAlign w:val="center"/>
          </w:tcPr>
          <w:p w14:paraId="394826C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7A7BC83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值班及巡逻记录等不规范每次扣0.1分，着装不整，礼貌不好影响形象，均扣0.2分，发生对保安的投诉核查属实，每次扣1分。</w:t>
            </w:r>
          </w:p>
        </w:tc>
        <w:tc>
          <w:tcPr>
            <w:tcW w:w="412" w:type="pct"/>
            <w:tcBorders>
              <w:top w:val="single" w:color="auto" w:sz="4" w:space="0"/>
              <w:left w:val="single" w:color="auto" w:sz="4" w:space="0"/>
              <w:bottom w:val="single" w:color="auto" w:sz="4" w:space="0"/>
              <w:right w:val="single" w:color="auto" w:sz="4" w:space="0"/>
            </w:tcBorders>
            <w:vAlign w:val="center"/>
          </w:tcPr>
          <w:p w14:paraId="5E9115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85D1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50C4D1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发生治安事件，及时</w:t>
            </w:r>
            <w:r>
              <w:rPr>
                <w:rFonts w:hint="eastAsia" w:ascii="宋体" w:hAnsi="宋体" w:eastAsia="宋体" w:cs="宋体"/>
                <w:color w:val="auto"/>
                <w:szCs w:val="21"/>
                <w:highlight w:val="none"/>
              </w:rPr>
              <w:t>向管委会及入驻学院</w:t>
            </w:r>
            <w:r>
              <w:rPr>
                <w:rFonts w:hint="eastAsia" w:ascii="宋体" w:hAnsi="宋体" w:eastAsia="宋体" w:cs="宋体"/>
                <w:color w:val="auto"/>
                <w:sz w:val="21"/>
                <w:szCs w:val="21"/>
                <w:highlight w:val="none"/>
              </w:rPr>
              <w:t>相关部门</w:t>
            </w:r>
            <w:r>
              <w:rPr>
                <w:rFonts w:hint="eastAsia" w:ascii="宋体" w:hAnsi="宋体" w:eastAsia="宋体" w:cs="宋体"/>
                <w:color w:val="auto"/>
                <w:szCs w:val="21"/>
                <w:highlight w:val="none"/>
              </w:rPr>
              <w:t>报告</w:t>
            </w:r>
            <w:r>
              <w:rPr>
                <w:rFonts w:hint="eastAsia" w:ascii="宋体" w:hAnsi="宋体" w:eastAsia="宋体" w:cs="宋体"/>
                <w:color w:val="auto"/>
                <w:sz w:val="21"/>
                <w:szCs w:val="21"/>
                <w:highlight w:val="none"/>
              </w:rPr>
              <w:t>。</w:t>
            </w:r>
          </w:p>
        </w:tc>
        <w:tc>
          <w:tcPr>
            <w:tcW w:w="393" w:type="pct"/>
            <w:tcBorders>
              <w:top w:val="single" w:color="auto" w:sz="4" w:space="0"/>
              <w:left w:val="single" w:color="auto" w:sz="4" w:space="0"/>
              <w:bottom w:val="single" w:color="auto" w:sz="4" w:space="0"/>
              <w:right w:val="single" w:color="auto" w:sz="4" w:space="0"/>
            </w:tcBorders>
            <w:vAlign w:val="center"/>
          </w:tcPr>
          <w:p w14:paraId="08C844E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46" w:type="pct"/>
            <w:tcBorders>
              <w:top w:val="single" w:color="auto" w:sz="4" w:space="0"/>
              <w:left w:val="single" w:color="auto" w:sz="4" w:space="0"/>
              <w:bottom w:val="single" w:color="auto" w:sz="4" w:space="0"/>
              <w:right w:val="single" w:color="auto" w:sz="4" w:space="0"/>
            </w:tcBorders>
            <w:vAlign w:val="center"/>
          </w:tcPr>
          <w:p w14:paraId="2683CD64">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报告不及时，扣0.2分；隐瞒不报，一次扣0.5分。 </w:t>
            </w:r>
          </w:p>
        </w:tc>
        <w:tc>
          <w:tcPr>
            <w:tcW w:w="412" w:type="pct"/>
            <w:tcBorders>
              <w:top w:val="single" w:color="auto" w:sz="4" w:space="0"/>
              <w:left w:val="single" w:color="auto" w:sz="4" w:space="0"/>
              <w:bottom w:val="single" w:color="auto" w:sz="4" w:space="0"/>
              <w:right w:val="single" w:color="auto" w:sz="4" w:space="0"/>
            </w:tcBorders>
            <w:vAlign w:val="center"/>
          </w:tcPr>
          <w:p w14:paraId="33E68021">
            <w:pPr>
              <w:jc w:val="center"/>
              <w:rPr>
                <w:rFonts w:hint="eastAsia" w:ascii="宋体" w:hAnsi="宋体" w:eastAsia="宋体" w:cs="宋体"/>
                <w:color w:val="auto"/>
                <w:sz w:val="21"/>
                <w:szCs w:val="21"/>
                <w:highlight w:val="none"/>
              </w:rPr>
            </w:pPr>
          </w:p>
        </w:tc>
      </w:tr>
      <w:tr w14:paraId="4260D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608AE9E">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容易危及人身安全的设施设备有明显警示标志和防范措施。 </w:t>
            </w:r>
          </w:p>
        </w:tc>
        <w:tc>
          <w:tcPr>
            <w:tcW w:w="393" w:type="pct"/>
            <w:tcBorders>
              <w:top w:val="single" w:color="auto" w:sz="4" w:space="0"/>
              <w:left w:val="single" w:color="auto" w:sz="4" w:space="0"/>
              <w:bottom w:val="single" w:color="auto" w:sz="4" w:space="0"/>
              <w:right w:val="single" w:color="auto" w:sz="4" w:space="0"/>
            </w:tcBorders>
            <w:vAlign w:val="center"/>
          </w:tcPr>
          <w:p w14:paraId="3C5D7D9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46" w:type="pct"/>
            <w:tcBorders>
              <w:top w:val="single" w:color="auto" w:sz="4" w:space="0"/>
              <w:left w:val="single" w:color="auto" w:sz="4" w:space="0"/>
              <w:bottom w:val="single" w:color="auto" w:sz="4" w:space="0"/>
              <w:right w:val="single" w:color="auto" w:sz="4" w:space="0"/>
            </w:tcBorders>
            <w:vAlign w:val="center"/>
          </w:tcPr>
          <w:p w14:paraId="543BDEDD">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无标志和防范措施，每发现一处扣0.2分 。</w:t>
            </w:r>
          </w:p>
        </w:tc>
        <w:tc>
          <w:tcPr>
            <w:tcW w:w="412" w:type="pct"/>
            <w:tcBorders>
              <w:top w:val="single" w:color="auto" w:sz="4" w:space="0"/>
              <w:left w:val="single" w:color="auto" w:sz="4" w:space="0"/>
              <w:bottom w:val="single" w:color="auto" w:sz="4" w:space="0"/>
              <w:right w:val="single" w:color="auto" w:sz="4" w:space="0"/>
            </w:tcBorders>
            <w:vAlign w:val="center"/>
          </w:tcPr>
          <w:p w14:paraId="3849DBC2">
            <w:pPr>
              <w:jc w:val="center"/>
              <w:rPr>
                <w:rFonts w:hint="eastAsia" w:ascii="宋体" w:hAnsi="宋体" w:eastAsia="宋体" w:cs="宋体"/>
                <w:color w:val="auto"/>
                <w:sz w:val="21"/>
                <w:szCs w:val="21"/>
                <w:highlight w:val="none"/>
              </w:rPr>
            </w:pPr>
          </w:p>
        </w:tc>
      </w:tr>
      <w:tr w14:paraId="3EA3DD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E5BBCCF">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交通秩序良好，汽车、单车停放整齐。</w:t>
            </w:r>
          </w:p>
        </w:tc>
        <w:tc>
          <w:tcPr>
            <w:tcW w:w="393" w:type="pct"/>
            <w:tcBorders>
              <w:top w:val="single" w:color="auto" w:sz="4" w:space="0"/>
              <w:left w:val="single" w:color="auto" w:sz="4" w:space="0"/>
              <w:bottom w:val="single" w:color="auto" w:sz="4" w:space="0"/>
              <w:right w:val="single" w:color="auto" w:sz="4" w:space="0"/>
            </w:tcBorders>
            <w:vAlign w:val="center"/>
          </w:tcPr>
          <w:p w14:paraId="0432774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46" w:type="pct"/>
            <w:tcBorders>
              <w:top w:val="single" w:color="auto" w:sz="4" w:space="0"/>
              <w:left w:val="single" w:color="auto" w:sz="4" w:space="0"/>
              <w:bottom w:val="single" w:color="auto" w:sz="4" w:space="0"/>
              <w:right w:val="single" w:color="auto" w:sz="4" w:space="0"/>
            </w:tcBorders>
            <w:vAlign w:val="center"/>
          </w:tcPr>
          <w:p w14:paraId="012007AE">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交通秩序混乱每次扣0.5分；汽车、单车停放不整齐每次扣0.1分</w:t>
            </w:r>
          </w:p>
        </w:tc>
        <w:tc>
          <w:tcPr>
            <w:tcW w:w="412" w:type="pct"/>
            <w:tcBorders>
              <w:top w:val="single" w:color="auto" w:sz="4" w:space="0"/>
              <w:left w:val="single" w:color="auto" w:sz="4" w:space="0"/>
              <w:bottom w:val="single" w:color="auto" w:sz="4" w:space="0"/>
              <w:right w:val="single" w:color="auto" w:sz="4" w:space="0"/>
            </w:tcBorders>
            <w:vAlign w:val="center"/>
          </w:tcPr>
          <w:p w14:paraId="61D29D86">
            <w:pPr>
              <w:jc w:val="center"/>
              <w:rPr>
                <w:rFonts w:hint="eastAsia" w:ascii="宋体" w:hAnsi="宋体" w:eastAsia="宋体" w:cs="宋体"/>
                <w:color w:val="auto"/>
                <w:sz w:val="21"/>
                <w:szCs w:val="21"/>
                <w:highlight w:val="none"/>
              </w:rPr>
            </w:pPr>
          </w:p>
        </w:tc>
      </w:tr>
      <w:tr w14:paraId="15F7D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F2202B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5F6C2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A478611">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667075FD">
      <w:pPr>
        <w:pStyle w:val="9"/>
        <w:spacing w:after="0" w:line="240" w:lineRule="auto"/>
        <w:rPr>
          <w:rFonts w:hint="eastAsia" w:ascii="宋体" w:hAnsi="宋体" w:eastAsia="宋体" w:cs="宋体"/>
          <w:color w:val="auto"/>
          <w:highlight w:val="none"/>
        </w:rPr>
      </w:pPr>
    </w:p>
    <w:p w14:paraId="6B1D8EA5">
      <w:pPr>
        <w:pStyle w:val="4"/>
        <w:spacing w:before="0" w:beforeAutospacing="0" w:after="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（二）维修管理服务（</w:t>
      </w:r>
      <w:r>
        <w:rPr>
          <w:rFonts w:hint="eastAsia" w:ascii="宋体" w:hAnsi="宋体" w:eastAsia="宋体" w:cs="宋体"/>
          <w:color w:val="auto"/>
          <w:szCs w:val="28"/>
          <w:highlight w:val="none"/>
        </w:rPr>
        <w:t>100分）</w:t>
      </w:r>
    </w:p>
    <w:tbl>
      <w:tblPr>
        <w:tblStyle w:val="10"/>
        <w:tblW w:w="505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59"/>
        <w:gridCol w:w="677"/>
        <w:gridCol w:w="2713"/>
        <w:gridCol w:w="663"/>
      </w:tblGrid>
      <w:tr w14:paraId="0C6F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A195D1E">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3" w:type="pct"/>
            <w:tcBorders>
              <w:top w:val="single" w:color="auto" w:sz="4" w:space="0"/>
              <w:left w:val="single" w:color="auto" w:sz="4" w:space="0"/>
              <w:bottom w:val="single" w:color="auto" w:sz="4" w:space="0"/>
              <w:right w:val="single" w:color="auto" w:sz="4" w:space="0"/>
            </w:tcBorders>
            <w:vAlign w:val="center"/>
          </w:tcPr>
          <w:p w14:paraId="52543B0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575" w:type="pct"/>
            <w:tcBorders>
              <w:top w:val="single" w:color="auto" w:sz="4" w:space="0"/>
              <w:left w:val="single" w:color="auto" w:sz="4" w:space="0"/>
              <w:bottom w:val="single" w:color="auto" w:sz="4" w:space="0"/>
              <w:right w:val="single" w:color="auto" w:sz="4" w:space="0"/>
            </w:tcBorders>
            <w:vAlign w:val="center"/>
          </w:tcPr>
          <w:p w14:paraId="32287B1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384" w:type="pct"/>
            <w:tcBorders>
              <w:top w:val="single" w:color="auto" w:sz="4" w:space="0"/>
              <w:left w:val="single" w:color="auto" w:sz="4" w:space="0"/>
              <w:bottom w:val="single" w:color="auto" w:sz="4" w:space="0"/>
              <w:right w:val="single" w:color="auto" w:sz="4" w:space="0"/>
            </w:tcBorders>
            <w:vAlign w:val="center"/>
          </w:tcPr>
          <w:p w14:paraId="2905AEB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6FD398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54669480">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一、管理总则（20分）</w:t>
            </w:r>
          </w:p>
        </w:tc>
      </w:tr>
      <w:tr w14:paraId="51C1D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2C70D7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管理人员资质要求：主管要求有从事本行业3年及以上；所有维修人员，应有专业技术职称及上岗证（包括电工证、特种作业操作证、电梯安全管理员证等）。 </w:t>
            </w:r>
          </w:p>
        </w:tc>
        <w:tc>
          <w:tcPr>
            <w:tcW w:w="393" w:type="pct"/>
            <w:tcBorders>
              <w:top w:val="single" w:color="auto" w:sz="4" w:space="0"/>
              <w:left w:val="single" w:color="auto" w:sz="4" w:space="0"/>
              <w:bottom w:val="single" w:color="auto" w:sz="4" w:space="0"/>
              <w:right w:val="single" w:color="auto" w:sz="4" w:space="0"/>
            </w:tcBorders>
            <w:vAlign w:val="center"/>
          </w:tcPr>
          <w:p w14:paraId="01F0C2D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39E04E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达不到要求或没有上岗证书，每人扣0.5分。</w:t>
            </w:r>
          </w:p>
        </w:tc>
        <w:tc>
          <w:tcPr>
            <w:tcW w:w="384" w:type="pct"/>
            <w:tcBorders>
              <w:top w:val="single" w:color="auto" w:sz="4" w:space="0"/>
              <w:left w:val="single" w:color="auto" w:sz="4" w:space="0"/>
              <w:bottom w:val="single" w:color="auto" w:sz="4" w:space="0"/>
              <w:right w:val="single" w:color="auto" w:sz="4" w:space="0"/>
            </w:tcBorders>
            <w:vAlign w:val="center"/>
          </w:tcPr>
          <w:p w14:paraId="6FC3500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5821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444E4A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楼宇设备管理制度和标准完善（包括：工作签到制度和工作质量考核制度，值班表，管理人员的联系方式等）。</w:t>
            </w:r>
          </w:p>
        </w:tc>
        <w:tc>
          <w:tcPr>
            <w:tcW w:w="393" w:type="pct"/>
            <w:tcBorders>
              <w:top w:val="single" w:color="auto" w:sz="4" w:space="0"/>
              <w:left w:val="single" w:color="auto" w:sz="4" w:space="0"/>
              <w:bottom w:val="single" w:color="auto" w:sz="4" w:space="0"/>
              <w:right w:val="single" w:color="auto" w:sz="4" w:space="0"/>
            </w:tcBorders>
            <w:vAlign w:val="center"/>
          </w:tcPr>
          <w:p w14:paraId="447996A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25F0B4A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未建立档案、资料扣2分；资料不完整、不清晰，扣0.5分。</w:t>
            </w:r>
          </w:p>
        </w:tc>
        <w:tc>
          <w:tcPr>
            <w:tcW w:w="384" w:type="pct"/>
            <w:tcBorders>
              <w:top w:val="single" w:color="auto" w:sz="4" w:space="0"/>
              <w:left w:val="single" w:color="auto" w:sz="4" w:space="0"/>
              <w:bottom w:val="single" w:color="auto" w:sz="4" w:space="0"/>
              <w:right w:val="single" w:color="auto" w:sz="4" w:space="0"/>
            </w:tcBorders>
            <w:vAlign w:val="center"/>
          </w:tcPr>
          <w:p w14:paraId="7F547A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3D0EC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50981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档案、资料（包括：建筑物资料、机电设备资料、维修登记表、设备运行登记表、施工管理登记表、应急管理预案等；要求台账完整、清晰，有年度、季度、月度保养及维修计划，运行、保养、维修记录及回访记录完整等）。</w:t>
            </w:r>
          </w:p>
        </w:tc>
        <w:tc>
          <w:tcPr>
            <w:tcW w:w="393" w:type="pct"/>
            <w:tcBorders>
              <w:top w:val="single" w:color="auto" w:sz="4" w:space="0"/>
              <w:left w:val="single" w:color="auto" w:sz="4" w:space="0"/>
              <w:bottom w:val="single" w:color="auto" w:sz="4" w:space="0"/>
              <w:right w:val="single" w:color="auto" w:sz="4" w:space="0"/>
            </w:tcBorders>
            <w:vAlign w:val="center"/>
          </w:tcPr>
          <w:p w14:paraId="7B0BC1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4CE14D9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未建立管理制度及标准，扣2分；制度及标准、方案不完整、清晰，扣0.5分。</w:t>
            </w:r>
          </w:p>
        </w:tc>
        <w:tc>
          <w:tcPr>
            <w:tcW w:w="384" w:type="pct"/>
            <w:tcBorders>
              <w:top w:val="single" w:color="auto" w:sz="4" w:space="0"/>
              <w:left w:val="single" w:color="auto" w:sz="4" w:space="0"/>
              <w:bottom w:val="single" w:color="auto" w:sz="4" w:space="0"/>
              <w:right w:val="single" w:color="auto" w:sz="4" w:space="0"/>
            </w:tcBorders>
            <w:vAlign w:val="center"/>
          </w:tcPr>
          <w:p w14:paraId="555D21B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4CF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DD21AE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上岗培训、工作态度、职业操守、服务态度。</w:t>
            </w:r>
          </w:p>
        </w:tc>
        <w:tc>
          <w:tcPr>
            <w:tcW w:w="393" w:type="pct"/>
            <w:tcBorders>
              <w:top w:val="single" w:color="auto" w:sz="4" w:space="0"/>
              <w:left w:val="single" w:color="auto" w:sz="4" w:space="0"/>
              <w:bottom w:val="single" w:color="auto" w:sz="4" w:space="0"/>
              <w:right w:val="single" w:color="auto" w:sz="4" w:space="0"/>
            </w:tcBorders>
            <w:vAlign w:val="center"/>
          </w:tcPr>
          <w:p w14:paraId="63C4CF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0E351D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未培训上岗，每人次扣0.5分；违反工作制度，每人次扣0.5分；违反职业操守，每人次扣0.5分；服务态度不好，引起师生投诉，每人次扣2分。</w:t>
            </w:r>
          </w:p>
        </w:tc>
        <w:tc>
          <w:tcPr>
            <w:tcW w:w="384" w:type="pct"/>
            <w:tcBorders>
              <w:top w:val="single" w:color="auto" w:sz="4" w:space="0"/>
              <w:left w:val="single" w:color="auto" w:sz="4" w:space="0"/>
              <w:bottom w:val="single" w:color="auto" w:sz="4" w:space="0"/>
              <w:right w:val="single" w:color="auto" w:sz="4" w:space="0"/>
            </w:tcBorders>
            <w:vAlign w:val="center"/>
          </w:tcPr>
          <w:p w14:paraId="276CDA8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7838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715596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业务能力（业务熟悉程度、处理问题能力）。</w:t>
            </w:r>
          </w:p>
        </w:tc>
        <w:tc>
          <w:tcPr>
            <w:tcW w:w="393" w:type="pct"/>
            <w:tcBorders>
              <w:top w:val="single" w:color="auto" w:sz="4" w:space="0"/>
              <w:left w:val="single" w:color="auto" w:sz="4" w:space="0"/>
              <w:bottom w:val="single" w:color="auto" w:sz="4" w:space="0"/>
              <w:right w:val="single" w:color="auto" w:sz="4" w:space="0"/>
            </w:tcBorders>
            <w:vAlign w:val="center"/>
          </w:tcPr>
          <w:p w14:paraId="4F8E748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6D8AD2C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业务不熟悉，每次扣0.5分；处理问题不力，每次扣0.5分。</w:t>
            </w:r>
          </w:p>
        </w:tc>
        <w:tc>
          <w:tcPr>
            <w:tcW w:w="384" w:type="pct"/>
            <w:tcBorders>
              <w:top w:val="single" w:color="auto" w:sz="4" w:space="0"/>
              <w:left w:val="single" w:color="auto" w:sz="4" w:space="0"/>
              <w:bottom w:val="single" w:color="auto" w:sz="4" w:space="0"/>
              <w:right w:val="single" w:color="auto" w:sz="4" w:space="0"/>
            </w:tcBorders>
            <w:vAlign w:val="center"/>
          </w:tcPr>
          <w:p w14:paraId="4E536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BF0F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9F6D4D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巡查管理及报告制度落实情况。</w:t>
            </w:r>
          </w:p>
        </w:tc>
        <w:tc>
          <w:tcPr>
            <w:tcW w:w="393" w:type="pct"/>
            <w:tcBorders>
              <w:top w:val="single" w:color="auto" w:sz="4" w:space="0"/>
              <w:left w:val="single" w:color="auto" w:sz="4" w:space="0"/>
              <w:bottom w:val="single" w:color="auto" w:sz="4" w:space="0"/>
              <w:right w:val="single" w:color="auto" w:sz="4" w:space="0"/>
            </w:tcBorders>
            <w:vAlign w:val="center"/>
          </w:tcPr>
          <w:p w14:paraId="5EBA429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25FA3E4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未安排巡查或巡查不力未发现问题，每次扣0.5分；发现问题不及时报告每次扣0.5分；因巡查、报告不及时造成一定损失或影响的，扣2分。</w:t>
            </w:r>
          </w:p>
        </w:tc>
        <w:tc>
          <w:tcPr>
            <w:tcW w:w="384" w:type="pct"/>
            <w:tcBorders>
              <w:top w:val="single" w:color="auto" w:sz="4" w:space="0"/>
              <w:left w:val="single" w:color="auto" w:sz="4" w:space="0"/>
              <w:bottom w:val="single" w:color="auto" w:sz="4" w:space="0"/>
              <w:right w:val="single" w:color="auto" w:sz="4" w:space="0"/>
            </w:tcBorders>
            <w:vAlign w:val="center"/>
          </w:tcPr>
          <w:p w14:paraId="0FACF8F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90C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A614F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3" w:type="pct"/>
            <w:tcBorders>
              <w:top w:val="single" w:color="auto" w:sz="4" w:space="0"/>
              <w:left w:val="single" w:color="auto" w:sz="4" w:space="0"/>
              <w:bottom w:val="single" w:color="auto" w:sz="4" w:space="0"/>
              <w:right w:val="single" w:color="auto" w:sz="4" w:space="0"/>
            </w:tcBorders>
            <w:vAlign w:val="center"/>
          </w:tcPr>
          <w:p w14:paraId="5C3180B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7FCAD0A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2CA73E4D">
            <w:pPr>
              <w:rPr>
                <w:rFonts w:hint="eastAsia" w:ascii="宋体" w:hAnsi="宋体" w:eastAsia="宋体" w:cs="宋体"/>
                <w:color w:val="auto"/>
                <w:sz w:val="21"/>
                <w:szCs w:val="21"/>
                <w:highlight w:val="none"/>
              </w:rPr>
            </w:pPr>
          </w:p>
        </w:tc>
      </w:tr>
      <w:tr w14:paraId="60A43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0613437">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二、供电、用电管理（15分）</w:t>
            </w:r>
          </w:p>
        </w:tc>
      </w:tr>
      <w:tr w14:paraId="5D41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627CD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24小时值班（无脱岗现象，运行数据记录完整、真实，按时对分配电房巡查，恶劣天气、夏季高峰负荷时加强供电设施巡视）。</w:t>
            </w:r>
          </w:p>
        </w:tc>
        <w:tc>
          <w:tcPr>
            <w:tcW w:w="393" w:type="pct"/>
            <w:tcBorders>
              <w:top w:val="single" w:color="auto" w:sz="4" w:space="0"/>
              <w:left w:val="single" w:color="auto" w:sz="4" w:space="0"/>
              <w:bottom w:val="single" w:color="auto" w:sz="4" w:space="0"/>
              <w:right w:val="single" w:color="auto" w:sz="4" w:space="0"/>
            </w:tcBorders>
            <w:vAlign w:val="center"/>
          </w:tcPr>
          <w:p w14:paraId="08AD993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718B995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未履行职责，每次扣1分；若后果严重，视严重程度扣1—4分。</w:t>
            </w:r>
          </w:p>
        </w:tc>
        <w:tc>
          <w:tcPr>
            <w:tcW w:w="384" w:type="pct"/>
            <w:tcBorders>
              <w:top w:val="single" w:color="auto" w:sz="4" w:space="0"/>
              <w:left w:val="single" w:color="auto" w:sz="4" w:space="0"/>
              <w:bottom w:val="single" w:color="auto" w:sz="4" w:space="0"/>
              <w:right w:val="single" w:color="auto" w:sz="4" w:space="0"/>
            </w:tcBorders>
            <w:vAlign w:val="center"/>
          </w:tcPr>
          <w:p w14:paraId="4A4A2B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3964A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72F5B4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故障处理（发现故障，及时做应急处理并报采购人处置）。</w:t>
            </w:r>
          </w:p>
        </w:tc>
        <w:tc>
          <w:tcPr>
            <w:tcW w:w="393" w:type="pct"/>
            <w:tcBorders>
              <w:top w:val="single" w:color="auto" w:sz="4" w:space="0"/>
              <w:left w:val="single" w:color="auto" w:sz="4" w:space="0"/>
              <w:bottom w:val="single" w:color="auto" w:sz="4" w:space="0"/>
              <w:right w:val="single" w:color="auto" w:sz="4" w:space="0"/>
            </w:tcBorders>
            <w:vAlign w:val="center"/>
          </w:tcPr>
          <w:p w14:paraId="2708636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1376ED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未按要求处置每次扣1分；若后果严重，视严重程度扣1—4分。</w:t>
            </w:r>
          </w:p>
        </w:tc>
        <w:tc>
          <w:tcPr>
            <w:tcW w:w="384" w:type="pct"/>
            <w:tcBorders>
              <w:top w:val="single" w:color="auto" w:sz="4" w:space="0"/>
              <w:left w:val="single" w:color="auto" w:sz="4" w:space="0"/>
              <w:bottom w:val="single" w:color="auto" w:sz="4" w:space="0"/>
              <w:right w:val="single" w:color="auto" w:sz="4" w:space="0"/>
            </w:tcBorders>
            <w:vAlign w:val="center"/>
          </w:tcPr>
          <w:p w14:paraId="369164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3B98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BD77D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定期巡查供电机用电设备，保证供电系统正常运行。</w:t>
            </w:r>
          </w:p>
        </w:tc>
        <w:tc>
          <w:tcPr>
            <w:tcW w:w="393" w:type="pct"/>
            <w:tcBorders>
              <w:top w:val="single" w:color="auto" w:sz="4" w:space="0"/>
              <w:left w:val="single" w:color="auto" w:sz="4" w:space="0"/>
              <w:bottom w:val="single" w:color="auto" w:sz="4" w:space="0"/>
              <w:right w:val="single" w:color="auto" w:sz="4" w:space="0"/>
            </w:tcBorders>
            <w:vAlign w:val="center"/>
          </w:tcPr>
          <w:p w14:paraId="1B0FD01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141834E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未安排巡查每次扣1分；因管理原因造成供电停电事故，每次扣1分；若后果严重，每次扣2分。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33F42FE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1A1B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789458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路灯照明系统管理（定期巡查、维修）。</w:t>
            </w:r>
          </w:p>
        </w:tc>
        <w:tc>
          <w:tcPr>
            <w:tcW w:w="393" w:type="pct"/>
            <w:tcBorders>
              <w:top w:val="single" w:color="auto" w:sz="4" w:space="0"/>
              <w:left w:val="single" w:color="auto" w:sz="4" w:space="0"/>
              <w:bottom w:val="single" w:color="auto" w:sz="4" w:space="0"/>
              <w:right w:val="single" w:color="auto" w:sz="4" w:space="0"/>
            </w:tcBorders>
            <w:vAlign w:val="center"/>
          </w:tcPr>
          <w:p w14:paraId="3D36B32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2E3AB10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未及时履行职责，主干道路灯不亮超过一天的，每盏路灯扣0.5分；路灯不亮超过一周每盏路灯扣1分。</w:t>
            </w:r>
          </w:p>
        </w:tc>
        <w:tc>
          <w:tcPr>
            <w:tcW w:w="384" w:type="pct"/>
            <w:tcBorders>
              <w:top w:val="single" w:color="auto" w:sz="4" w:space="0"/>
              <w:left w:val="single" w:color="auto" w:sz="4" w:space="0"/>
              <w:bottom w:val="single" w:color="auto" w:sz="4" w:space="0"/>
              <w:right w:val="single" w:color="auto" w:sz="4" w:space="0"/>
            </w:tcBorders>
            <w:vAlign w:val="center"/>
          </w:tcPr>
          <w:p w14:paraId="5E3A77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963A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43B8098">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三、空调系统及设备管理（15分）</w:t>
            </w:r>
          </w:p>
        </w:tc>
      </w:tr>
      <w:tr w14:paraId="73A4A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CCB06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督促维保单位</w:t>
            </w:r>
            <w:r>
              <w:rPr>
                <w:rFonts w:hint="eastAsia" w:ascii="宋体" w:hAnsi="宋体" w:eastAsia="宋体" w:cs="宋体"/>
                <w:color w:val="auto"/>
                <w:szCs w:val="21"/>
                <w:highlight w:val="none"/>
              </w:rPr>
              <w:t>园区内</w:t>
            </w:r>
            <w:r>
              <w:rPr>
                <w:rFonts w:hint="eastAsia" w:ascii="宋体" w:hAnsi="宋体" w:eastAsia="宋体" w:cs="宋体"/>
                <w:color w:val="auto"/>
                <w:sz w:val="21"/>
                <w:szCs w:val="21"/>
                <w:highlight w:val="none"/>
              </w:rPr>
              <w:t>（中央空调）运行管理维护。</w:t>
            </w:r>
          </w:p>
        </w:tc>
        <w:tc>
          <w:tcPr>
            <w:tcW w:w="393" w:type="pct"/>
            <w:tcBorders>
              <w:top w:val="single" w:color="auto" w:sz="4" w:space="0"/>
              <w:left w:val="single" w:color="auto" w:sz="4" w:space="0"/>
              <w:bottom w:val="single" w:color="auto" w:sz="4" w:space="0"/>
              <w:right w:val="single" w:color="auto" w:sz="4" w:space="0"/>
            </w:tcBorders>
            <w:vAlign w:val="center"/>
          </w:tcPr>
          <w:p w14:paraId="0B8B3DC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75" w:type="pct"/>
            <w:tcBorders>
              <w:top w:val="single" w:color="auto" w:sz="4" w:space="0"/>
              <w:left w:val="single" w:color="auto" w:sz="4" w:space="0"/>
              <w:bottom w:val="single" w:color="auto" w:sz="4" w:space="0"/>
              <w:right w:val="single" w:color="auto" w:sz="4" w:space="0"/>
            </w:tcBorders>
            <w:vAlign w:val="center"/>
          </w:tcPr>
          <w:p w14:paraId="07640E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对外委单位进行监督管理，按运行管理要求检查、维护、处理，但未造成影响的，每次扣0.5分；造成一定影响，每次扣1分；造成较大影响（系统故障停空调不超过一天），每次扣1.5分；造成严重影响（停空调超过一天），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7007C5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E44D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D24D3E0">
            <w:pP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园区外委</w:t>
            </w:r>
            <w:r>
              <w:rPr>
                <w:rFonts w:hint="eastAsia" w:ascii="宋体" w:hAnsi="宋体" w:eastAsia="宋体" w:cs="宋体"/>
                <w:color w:val="auto"/>
                <w:sz w:val="21"/>
                <w:szCs w:val="21"/>
                <w:highlight w:val="none"/>
              </w:rPr>
              <w:t>联保的空调运行监督管理。</w:t>
            </w:r>
          </w:p>
        </w:tc>
        <w:tc>
          <w:tcPr>
            <w:tcW w:w="393" w:type="pct"/>
            <w:tcBorders>
              <w:top w:val="single" w:color="auto" w:sz="4" w:space="0"/>
              <w:left w:val="single" w:color="auto" w:sz="4" w:space="0"/>
              <w:bottom w:val="single" w:color="auto" w:sz="4" w:space="0"/>
              <w:right w:val="single" w:color="auto" w:sz="4" w:space="0"/>
            </w:tcBorders>
            <w:vAlign w:val="center"/>
          </w:tcPr>
          <w:p w14:paraId="5645870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575" w:type="pct"/>
            <w:tcBorders>
              <w:top w:val="single" w:color="auto" w:sz="4" w:space="0"/>
              <w:left w:val="single" w:color="auto" w:sz="4" w:space="0"/>
              <w:bottom w:val="single" w:color="auto" w:sz="4" w:space="0"/>
              <w:right w:val="single" w:color="auto" w:sz="4" w:space="0"/>
            </w:tcBorders>
            <w:vAlign w:val="center"/>
          </w:tcPr>
          <w:p w14:paraId="2C9746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发现问题未及时要求检查、维护、处理，但未造成影响的，每处扣1分；造成一定影响（局部停空调、滴水等），每处扣1分；造成较大影响（部分课室停空调），每次扣2分。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122EC01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65BD2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47" w:type="pct"/>
            <w:tcBorders>
              <w:top w:val="single" w:color="auto" w:sz="4" w:space="0"/>
              <w:left w:val="single" w:color="auto" w:sz="4" w:space="0"/>
              <w:bottom w:val="single" w:color="auto" w:sz="4" w:space="0"/>
              <w:right w:val="single" w:color="auto" w:sz="4" w:space="0"/>
            </w:tcBorders>
            <w:vAlign w:val="center"/>
          </w:tcPr>
          <w:p w14:paraId="6757A70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实验楼空调</w:t>
            </w:r>
            <w:r>
              <w:rPr>
                <w:rFonts w:hint="eastAsia" w:ascii="宋体" w:hAnsi="宋体" w:eastAsia="宋体" w:cs="宋体"/>
                <w:color w:val="auto"/>
                <w:szCs w:val="21"/>
                <w:highlight w:val="none"/>
              </w:rPr>
              <w:t>外委</w:t>
            </w:r>
            <w:r>
              <w:rPr>
                <w:rFonts w:hint="eastAsia" w:ascii="宋体" w:hAnsi="宋体" w:eastAsia="宋体" w:cs="宋体"/>
                <w:color w:val="auto"/>
                <w:sz w:val="21"/>
                <w:szCs w:val="21"/>
                <w:highlight w:val="none"/>
              </w:rPr>
              <w:t>联保的空调运行监督管理。</w:t>
            </w:r>
          </w:p>
        </w:tc>
        <w:tc>
          <w:tcPr>
            <w:tcW w:w="393" w:type="pct"/>
            <w:tcBorders>
              <w:top w:val="single" w:color="auto" w:sz="4" w:space="0"/>
              <w:left w:val="single" w:color="auto" w:sz="4" w:space="0"/>
              <w:bottom w:val="single" w:color="auto" w:sz="4" w:space="0"/>
              <w:right w:val="single" w:color="auto" w:sz="4" w:space="0"/>
            </w:tcBorders>
            <w:vAlign w:val="center"/>
          </w:tcPr>
          <w:p w14:paraId="73B002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055D8FD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未履行职责，造成空调停用，每台扣1分。</w:t>
            </w:r>
          </w:p>
        </w:tc>
        <w:tc>
          <w:tcPr>
            <w:tcW w:w="384" w:type="pct"/>
            <w:tcBorders>
              <w:top w:val="single" w:color="auto" w:sz="4" w:space="0"/>
              <w:left w:val="single" w:color="auto" w:sz="4" w:space="0"/>
              <w:bottom w:val="single" w:color="auto" w:sz="4" w:space="0"/>
              <w:right w:val="single" w:color="auto" w:sz="4" w:space="0"/>
            </w:tcBorders>
            <w:vAlign w:val="center"/>
          </w:tcPr>
          <w:p w14:paraId="408288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18FE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1C05879">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四、给水、热水、排水、排洪及排污系统</w:t>
            </w:r>
            <w:r>
              <w:rPr>
                <w:rFonts w:hint="eastAsia" w:ascii="宋体" w:hAnsi="宋体" w:eastAsia="宋体" w:cs="宋体"/>
                <w:b/>
                <w:bCs/>
                <w:color w:val="auto"/>
                <w:sz w:val="21"/>
                <w:szCs w:val="21"/>
                <w:highlight w:val="none"/>
                <w:lang w:val="en-US" w:eastAsia="zh-CN"/>
              </w:rPr>
              <w:t>等</w:t>
            </w:r>
            <w:r>
              <w:rPr>
                <w:rFonts w:hint="eastAsia" w:ascii="宋体" w:hAnsi="宋体" w:eastAsia="宋体" w:cs="宋体"/>
                <w:b/>
                <w:bCs/>
                <w:color w:val="auto"/>
                <w:sz w:val="21"/>
                <w:szCs w:val="21"/>
                <w:highlight w:val="none"/>
              </w:rPr>
              <w:t>管理（12分）</w:t>
            </w:r>
          </w:p>
        </w:tc>
      </w:tr>
      <w:tr w14:paraId="0AE7D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3B0FA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给水系统维护管理（包括：供水设备阀门、管道、水池、水箱、水泵等）。</w:t>
            </w:r>
          </w:p>
        </w:tc>
        <w:tc>
          <w:tcPr>
            <w:tcW w:w="393" w:type="pct"/>
            <w:tcBorders>
              <w:top w:val="single" w:color="auto" w:sz="4" w:space="0"/>
              <w:left w:val="single" w:color="auto" w:sz="4" w:space="0"/>
              <w:bottom w:val="single" w:color="auto" w:sz="4" w:space="0"/>
              <w:right w:val="single" w:color="auto" w:sz="4" w:space="0"/>
            </w:tcBorders>
            <w:vAlign w:val="center"/>
          </w:tcPr>
          <w:p w14:paraId="571F79F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0606A5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未履行职责，但未造成影响的，每处扣0.5分；造成局部停水，每次扣1分；造成大面积区域停水，每次扣3分。</w:t>
            </w:r>
          </w:p>
        </w:tc>
        <w:tc>
          <w:tcPr>
            <w:tcW w:w="384" w:type="pct"/>
            <w:tcBorders>
              <w:top w:val="single" w:color="auto" w:sz="4" w:space="0"/>
              <w:left w:val="single" w:color="auto" w:sz="4" w:space="0"/>
              <w:bottom w:val="single" w:color="auto" w:sz="4" w:space="0"/>
              <w:right w:val="single" w:color="auto" w:sz="4" w:space="0"/>
            </w:tcBorders>
            <w:vAlign w:val="center"/>
          </w:tcPr>
          <w:p w14:paraId="17E9D5E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57EF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6EDD1D0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供水系统故障小修应急处理，大修及时汇报。</w:t>
            </w:r>
          </w:p>
        </w:tc>
        <w:tc>
          <w:tcPr>
            <w:tcW w:w="393" w:type="pct"/>
            <w:tcBorders>
              <w:top w:val="single" w:color="auto" w:sz="4" w:space="0"/>
              <w:left w:val="single" w:color="auto" w:sz="4" w:space="0"/>
              <w:bottom w:val="single" w:color="auto" w:sz="4" w:space="0"/>
              <w:right w:val="single" w:color="auto" w:sz="4" w:space="0"/>
            </w:tcBorders>
            <w:vAlign w:val="center"/>
          </w:tcPr>
          <w:p w14:paraId="220ABED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2EFBB1C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发生故障，未履行职责，造成较大影响（停水时间超过6小时），每次扣1分。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65F1A2B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594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AAE69C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排水、排洪、排污系统管理（排水井及下水道清疏、化粪池定期清淘，排洪渠、排水泵检查，汛期及台风季节排洪检查）。</w:t>
            </w:r>
          </w:p>
        </w:tc>
        <w:tc>
          <w:tcPr>
            <w:tcW w:w="393" w:type="pct"/>
            <w:tcBorders>
              <w:top w:val="single" w:color="auto" w:sz="4" w:space="0"/>
              <w:left w:val="single" w:color="auto" w:sz="4" w:space="0"/>
              <w:bottom w:val="single" w:color="auto" w:sz="4" w:space="0"/>
              <w:right w:val="single" w:color="auto" w:sz="4" w:space="0"/>
            </w:tcBorders>
            <w:vAlign w:val="center"/>
          </w:tcPr>
          <w:p w14:paraId="00B5FEC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76E05E4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未履行职责，但未造成影响的，每处扣0.5分；造成堵塞现象的，每次扣1分；造成大面积水浸或较大影响的，每次扣3分。</w:t>
            </w:r>
          </w:p>
        </w:tc>
        <w:tc>
          <w:tcPr>
            <w:tcW w:w="384" w:type="pct"/>
            <w:tcBorders>
              <w:top w:val="single" w:color="auto" w:sz="4" w:space="0"/>
              <w:left w:val="single" w:color="auto" w:sz="4" w:space="0"/>
              <w:bottom w:val="single" w:color="auto" w:sz="4" w:space="0"/>
              <w:right w:val="single" w:color="auto" w:sz="4" w:space="0"/>
            </w:tcBorders>
            <w:vAlign w:val="center"/>
          </w:tcPr>
          <w:p w14:paraId="1FE0A6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BE2F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5B35BF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热水系统、太阳能设备、饮用水</w:t>
            </w:r>
            <w:r>
              <w:rPr>
                <w:rFonts w:hint="eastAsia" w:ascii="宋体" w:hAnsi="宋体" w:eastAsia="宋体" w:cs="宋体"/>
                <w:color w:val="auto"/>
                <w:szCs w:val="21"/>
                <w:highlight w:val="none"/>
              </w:rPr>
              <w:t>、排污系统，太阳能热水系统，中央空调系统、门禁系统、消防系统、新风机系统、中央空调二次供冷系统、污水系统、冷库系统、生活水泵系统、监控系统、废气喷淋雾化塔系统、电梯、紧急喷淋装置、纯水系统</w:t>
            </w:r>
            <w:r>
              <w:rPr>
                <w:rFonts w:hint="eastAsia" w:ascii="宋体" w:hAnsi="宋体" w:eastAsia="宋体" w:cs="宋体"/>
                <w:color w:val="auto"/>
                <w:sz w:val="21"/>
                <w:szCs w:val="21"/>
                <w:highlight w:val="none"/>
              </w:rPr>
              <w:t>设备管理</w:t>
            </w:r>
            <w:r>
              <w:rPr>
                <w:rFonts w:hint="eastAsia" w:ascii="宋体" w:hAnsi="宋体" w:eastAsia="宋体" w:cs="宋体"/>
                <w:color w:val="auto"/>
                <w:szCs w:val="21"/>
                <w:highlight w:val="none"/>
              </w:rPr>
              <w:t>等</w:t>
            </w:r>
            <w:r>
              <w:rPr>
                <w:rFonts w:hint="eastAsia" w:ascii="宋体" w:hAnsi="宋体" w:eastAsia="宋体" w:cs="宋体"/>
                <w:color w:val="auto"/>
                <w:sz w:val="21"/>
                <w:szCs w:val="21"/>
                <w:highlight w:val="none"/>
              </w:rPr>
              <w:t>（每日巡查，发现问题及时进行维修处置或报告、发布停水公告，协助维保公司工作）。</w:t>
            </w:r>
          </w:p>
        </w:tc>
        <w:tc>
          <w:tcPr>
            <w:tcW w:w="393" w:type="pct"/>
            <w:tcBorders>
              <w:top w:val="single" w:color="auto" w:sz="4" w:space="0"/>
              <w:left w:val="single" w:color="auto" w:sz="4" w:space="0"/>
              <w:bottom w:val="single" w:color="auto" w:sz="4" w:space="0"/>
              <w:right w:val="single" w:color="auto" w:sz="4" w:space="0"/>
            </w:tcBorders>
            <w:vAlign w:val="center"/>
          </w:tcPr>
          <w:p w14:paraId="5C8ECC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549DB83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未及时履行职责，但未造成影响的，每次扣0.5分；造成局部热水供应停止的，每次扣1分。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496562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752C6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A4CEF41">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五、其它机电设备管理要求（3分）</w:t>
            </w:r>
          </w:p>
        </w:tc>
      </w:tr>
      <w:tr w14:paraId="7707E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0CFB457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电梯、高压设备运行管理（日常外委监督管理及时检查、故障处理、定期办理年检）</w:t>
            </w:r>
          </w:p>
        </w:tc>
        <w:tc>
          <w:tcPr>
            <w:tcW w:w="393" w:type="pct"/>
            <w:tcBorders>
              <w:top w:val="single" w:color="auto" w:sz="4" w:space="0"/>
              <w:left w:val="single" w:color="auto" w:sz="4" w:space="0"/>
              <w:bottom w:val="single" w:color="auto" w:sz="4" w:space="0"/>
              <w:right w:val="single" w:color="auto" w:sz="4" w:space="0"/>
            </w:tcBorders>
            <w:vAlign w:val="center"/>
          </w:tcPr>
          <w:p w14:paraId="61212EF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0D0BEF19">
            <w:pPr>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发生故障未及时通知外委公司，影响不大的（停用电梯不超过4小时），每次扣1分；</w:t>
            </w:r>
          </w:p>
          <w:p w14:paraId="21F893C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.因中标人疏忽原因未及时跟进，发生重大故障，造成电梯停用超过一日，造成区域停电超过4小时的扣2分。</w:t>
            </w:r>
          </w:p>
        </w:tc>
        <w:tc>
          <w:tcPr>
            <w:tcW w:w="384" w:type="pct"/>
            <w:tcBorders>
              <w:top w:val="single" w:color="auto" w:sz="4" w:space="0"/>
              <w:left w:val="single" w:color="auto" w:sz="4" w:space="0"/>
              <w:bottom w:val="single" w:color="auto" w:sz="4" w:space="0"/>
              <w:right w:val="single" w:color="auto" w:sz="4" w:space="0"/>
            </w:tcBorders>
            <w:vAlign w:val="center"/>
          </w:tcPr>
          <w:p w14:paraId="763C947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04C6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93D4AD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发电机、消防系统设备等管理。</w:t>
            </w:r>
          </w:p>
        </w:tc>
        <w:tc>
          <w:tcPr>
            <w:tcW w:w="393" w:type="pct"/>
            <w:tcBorders>
              <w:top w:val="single" w:color="auto" w:sz="4" w:space="0"/>
              <w:left w:val="single" w:color="auto" w:sz="4" w:space="0"/>
              <w:bottom w:val="single" w:color="auto" w:sz="4" w:space="0"/>
              <w:right w:val="single" w:color="auto" w:sz="4" w:space="0"/>
            </w:tcBorders>
            <w:vAlign w:val="center"/>
          </w:tcPr>
          <w:p w14:paraId="5733D18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575" w:type="pct"/>
            <w:tcBorders>
              <w:top w:val="single" w:color="auto" w:sz="4" w:space="0"/>
              <w:left w:val="single" w:color="auto" w:sz="4" w:space="0"/>
              <w:bottom w:val="single" w:color="auto" w:sz="4" w:space="0"/>
              <w:right w:val="single" w:color="auto" w:sz="4" w:space="0"/>
            </w:tcBorders>
            <w:vAlign w:val="center"/>
          </w:tcPr>
          <w:p w14:paraId="26BFCF5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造成较大影响的，扣1分。</w:t>
            </w:r>
          </w:p>
        </w:tc>
        <w:tc>
          <w:tcPr>
            <w:tcW w:w="384" w:type="pct"/>
            <w:tcBorders>
              <w:top w:val="single" w:color="auto" w:sz="4" w:space="0"/>
              <w:left w:val="single" w:color="auto" w:sz="4" w:space="0"/>
              <w:bottom w:val="single" w:color="auto" w:sz="4" w:space="0"/>
              <w:right w:val="single" w:color="auto" w:sz="4" w:space="0"/>
            </w:tcBorders>
            <w:vAlign w:val="center"/>
          </w:tcPr>
          <w:p w14:paraId="3673A7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D99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C55C07D">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六、公共维修管理（20分）</w:t>
            </w:r>
          </w:p>
        </w:tc>
      </w:tr>
      <w:tr w14:paraId="55AE3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4BF474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维修巡查情况（定期巡查、及时处理或报告）。</w:t>
            </w:r>
          </w:p>
        </w:tc>
        <w:tc>
          <w:tcPr>
            <w:tcW w:w="393" w:type="pct"/>
            <w:tcBorders>
              <w:top w:val="single" w:color="auto" w:sz="4" w:space="0"/>
              <w:left w:val="single" w:color="auto" w:sz="4" w:space="0"/>
              <w:bottom w:val="single" w:color="auto" w:sz="4" w:space="0"/>
              <w:right w:val="single" w:color="auto" w:sz="4" w:space="0"/>
            </w:tcBorders>
            <w:vAlign w:val="center"/>
          </w:tcPr>
          <w:p w14:paraId="15F5A56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8A40C0C">
            <w:pPr>
              <w:numPr>
                <w:ilvl w:val="0"/>
                <w:numId w:val="10"/>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未定期巡查，无记录，每次、每处扣1分； </w:t>
            </w:r>
          </w:p>
          <w:p w14:paraId="34150D34">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2.发现问题，不及时报告处理，每次、每处扣1分；                                       3.因巡查不力，造成较大影响，扣2分。</w:t>
            </w:r>
          </w:p>
        </w:tc>
        <w:tc>
          <w:tcPr>
            <w:tcW w:w="384" w:type="pct"/>
            <w:tcBorders>
              <w:top w:val="single" w:color="auto" w:sz="4" w:space="0"/>
              <w:left w:val="single" w:color="auto" w:sz="4" w:space="0"/>
              <w:bottom w:val="single" w:color="auto" w:sz="4" w:space="0"/>
              <w:right w:val="single" w:color="auto" w:sz="4" w:space="0"/>
            </w:tcBorders>
            <w:vAlign w:val="center"/>
          </w:tcPr>
          <w:p w14:paraId="62447B1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F249B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7EF817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维修的及时性简单维修响应时间不超出24小时，维修完成不超出48小时；属于大型的复杂维修，应于24小时内书面报告（特殊情况电话通知）采购人。</w:t>
            </w:r>
          </w:p>
        </w:tc>
        <w:tc>
          <w:tcPr>
            <w:tcW w:w="393" w:type="pct"/>
            <w:tcBorders>
              <w:top w:val="single" w:color="auto" w:sz="4" w:space="0"/>
              <w:left w:val="single" w:color="auto" w:sz="4" w:space="0"/>
              <w:bottom w:val="single" w:color="auto" w:sz="4" w:space="0"/>
              <w:right w:val="single" w:color="auto" w:sz="4" w:space="0"/>
            </w:tcBorders>
            <w:vAlign w:val="center"/>
          </w:tcPr>
          <w:p w14:paraId="5B3DFE1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5F93CC64">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1.超出约定维修时间，每次扣0.5分；          2.未及时上报或维修，造成师生投诉，每次扣0.5分；                                       3.未及时维修或报告，造成较大影响，每次扣2分。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3BBDFE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8171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2A1FA6C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维修质量（维修用材料、外观等）。</w:t>
            </w:r>
          </w:p>
        </w:tc>
        <w:tc>
          <w:tcPr>
            <w:tcW w:w="393" w:type="pct"/>
            <w:tcBorders>
              <w:top w:val="single" w:color="auto" w:sz="4" w:space="0"/>
              <w:left w:val="single" w:color="auto" w:sz="4" w:space="0"/>
              <w:bottom w:val="single" w:color="auto" w:sz="4" w:space="0"/>
              <w:right w:val="single" w:color="auto" w:sz="4" w:space="0"/>
            </w:tcBorders>
            <w:vAlign w:val="center"/>
          </w:tcPr>
          <w:p w14:paraId="56D79AE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575" w:type="pct"/>
            <w:tcBorders>
              <w:top w:val="single" w:color="auto" w:sz="4" w:space="0"/>
              <w:left w:val="single" w:color="auto" w:sz="4" w:space="0"/>
              <w:bottom w:val="single" w:color="auto" w:sz="4" w:space="0"/>
              <w:right w:val="single" w:color="auto" w:sz="4" w:space="0"/>
            </w:tcBorders>
            <w:vAlign w:val="center"/>
          </w:tcPr>
          <w:p w14:paraId="60A7D5B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1.维修质量达不到要求，每次扣0.5分；          2.维修质量较差，引起师生投诉，每次扣1分；3.因维修质量差，造成较大影响的，每次扣2分。</w:t>
            </w:r>
          </w:p>
        </w:tc>
        <w:tc>
          <w:tcPr>
            <w:tcW w:w="384" w:type="pct"/>
            <w:tcBorders>
              <w:top w:val="single" w:color="auto" w:sz="4" w:space="0"/>
              <w:left w:val="single" w:color="auto" w:sz="4" w:space="0"/>
              <w:bottom w:val="single" w:color="auto" w:sz="4" w:space="0"/>
              <w:right w:val="single" w:color="auto" w:sz="4" w:space="0"/>
            </w:tcBorders>
            <w:vAlign w:val="center"/>
          </w:tcPr>
          <w:p w14:paraId="6B0E9D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D57A2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49F0F6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维修服务态度（时间安排的合理性、与师生交流的态度、施工对教学生活的影响程度）。</w:t>
            </w:r>
          </w:p>
        </w:tc>
        <w:tc>
          <w:tcPr>
            <w:tcW w:w="393" w:type="pct"/>
            <w:tcBorders>
              <w:top w:val="single" w:color="auto" w:sz="4" w:space="0"/>
              <w:left w:val="single" w:color="auto" w:sz="4" w:space="0"/>
              <w:bottom w:val="single" w:color="auto" w:sz="4" w:space="0"/>
              <w:right w:val="single" w:color="auto" w:sz="4" w:space="0"/>
            </w:tcBorders>
            <w:vAlign w:val="center"/>
          </w:tcPr>
          <w:p w14:paraId="242145A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43DA9BEC">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1.维修时间安排不合理，引起师生投诉，每次扣0.5分。                                    2.服务态度恶劣，引起师生投诉，每次扣1分。3.因施工噪音或安排不当，对教学生活产生影响的，每次扣1分。</w:t>
            </w:r>
          </w:p>
        </w:tc>
        <w:tc>
          <w:tcPr>
            <w:tcW w:w="384" w:type="pct"/>
            <w:tcBorders>
              <w:top w:val="single" w:color="auto" w:sz="4" w:space="0"/>
              <w:left w:val="single" w:color="auto" w:sz="4" w:space="0"/>
              <w:bottom w:val="single" w:color="auto" w:sz="4" w:space="0"/>
              <w:right w:val="single" w:color="auto" w:sz="4" w:space="0"/>
            </w:tcBorders>
            <w:vAlign w:val="center"/>
          </w:tcPr>
          <w:p w14:paraId="45C4674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5C12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3F7359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维修返修率。</w:t>
            </w:r>
          </w:p>
        </w:tc>
        <w:tc>
          <w:tcPr>
            <w:tcW w:w="393" w:type="pct"/>
            <w:tcBorders>
              <w:top w:val="single" w:color="auto" w:sz="4" w:space="0"/>
              <w:left w:val="single" w:color="auto" w:sz="4" w:space="0"/>
              <w:bottom w:val="single" w:color="auto" w:sz="4" w:space="0"/>
              <w:right w:val="single" w:color="auto" w:sz="4" w:space="0"/>
            </w:tcBorders>
            <w:vAlign w:val="center"/>
          </w:tcPr>
          <w:p w14:paraId="32DE2A7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575" w:type="pct"/>
            <w:tcBorders>
              <w:top w:val="single" w:color="auto" w:sz="4" w:space="0"/>
              <w:left w:val="single" w:color="auto" w:sz="4" w:space="0"/>
              <w:bottom w:val="single" w:color="auto" w:sz="4" w:space="0"/>
              <w:right w:val="single" w:color="auto" w:sz="4" w:space="0"/>
            </w:tcBorders>
            <w:vAlign w:val="center"/>
          </w:tcPr>
          <w:p w14:paraId="11178B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返修率大于5%，每增加1各百分点，扣1分。</w:t>
            </w:r>
          </w:p>
        </w:tc>
        <w:tc>
          <w:tcPr>
            <w:tcW w:w="384" w:type="pct"/>
            <w:tcBorders>
              <w:top w:val="single" w:color="auto" w:sz="4" w:space="0"/>
              <w:left w:val="single" w:color="auto" w:sz="4" w:space="0"/>
              <w:bottom w:val="single" w:color="auto" w:sz="4" w:space="0"/>
              <w:right w:val="single" w:color="auto" w:sz="4" w:space="0"/>
            </w:tcBorders>
            <w:vAlign w:val="center"/>
          </w:tcPr>
          <w:p w14:paraId="0674900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B836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50A310C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维修登记及投诉处理（报修登记、维修安排、维修回访、投诉处理）。</w:t>
            </w:r>
          </w:p>
        </w:tc>
        <w:tc>
          <w:tcPr>
            <w:tcW w:w="393" w:type="pct"/>
            <w:tcBorders>
              <w:top w:val="single" w:color="auto" w:sz="4" w:space="0"/>
              <w:left w:val="single" w:color="auto" w:sz="4" w:space="0"/>
              <w:bottom w:val="single" w:color="auto" w:sz="4" w:space="0"/>
              <w:right w:val="single" w:color="auto" w:sz="4" w:space="0"/>
            </w:tcBorders>
            <w:vAlign w:val="center"/>
          </w:tcPr>
          <w:p w14:paraId="2AEB1F1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575" w:type="pct"/>
            <w:tcBorders>
              <w:top w:val="single" w:color="auto" w:sz="4" w:space="0"/>
              <w:left w:val="single" w:color="auto" w:sz="4" w:space="0"/>
              <w:bottom w:val="single" w:color="auto" w:sz="4" w:space="0"/>
              <w:right w:val="single" w:color="auto" w:sz="4" w:space="0"/>
            </w:tcBorders>
            <w:vAlign w:val="center"/>
          </w:tcPr>
          <w:p w14:paraId="066F7EB0">
            <w:p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1、缺少登记，每项扣1分；                    2、登记不完整、模糊，每次扣0.5 分。 </w:t>
            </w:r>
          </w:p>
        </w:tc>
        <w:tc>
          <w:tcPr>
            <w:tcW w:w="384" w:type="pct"/>
            <w:tcBorders>
              <w:top w:val="single" w:color="auto" w:sz="4" w:space="0"/>
              <w:left w:val="single" w:color="auto" w:sz="4" w:space="0"/>
              <w:bottom w:val="single" w:color="auto" w:sz="4" w:space="0"/>
              <w:right w:val="single" w:color="auto" w:sz="4" w:space="0"/>
            </w:tcBorders>
            <w:vAlign w:val="center"/>
          </w:tcPr>
          <w:p w14:paraId="274378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4E5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FB0D7FE">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七、其它要求（15分）</w:t>
            </w:r>
          </w:p>
        </w:tc>
      </w:tr>
      <w:tr w14:paraId="27848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47" w:type="pct"/>
            <w:tcBorders>
              <w:top w:val="single" w:color="auto" w:sz="4" w:space="0"/>
              <w:left w:val="single" w:color="auto" w:sz="4" w:space="0"/>
              <w:bottom w:val="single" w:color="auto" w:sz="4" w:space="0"/>
              <w:right w:val="single" w:color="auto" w:sz="4" w:space="0"/>
            </w:tcBorders>
            <w:vAlign w:val="center"/>
          </w:tcPr>
          <w:p w14:paraId="172870B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服从</w:t>
            </w:r>
            <w:r>
              <w:rPr>
                <w:rFonts w:hint="eastAsia" w:ascii="宋体" w:hAnsi="宋体" w:eastAsia="宋体" w:cs="宋体"/>
                <w:color w:val="auto"/>
                <w:szCs w:val="21"/>
                <w:highlight w:val="none"/>
              </w:rPr>
              <w:t>业主及</w:t>
            </w:r>
            <w:r>
              <w:rPr>
                <w:rFonts w:hint="eastAsia" w:ascii="宋体" w:hAnsi="宋体" w:eastAsia="宋体" w:cs="宋体"/>
                <w:color w:val="auto"/>
                <w:sz w:val="21"/>
                <w:szCs w:val="21"/>
                <w:highlight w:val="none"/>
              </w:rPr>
              <w:t>管委会的安排，对</w:t>
            </w:r>
            <w:r>
              <w:rPr>
                <w:rFonts w:hint="eastAsia" w:ascii="宋体" w:hAnsi="宋体" w:eastAsia="宋体" w:cs="宋体"/>
                <w:color w:val="auto"/>
                <w:szCs w:val="21"/>
                <w:highlight w:val="none"/>
              </w:rPr>
              <w:t>园区</w:t>
            </w:r>
            <w:r>
              <w:rPr>
                <w:rFonts w:hint="eastAsia" w:ascii="宋体" w:hAnsi="宋体" w:eastAsia="宋体" w:cs="宋体"/>
                <w:color w:val="auto"/>
                <w:sz w:val="21"/>
                <w:szCs w:val="21"/>
                <w:highlight w:val="none"/>
              </w:rPr>
              <w:t>所安排的有关处理、联络、知会等事项要及时跟踪、落实及反馈。</w:t>
            </w:r>
          </w:p>
        </w:tc>
        <w:tc>
          <w:tcPr>
            <w:tcW w:w="393" w:type="pct"/>
            <w:tcBorders>
              <w:top w:val="single" w:color="auto" w:sz="4" w:space="0"/>
              <w:left w:val="single" w:color="auto" w:sz="4" w:space="0"/>
              <w:bottom w:val="single" w:color="auto" w:sz="4" w:space="0"/>
              <w:right w:val="single" w:color="auto" w:sz="4" w:space="0"/>
            </w:tcBorders>
            <w:vAlign w:val="center"/>
          </w:tcPr>
          <w:p w14:paraId="5839BF5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1575" w:type="pct"/>
            <w:tcBorders>
              <w:top w:val="single" w:color="auto" w:sz="4" w:space="0"/>
              <w:left w:val="single" w:color="auto" w:sz="4" w:space="0"/>
              <w:bottom w:val="single" w:color="auto" w:sz="4" w:space="0"/>
              <w:right w:val="single" w:color="auto" w:sz="4" w:space="0"/>
            </w:tcBorders>
            <w:vAlign w:val="center"/>
          </w:tcPr>
          <w:p w14:paraId="04F869B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遇重大问题不报告扣1分，因沟通原因影响工作扣2分；安排事项无反馈、无结果扣2分；该整改的未整改，每一项扣3分。</w:t>
            </w:r>
          </w:p>
        </w:tc>
        <w:tc>
          <w:tcPr>
            <w:tcW w:w="384" w:type="pct"/>
            <w:tcBorders>
              <w:top w:val="single" w:color="auto" w:sz="4" w:space="0"/>
              <w:left w:val="single" w:color="auto" w:sz="4" w:space="0"/>
              <w:bottom w:val="single" w:color="auto" w:sz="4" w:space="0"/>
              <w:right w:val="single" w:color="auto" w:sz="4" w:space="0"/>
            </w:tcBorders>
            <w:vAlign w:val="center"/>
          </w:tcPr>
          <w:p w14:paraId="688DAF2E">
            <w:pPr>
              <w:rPr>
                <w:rFonts w:hint="eastAsia" w:ascii="宋体" w:hAnsi="宋体" w:eastAsia="宋体" w:cs="宋体"/>
                <w:color w:val="auto"/>
                <w:sz w:val="21"/>
                <w:szCs w:val="21"/>
                <w:highlight w:val="none"/>
              </w:rPr>
            </w:pPr>
          </w:p>
        </w:tc>
      </w:tr>
      <w:tr w14:paraId="71E5C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2647" w:type="pct"/>
            <w:tcBorders>
              <w:top w:val="single" w:color="auto" w:sz="4" w:space="0"/>
              <w:left w:val="single" w:color="auto" w:sz="4" w:space="0"/>
              <w:bottom w:val="single" w:color="auto" w:sz="4" w:space="0"/>
              <w:right w:val="single" w:color="auto" w:sz="4" w:space="0"/>
            </w:tcBorders>
            <w:vAlign w:val="center"/>
          </w:tcPr>
          <w:p w14:paraId="03EB8A1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得分：</w:t>
            </w:r>
          </w:p>
        </w:tc>
        <w:tc>
          <w:tcPr>
            <w:tcW w:w="393" w:type="pct"/>
            <w:tcBorders>
              <w:top w:val="single" w:color="auto" w:sz="4" w:space="0"/>
              <w:left w:val="single" w:color="auto" w:sz="4" w:space="0"/>
              <w:bottom w:val="single" w:color="auto" w:sz="4" w:space="0"/>
              <w:right w:val="single" w:color="auto" w:sz="4" w:space="0"/>
            </w:tcBorders>
            <w:vAlign w:val="center"/>
          </w:tcPr>
          <w:p w14:paraId="4BD425B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c>
          <w:tcPr>
            <w:tcW w:w="1575" w:type="pct"/>
            <w:tcBorders>
              <w:top w:val="single" w:color="auto" w:sz="4" w:space="0"/>
              <w:left w:val="single" w:color="auto" w:sz="4" w:space="0"/>
              <w:bottom w:val="single" w:color="auto" w:sz="4" w:space="0"/>
              <w:right w:val="single" w:color="auto" w:sz="4" w:space="0"/>
            </w:tcBorders>
            <w:vAlign w:val="center"/>
          </w:tcPr>
          <w:p w14:paraId="33D0EE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考评人员签名：</w:t>
            </w:r>
          </w:p>
        </w:tc>
        <w:tc>
          <w:tcPr>
            <w:tcW w:w="384" w:type="pct"/>
            <w:tcBorders>
              <w:top w:val="single" w:color="auto" w:sz="4" w:space="0"/>
              <w:left w:val="single" w:color="auto" w:sz="4" w:space="0"/>
              <w:bottom w:val="single" w:color="auto" w:sz="4" w:space="0"/>
              <w:right w:val="single" w:color="auto" w:sz="4" w:space="0"/>
            </w:tcBorders>
            <w:vAlign w:val="center"/>
          </w:tcPr>
          <w:p w14:paraId="55F996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3391C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24C0FD4">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0D1D9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A5AB9C2">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480A9F97">
      <w:pPr>
        <w:pStyle w:val="4"/>
        <w:spacing w:before="156" w:beforeLines="50" w:beforeAutospacing="0" w:after="156" w:afterLines="50" w:afterAutospacing="0"/>
        <w:rPr>
          <w:rFonts w:hint="eastAsia" w:ascii="宋体" w:hAnsi="宋体" w:eastAsia="宋体" w:cs="宋体"/>
          <w:color w:val="auto"/>
          <w:szCs w:val="28"/>
          <w:highlight w:val="none"/>
        </w:rPr>
      </w:pPr>
    </w:p>
    <w:p w14:paraId="01BA31A4">
      <w:pPr>
        <w:pStyle w:val="4"/>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（三）楼宇综合管理服务（</w:t>
      </w:r>
      <w:r>
        <w:rPr>
          <w:rFonts w:hint="eastAsia" w:ascii="宋体" w:hAnsi="宋体" w:eastAsia="宋体" w:cs="宋体"/>
          <w:color w:val="auto"/>
          <w:szCs w:val="28"/>
          <w:highlight w:val="none"/>
        </w:rPr>
        <w:t>100分）</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30"/>
        <w:gridCol w:w="544"/>
        <w:gridCol w:w="2908"/>
        <w:gridCol w:w="440"/>
      </w:tblGrid>
      <w:tr w14:paraId="2E0BF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82C2899">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19" w:type="pct"/>
            <w:tcBorders>
              <w:top w:val="single" w:color="auto" w:sz="4" w:space="0"/>
              <w:left w:val="single" w:color="auto" w:sz="4" w:space="0"/>
              <w:bottom w:val="single" w:color="auto" w:sz="4" w:space="0"/>
              <w:right w:val="single" w:color="auto" w:sz="4" w:space="0"/>
            </w:tcBorders>
            <w:vAlign w:val="center"/>
          </w:tcPr>
          <w:p w14:paraId="67C14F31">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706" w:type="pct"/>
            <w:tcBorders>
              <w:top w:val="single" w:color="auto" w:sz="4" w:space="0"/>
              <w:left w:val="single" w:color="auto" w:sz="4" w:space="0"/>
              <w:bottom w:val="single" w:color="auto" w:sz="4" w:space="0"/>
              <w:right w:val="single" w:color="auto" w:sz="4" w:space="0"/>
            </w:tcBorders>
            <w:vAlign w:val="center"/>
          </w:tcPr>
          <w:p w14:paraId="56529F2C">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256" w:type="pct"/>
            <w:tcBorders>
              <w:top w:val="single" w:color="auto" w:sz="4" w:space="0"/>
              <w:left w:val="single" w:color="auto" w:sz="4" w:space="0"/>
              <w:bottom w:val="single" w:color="auto" w:sz="4" w:space="0"/>
              <w:right w:val="single" w:color="auto" w:sz="4" w:space="0"/>
            </w:tcBorders>
            <w:vAlign w:val="center"/>
          </w:tcPr>
          <w:p w14:paraId="3E1D3B72">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4AB6A8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B967EF9">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一、管理服务总则（20分）</w:t>
            </w:r>
          </w:p>
        </w:tc>
      </w:tr>
      <w:tr w14:paraId="5C7E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4470AA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楼宇管理服务人员构成符合合同要求。</w:t>
            </w:r>
          </w:p>
        </w:tc>
        <w:tc>
          <w:tcPr>
            <w:tcW w:w="319" w:type="pct"/>
            <w:tcBorders>
              <w:top w:val="single" w:color="auto" w:sz="4" w:space="0"/>
              <w:left w:val="single" w:color="auto" w:sz="4" w:space="0"/>
              <w:bottom w:val="single" w:color="auto" w:sz="4" w:space="0"/>
              <w:right w:val="single" w:color="auto" w:sz="4" w:space="0"/>
            </w:tcBorders>
            <w:vAlign w:val="center"/>
          </w:tcPr>
          <w:p w14:paraId="5A6F54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1706" w:type="pct"/>
            <w:tcBorders>
              <w:top w:val="single" w:color="auto" w:sz="4" w:space="0"/>
              <w:left w:val="single" w:color="auto" w:sz="4" w:space="0"/>
              <w:bottom w:val="single" w:color="auto" w:sz="4" w:space="0"/>
              <w:right w:val="single" w:color="auto" w:sz="4" w:space="0"/>
            </w:tcBorders>
            <w:vAlign w:val="center"/>
          </w:tcPr>
          <w:p w14:paraId="091D988B">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（1）缺少楼宇主管，每人次扣2分；</w:t>
            </w:r>
          </w:p>
          <w:p w14:paraId="4AE71B2C">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（2）其他人员缺岗，每人次扣0.5分；</w:t>
            </w:r>
          </w:p>
          <w:p w14:paraId="24949484">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（3）其他人员资质不符，每人次扣0.5分。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665EBB5">
            <w:pPr>
              <w:rPr>
                <w:rFonts w:hint="eastAsia" w:ascii="宋体" w:hAnsi="宋体" w:eastAsia="宋体" w:cs="宋体"/>
                <w:color w:val="auto"/>
                <w:sz w:val="21"/>
                <w:szCs w:val="21"/>
                <w:highlight w:val="none"/>
              </w:rPr>
            </w:pPr>
          </w:p>
        </w:tc>
      </w:tr>
      <w:tr w14:paraId="7901D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67320ED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w:t>
            </w:r>
          </w:p>
          <w:p w14:paraId="230AB5E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1.有完整工作签到制度和工作质量考核制度；</w:t>
            </w:r>
          </w:p>
          <w:p w14:paraId="130B0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2.制定岗位职责并挂墙公布，工作人员上班统一制服、标志明显并将每栋值班员的姓名、照片以及联系方式等张贴至公告栏；</w:t>
            </w:r>
          </w:p>
          <w:p w14:paraId="3739A19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 有完备的《楼宇管理应急工作预案》，并报甲方备案；如遇突发事件或突发检查时，无条件积极配合校方，随叫随到。</w:t>
            </w:r>
          </w:p>
        </w:tc>
        <w:tc>
          <w:tcPr>
            <w:tcW w:w="319" w:type="pct"/>
            <w:tcBorders>
              <w:top w:val="single" w:color="auto" w:sz="4" w:space="0"/>
              <w:left w:val="single" w:color="auto" w:sz="4" w:space="0"/>
              <w:bottom w:val="single" w:color="auto" w:sz="4" w:space="0"/>
              <w:right w:val="single" w:color="auto" w:sz="4" w:space="0"/>
            </w:tcBorders>
            <w:vAlign w:val="center"/>
          </w:tcPr>
          <w:p w14:paraId="277D114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38EF2B46">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（1）未建立管理制度、标准、应急预案的，扣2分；</w:t>
            </w:r>
          </w:p>
          <w:p w14:paraId="5B41B21E">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（2）制度及标准、预案不完整、清晰，扣0.5分；</w:t>
            </w:r>
          </w:p>
          <w:p w14:paraId="269DD7F3">
            <w:pPr>
              <w:tabs>
                <w:tab w:val="left" w:pos="312"/>
              </w:tabs>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（3）未按规定公示上墙，扣1分。</w:t>
            </w:r>
          </w:p>
        </w:tc>
        <w:tc>
          <w:tcPr>
            <w:tcW w:w="256" w:type="pct"/>
            <w:tcBorders>
              <w:top w:val="single" w:color="auto" w:sz="4" w:space="0"/>
              <w:left w:val="single" w:color="auto" w:sz="4" w:space="0"/>
              <w:bottom w:val="single" w:color="auto" w:sz="4" w:space="0"/>
              <w:right w:val="single" w:color="auto" w:sz="4" w:space="0"/>
            </w:tcBorders>
            <w:vAlign w:val="center"/>
          </w:tcPr>
          <w:p w14:paraId="31145789">
            <w:pPr>
              <w:rPr>
                <w:rFonts w:hint="eastAsia" w:ascii="宋体" w:hAnsi="宋体" w:eastAsia="宋体" w:cs="宋体"/>
                <w:color w:val="auto"/>
                <w:sz w:val="21"/>
                <w:szCs w:val="21"/>
                <w:highlight w:val="none"/>
              </w:rPr>
            </w:pPr>
          </w:p>
        </w:tc>
      </w:tr>
      <w:tr w14:paraId="62998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9"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489916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人员到岗管理：</w:t>
            </w:r>
          </w:p>
          <w:p w14:paraId="02AFC95E">
            <w:pPr>
              <w:widowControl/>
              <w:numPr>
                <w:ilvl w:val="0"/>
                <w:numId w:val="11"/>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固定岗到岗率达到100%，同时需按服务质量标准配备所需管理人员；</w:t>
            </w:r>
          </w:p>
          <w:p w14:paraId="0DD532F0">
            <w:pPr>
              <w:widowControl/>
              <w:numPr>
                <w:ilvl w:val="0"/>
                <w:numId w:val="11"/>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编排管理服务人员24小时值班表并报备联系方式。</w:t>
            </w:r>
          </w:p>
        </w:tc>
        <w:tc>
          <w:tcPr>
            <w:tcW w:w="319" w:type="pct"/>
            <w:tcBorders>
              <w:top w:val="single" w:color="auto" w:sz="4" w:space="0"/>
              <w:left w:val="single" w:color="auto" w:sz="4" w:space="0"/>
              <w:bottom w:val="single" w:color="auto" w:sz="4" w:space="0"/>
              <w:right w:val="single" w:color="auto" w:sz="4" w:space="0"/>
            </w:tcBorders>
            <w:vAlign w:val="center"/>
          </w:tcPr>
          <w:p w14:paraId="4E6CDD2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A74E05B">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（1）因固定岗轮休，未及时安排顶岗人员，出现脱岗现象，每人次扣1分；</w:t>
            </w:r>
          </w:p>
          <w:p w14:paraId="592B64D5">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（2）因双休或节假日而中断值班，扣1分；</w:t>
            </w:r>
          </w:p>
          <w:p w14:paraId="5E085030">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（3）紧急事件未能联系到当值人员，扣0.5分。</w:t>
            </w:r>
          </w:p>
        </w:tc>
        <w:tc>
          <w:tcPr>
            <w:tcW w:w="256" w:type="pct"/>
            <w:tcBorders>
              <w:top w:val="single" w:color="auto" w:sz="4" w:space="0"/>
              <w:left w:val="single" w:color="auto" w:sz="4" w:space="0"/>
              <w:bottom w:val="single" w:color="auto" w:sz="4" w:space="0"/>
              <w:right w:val="single" w:color="auto" w:sz="4" w:space="0"/>
            </w:tcBorders>
            <w:vAlign w:val="center"/>
          </w:tcPr>
          <w:p w14:paraId="48BB2040">
            <w:pPr>
              <w:rPr>
                <w:rFonts w:hint="eastAsia" w:ascii="宋体" w:hAnsi="宋体" w:eastAsia="宋体" w:cs="宋体"/>
                <w:color w:val="auto"/>
                <w:sz w:val="21"/>
                <w:szCs w:val="21"/>
                <w:highlight w:val="none"/>
              </w:rPr>
            </w:pPr>
          </w:p>
        </w:tc>
      </w:tr>
      <w:tr w14:paraId="7C6C8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6534E40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配置各类档案：</w:t>
            </w:r>
          </w:p>
          <w:p w14:paraId="35B8031B">
            <w:pPr>
              <w:widowControl/>
              <w:numPr>
                <w:ilvl w:val="0"/>
                <w:numId w:val="12"/>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包括但不限于：楼宇房间使用情况登记本、工作交接本、本岗位职责及工作流程介绍、大件物品进出登记表、人员出入登记表、日常巡查记录表、主管班长巡查记录表、失物登记表、维修登记表、楼宇管理应急预案、楼宇物资台账等；</w:t>
            </w:r>
          </w:p>
          <w:p w14:paraId="2241ED51">
            <w:pPr>
              <w:widowControl/>
              <w:numPr>
                <w:ilvl w:val="0"/>
                <w:numId w:val="12"/>
              </w:numPr>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各类档案在发生变更后，应在一个工作日内更新，并记录。</w:t>
            </w:r>
          </w:p>
        </w:tc>
        <w:tc>
          <w:tcPr>
            <w:tcW w:w="319" w:type="pct"/>
            <w:tcBorders>
              <w:top w:val="single" w:color="auto" w:sz="4" w:space="0"/>
              <w:left w:val="single" w:color="auto" w:sz="4" w:space="0"/>
              <w:bottom w:val="single" w:color="auto" w:sz="4" w:space="0"/>
              <w:right w:val="single" w:color="auto" w:sz="4" w:space="0"/>
            </w:tcBorders>
            <w:vAlign w:val="center"/>
          </w:tcPr>
          <w:p w14:paraId="012D656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0A0C8336">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（1）未建立档案扣1分；</w:t>
            </w:r>
          </w:p>
          <w:p w14:paraId="4C193676">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（2）档案不完整、清晰，扣0.5分；</w:t>
            </w:r>
          </w:p>
          <w:p w14:paraId="5A41B2A0">
            <w:pPr>
              <w:tabs>
                <w:tab w:val="left" w:pos="312"/>
              </w:tabs>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（3）更新不及时，扣0.5分。</w:t>
            </w:r>
          </w:p>
        </w:tc>
        <w:tc>
          <w:tcPr>
            <w:tcW w:w="256" w:type="pct"/>
            <w:tcBorders>
              <w:top w:val="single" w:color="auto" w:sz="4" w:space="0"/>
              <w:left w:val="single" w:color="auto" w:sz="4" w:space="0"/>
              <w:bottom w:val="single" w:color="auto" w:sz="4" w:space="0"/>
              <w:right w:val="single" w:color="auto" w:sz="4" w:space="0"/>
            </w:tcBorders>
            <w:vAlign w:val="center"/>
          </w:tcPr>
          <w:p w14:paraId="63887DEF">
            <w:pPr>
              <w:rPr>
                <w:rFonts w:hint="eastAsia" w:ascii="宋体" w:hAnsi="宋体" w:eastAsia="宋体" w:cs="宋体"/>
                <w:color w:val="auto"/>
                <w:sz w:val="21"/>
                <w:szCs w:val="21"/>
                <w:highlight w:val="none"/>
              </w:rPr>
            </w:pPr>
          </w:p>
        </w:tc>
      </w:tr>
      <w:tr w14:paraId="14A7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45873D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19" w:type="pct"/>
            <w:tcBorders>
              <w:top w:val="single" w:color="auto" w:sz="4" w:space="0"/>
              <w:left w:val="single" w:color="auto" w:sz="4" w:space="0"/>
              <w:bottom w:val="single" w:color="auto" w:sz="4" w:space="0"/>
              <w:right w:val="single" w:color="auto" w:sz="4" w:space="0"/>
            </w:tcBorders>
            <w:vAlign w:val="center"/>
          </w:tcPr>
          <w:p w14:paraId="78405FF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7C52460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（1）未培训上岗，每人次扣0.5分；</w:t>
            </w:r>
          </w:p>
          <w:p w14:paraId="2833EBC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（2）违反工作制度，每人次扣0.5分；</w:t>
            </w:r>
          </w:p>
          <w:p w14:paraId="044E133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（3）服务态度不好，引起师生投诉，每人次扣0.5分。</w:t>
            </w:r>
          </w:p>
        </w:tc>
        <w:tc>
          <w:tcPr>
            <w:tcW w:w="256" w:type="pct"/>
            <w:tcBorders>
              <w:top w:val="single" w:color="auto" w:sz="4" w:space="0"/>
              <w:left w:val="single" w:color="auto" w:sz="4" w:space="0"/>
              <w:bottom w:val="single" w:color="auto" w:sz="4" w:space="0"/>
              <w:right w:val="single" w:color="auto" w:sz="4" w:space="0"/>
            </w:tcBorders>
            <w:vAlign w:val="center"/>
          </w:tcPr>
          <w:p w14:paraId="71124E90">
            <w:pPr>
              <w:rPr>
                <w:rFonts w:hint="eastAsia" w:ascii="宋体" w:hAnsi="宋体" w:eastAsia="宋体" w:cs="宋体"/>
                <w:color w:val="auto"/>
                <w:sz w:val="21"/>
                <w:szCs w:val="21"/>
                <w:highlight w:val="none"/>
              </w:rPr>
            </w:pPr>
          </w:p>
        </w:tc>
      </w:tr>
      <w:tr w14:paraId="49997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5"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348D4B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监督并反馈相关工作情况：</w:t>
            </w:r>
          </w:p>
          <w:p w14:paraId="10450A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1.保证管理设备工具齐全，包含但不限于钥匙展板</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办公电脑</w:t>
            </w:r>
            <w:r>
              <w:rPr>
                <w:rFonts w:hint="eastAsia" w:ascii="宋体" w:hAnsi="宋体" w:eastAsia="宋体" w:cs="宋体"/>
                <w:b w:val="0"/>
                <w:bCs w:val="0"/>
                <w:color w:val="auto"/>
                <w:sz w:val="21"/>
                <w:szCs w:val="21"/>
                <w:highlight w:val="none"/>
                <w:lang w:val="en-US" w:eastAsia="zh-CN"/>
              </w:rPr>
              <w:t>、</w:t>
            </w:r>
            <w:r>
              <w:rPr>
                <w:rFonts w:hint="eastAsia" w:ascii="宋体" w:hAnsi="宋体" w:eastAsia="宋体" w:cs="宋体"/>
                <w:b w:val="0"/>
                <w:bCs w:val="0"/>
                <w:color w:val="auto"/>
                <w:sz w:val="21"/>
                <w:szCs w:val="21"/>
                <w:highlight w:val="none"/>
              </w:rPr>
              <w:t>打印机、网络线路端口等设施；</w:t>
            </w:r>
          </w:p>
          <w:p w14:paraId="33C49A9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2.巡视上报楼宇内公共区域设施设备使用情况，包括但不限于楼宇公共区域门窗、走廊照明及地面砖、电梯、消防设施设备等使用情况；</w:t>
            </w:r>
          </w:p>
          <w:p w14:paraId="5451C6D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3.跟踪反馈相关工作进展，包括但不限于施工队作业进度、</w:t>
            </w:r>
            <w:r>
              <w:rPr>
                <w:rFonts w:hint="eastAsia" w:ascii="宋体" w:hAnsi="宋体" w:eastAsia="宋体" w:cs="宋体"/>
                <w:color w:val="auto"/>
                <w:szCs w:val="21"/>
                <w:highlight w:val="none"/>
              </w:rPr>
              <w:t>学生晚归情况、</w:t>
            </w:r>
            <w:r>
              <w:rPr>
                <w:rFonts w:hint="eastAsia" w:ascii="宋体" w:hAnsi="宋体" w:eastAsia="宋体" w:cs="宋体"/>
                <w:color w:val="auto"/>
                <w:sz w:val="21"/>
                <w:szCs w:val="21"/>
                <w:highlight w:val="none"/>
              </w:rPr>
              <w:t>故障保修及处理情况、实验室安全隐患整改情况等。</w:t>
            </w:r>
          </w:p>
        </w:tc>
        <w:tc>
          <w:tcPr>
            <w:tcW w:w="319" w:type="pct"/>
            <w:tcBorders>
              <w:top w:val="single" w:color="auto" w:sz="4" w:space="0"/>
              <w:left w:val="single" w:color="auto" w:sz="4" w:space="0"/>
              <w:bottom w:val="single" w:color="auto" w:sz="4" w:space="0"/>
              <w:right w:val="single" w:color="auto" w:sz="4" w:space="0"/>
            </w:tcBorders>
            <w:vAlign w:val="center"/>
          </w:tcPr>
          <w:p w14:paraId="04B5C2F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74A3E8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（1）工具不完整，未收纳于指定区域，影响工作正常开展，扣0.5分；</w:t>
            </w:r>
          </w:p>
          <w:p w14:paraId="2097F94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（2）未巡查或未及时上报楼宇内公共区域设施设备故障，扣0.5分；</w:t>
            </w:r>
          </w:p>
          <w:p w14:paraId="616D4EB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（3）未定期报送维修信息，未跟进反馈处理进展，影响工作效率的，扣1分。</w:t>
            </w:r>
          </w:p>
        </w:tc>
        <w:tc>
          <w:tcPr>
            <w:tcW w:w="256" w:type="pct"/>
            <w:tcBorders>
              <w:top w:val="single" w:color="auto" w:sz="4" w:space="0"/>
              <w:left w:val="single" w:color="auto" w:sz="4" w:space="0"/>
              <w:bottom w:val="single" w:color="auto" w:sz="4" w:space="0"/>
              <w:right w:val="single" w:color="auto" w:sz="4" w:space="0"/>
            </w:tcBorders>
            <w:vAlign w:val="center"/>
          </w:tcPr>
          <w:p w14:paraId="3266420D">
            <w:pPr>
              <w:rPr>
                <w:rFonts w:hint="eastAsia" w:ascii="宋体" w:hAnsi="宋体" w:eastAsia="宋体" w:cs="宋体"/>
                <w:color w:val="auto"/>
                <w:sz w:val="21"/>
                <w:szCs w:val="21"/>
                <w:highlight w:val="none"/>
              </w:rPr>
            </w:pPr>
          </w:p>
        </w:tc>
      </w:tr>
      <w:tr w14:paraId="0990B9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D43D856">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二、公共教学楼宇管理服务（</w:t>
            </w:r>
            <w:r>
              <w:rPr>
                <w:rFonts w:hint="eastAsia" w:ascii="宋体" w:hAnsi="宋体" w:eastAsia="宋体" w:cs="宋体"/>
                <w:b/>
                <w:bCs/>
                <w:color w:val="auto"/>
                <w:szCs w:val="21"/>
                <w:highlight w:val="none"/>
              </w:rPr>
              <w:t>3</w:t>
            </w:r>
            <w:r>
              <w:rPr>
                <w:rFonts w:hint="eastAsia" w:ascii="宋体" w:hAnsi="宋体" w:eastAsia="宋体" w:cs="宋体"/>
                <w:b/>
                <w:bCs/>
                <w:color w:val="auto"/>
                <w:sz w:val="21"/>
                <w:szCs w:val="21"/>
                <w:highlight w:val="none"/>
              </w:rPr>
              <w:t>0分）</w:t>
            </w:r>
          </w:p>
        </w:tc>
      </w:tr>
      <w:tr w14:paraId="1670B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B0FA67E">
            <w:pPr>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公共教学楼宇主要包括办公楼：生医工大楼A、B区地上7层为多功能实验教学楼</w:t>
            </w:r>
            <w:r>
              <w:rPr>
                <w:rFonts w:hint="eastAsia" w:ascii="宋体" w:hAnsi="宋体" w:eastAsia="宋体" w:cs="宋体"/>
                <w:b/>
                <w:bCs/>
                <w:color w:val="auto"/>
                <w:szCs w:val="21"/>
                <w:highlight w:val="none"/>
              </w:rPr>
              <w:t>及未启用的楼层</w:t>
            </w:r>
            <w:r>
              <w:rPr>
                <w:rFonts w:hint="eastAsia" w:ascii="宋体" w:hAnsi="宋体" w:eastAsia="宋体" w:cs="宋体"/>
                <w:b/>
                <w:bCs/>
                <w:color w:val="auto"/>
                <w:sz w:val="21"/>
                <w:szCs w:val="21"/>
                <w:highlight w:val="none"/>
              </w:rPr>
              <w:t>等。</w:t>
            </w:r>
          </w:p>
        </w:tc>
      </w:tr>
      <w:tr w14:paraId="78FA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917228A">
            <w:pPr>
              <w:rPr>
                <w:rFonts w:hint="eastAsia" w:ascii="宋体" w:hAnsi="宋体" w:eastAsia="宋体" w:cs="宋体"/>
                <w:b/>
                <w:color w:val="auto"/>
                <w:sz w:val="21"/>
                <w:szCs w:val="21"/>
                <w:highlight w:val="none"/>
              </w:rPr>
            </w:pPr>
            <w:r>
              <w:rPr>
                <w:rFonts w:hint="eastAsia" w:ascii="宋体" w:hAnsi="宋体" w:eastAsia="宋体" w:cs="宋体"/>
                <w:b/>
                <w:color w:val="auto"/>
                <w:szCs w:val="21"/>
                <w:highlight w:val="none"/>
              </w:rPr>
              <w:t>教学课室</w:t>
            </w:r>
            <w:r>
              <w:rPr>
                <w:rFonts w:hint="eastAsia" w:ascii="宋体" w:hAnsi="宋体" w:eastAsia="宋体" w:cs="宋体"/>
                <w:b/>
                <w:color w:val="auto"/>
                <w:sz w:val="21"/>
                <w:szCs w:val="21"/>
                <w:highlight w:val="none"/>
              </w:rPr>
              <w:t>、实验室</w:t>
            </w:r>
            <w:r>
              <w:rPr>
                <w:rFonts w:hint="eastAsia" w:ascii="宋体" w:hAnsi="宋体" w:eastAsia="宋体" w:cs="宋体"/>
                <w:b/>
                <w:color w:val="auto"/>
                <w:szCs w:val="21"/>
                <w:highlight w:val="none"/>
              </w:rPr>
              <w:t>开放</w:t>
            </w:r>
            <w:r>
              <w:rPr>
                <w:rFonts w:hint="eastAsia" w:ascii="宋体" w:hAnsi="宋体" w:eastAsia="宋体" w:cs="宋体"/>
                <w:b/>
                <w:color w:val="auto"/>
                <w:sz w:val="21"/>
                <w:szCs w:val="21"/>
                <w:highlight w:val="none"/>
              </w:rPr>
              <w:t>管理服务：</w:t>
            </w:r>
          </w:p>
          <w:p w14:paraId="78403AC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（1）按教务</w:t>
            </w:r>
            <w:r>
              <w:rPr>
                <w:rFonts w:hint="eastAsia" w:ascii="宋体" w:hAnsi="宋体" w:eastAsia="宋体" w:cs="宋体"/>
                <w:color w:val="auto"/>
                <w:szCs w:val="21"/>
                <w:highlight w:val="none"/>
              </w:rPr>
              <w:t>办</w:t>
            </w:r>
            <w:r>
              <w:rPr>
                <w:rFonts w:hint="eastAsia" w:ascii="宋体" w:hAnsi="宋体" w:eastAsia="宋体" w:cs="宋体"/>
                <w:color w:val="auto"/>
                <w:sz w:val="21"/>
                <w:szCs w:val="21"/>
                <w:highlight w:val="none"/>
              </w:rPr>
              <w:t>提供的课室、实验室使用情况，提前开门，准备好课室、实验室（包括但不限于开灯、开空调、开窗等），检查课室、实验室情况，若发现异常及时处理或上报甲方，若因空调、电灯等问题无法立即解决而影响教学时，应立即更换教室、实验室。</w:t>
            </w:r>
          </w:p>
          <w:p w14:paraId="3606592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（2）课后检查课室、实验室情况，包括但不限于：关灯、关空调、关窗、黑板清洁及课室卫生情况等。</w:t>
            </w:r>
          </w:p>
          <w:p w14:paraId="753C64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（3）整合及关闭空置和利用率低的教室、实验室，节约能源。</w:t>
            </w:r>
          </w:p>
          <w:p w14:paraId="42ABEF1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（4）发现学生或教师有携带食物进入楼宇，应予以制止并进行公教楼、实验楼管理规定宣传工作。</w:t>
            </w:r>
          </w:p>
          <w:p w14:paraId="22F853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（5）对于教学单位、学生社团使用课室举办讲座等活动，使用实验室进行竞赛训练活动，经相关部门批准后给予配合，及时安排。</w:t>
            </w:r>
          </w:p>
          <w:p w14:paraId="389ADD3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（6）按要求做好课室、实验室粘贴管理工作。</w:t>
            </w:r>
          </w:p>
          <w:p w14:paraId="4F8FC194">
            <w:pPr>
              <w:rPr>
                <w:rFonts w:hint="eastAsia" w:ascii="宋体" w:hAnsi="宋体" w:eastAsia="宋体" w:cs="宋体"/>
                <w:color w:val="auto"/>
                <w:sz w:val="30"/>
                <w:szCs w:val="36"/>
                <w:highlight w:val="none"/>
              </w:rPr>
            </w:pPr>
            <w:r>
              <w:rPr>
                <w:rFonts w:hint="eastAsia" w:ascii="宋体" w:hAnsi="宋体" w:eastAsia="宋体" w:cs="宋体"/>
                <w:b w:val="0"/>
                <w:color w:val="auto"/>
                <w:sz w:val="21"/>
                <w:szCs w:val="21"/>
                <w:highlight w:val="none"/>
              </w:rPr>
              <w:t>（7）按教务</w:t>
            </w:r>
            <w:r>
              <w:rPr>
                <w:rFonts w:hint="eastAsia" w:ascii="宋体" w:hAnsi="宋体" w:eastAsia="宋体" w:cs="宋体"/>
                <w:color w:val="auto"/>
                <w:szCs w:val="21"/>
                <w:highlight w:val="none"/>
              </w:rPr>
              <w:t>办</w:t>
            </w:r>
            <w:r>
              <w:rPr>
                <w:rFonts w:hint="eastAsia" w:ascii="宋体" w:hAnsi="宋体" w:eastAsia="宋体" w:cs="宋体"/>
                <w:b w:val="0"/>
                <w:color w:val="auto"/>
                <w:sz w:val="21"/>
                <w:szCs w:val="21"/>
                <w:highlight w:val="none"/>
              </w:rPr>
              <w:t>课室使用通知文件规范安排使用课室、实验室，并配合做好各项工作，不得擅自将课室、实验室开放给他人使用。</w:t>
            </w:r>
          </w:p>
        </w:tc>
        <w:tc>
          <w:tcPr>
            <w:tcW w:w="319" w:type="pct"/>
            <w:tcBorders>
              <w:top w:val="single" w:color="auto" w:sz="4" w:space="0"/>
              <w:left w:val="single" w:color="auto" w:sz="4" w:space="0"/>
              <w:bottom w:val="single" w:color="auto" w:sz="4" w:space="0"/>
              <w:right w:val="single" w:color="auto" w:sz="4" w:space="0"/>
            </w:tcBorders>
            <w:vAlign w:val="center"/>
          </w:tcPr>
          <w:p w14:paraId="7E50B5C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7FFDEE6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FDF938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27E7E51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（3）若造成较大影响，每次扣2分。</w:t>
            </w:r>
          </w:p>
        </w:tc>
        <w:tc>
          <w:tcPr>
            <w:tcW w:w="256" w:type="pct"/>
            <w:tcBorders>
              <w:top w:val="single" w:color="auto" w:sz="4" w:space="0"/>
              <w:left w:val="single" w:color="auto" w:sz="4" w:space="0"/>
              <w:bottom w:val="single" w:color="auto" w:sz="4" w:space="0"/>
              <w:right w:val="single" w:color="auto" w:sz="4" w:space="0"/>
            </w:tcBorders>
            <w:vAlign w:val="center"/>
          </w:tcPr>
          <w:p w14:paraId="3E62648C">
            <w:pPr>
              <w:rPr>
                <w:rFonts w:hint="eastAsia" w:ascii="宋体" w:hAnsi="宋体" w:eastAsia="宋体" w:cs="宋体"/>
                <w:color w:val="auto"/>
                <w:sz w:val="21"/>
                <w:szCs w:val="21"/>
                <w:highlight w:val="none"/>
              </w:rPr>
            </w:pPr>
          </w:p>
        </w:tc>
      </w:tr>
      <w:tr w14:paraId="54C89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658090A">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人员进出登记服务：</w:t>
            </w:r>
          </w:p>
          <w:p w14:paraId="3D5B026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（1）对进入楼宇的保洁人员、消毒消杀工作人员、电梯维修维保工作人员、空调维修维保人员、饮水机维修维保人员、零星维修工作人员、其他非园区工作人员等进行登记。</w:t>
            </w:r>
          </w:p>
          <w:p w14:paraId="776C630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（2）登记内容包括但不限于进入日期、进入时间、离开时间、事由、姓名、联系电话、备注等信息。</w:t>
            </w:r>
          </w:p>
          <w:p w14:paraId="30A6FDC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（3）发现可疑人员，及时上报。</w:t>
            </w:r>
          </w:p>
        </w:tc>
        <w:tc>
          <w:tcPr>
            <w:tcW w:w="319" w:type="pct"/>
            <w:tcBorders>
              <w:top w:val="single" w:color="auto" w:sz="4" w:space="0"/>
              <w:left w:val="single" w:color="auto" w:sz="4" w:space="0"/>
              <w:bottom w:val="single" w:color="auto" w:sz="4" w:space="0"/>
              <w:right w:val="single" w:color="auto" w:sz="4" w:space="0"/>
            </w:tcBorders>
            <w:vAlign w:val="center"/>
          </w:tcPr>
          <w:p w14:paraId="200158FD">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7790F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7FD25A4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6E6EF5C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1A8BFBFF">
            <w:pPr>
              <w:rPr>
                <w:rFonts w:hint="eastAsia" w:ascii="宋体" w:hAnsi="宋体" w:eastAsia="宋体" w:cs="宋体"/>
                <w:color w:val="auto"/>
                <w:sz w:val="21"/>
                <w:szCs w:val="21"/>
                <w:highlight w:val="none"/>
              </w:rPr>
            </w:pPr>
          </w:p>
        </w:tc>
      </w:tr>
      <w:tr w14:paraId="768E8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F23C634">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大件物品出入管理服务：</w:t>
            </w:r>
          </w:p>
          <w:p w14:paraId="6A5B7FA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（1）大件物品进出应检查物品，并在《大件物品进出登记表》登记。</w:t>
            </w:r>
          </w:p>
          <w:p w14:paraId="3674B8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（2）对进入责任范围内楼宇、场地的施工、安装的材料物品监督按</w:t>
            </w:r>
            <w:r>
              <w:rPr>
                <w:rFonts w:hint="eastAsia" w:ascii="宋体" w:hAnsi="宋体" w:eastAsia="宋体" w:cs="宋体"/>
                <w:color w:val="auto"/>
                <w:szCs w:val="21"/>
                <w:highlight w:val="none"/>
              </w:rPr>
              <w:t>园区</w:t>
            </w:r>
            <w:r>
              <w:rPr>
                <w:rFonts w:hint="eastAsia" w:ascii="宋体" w:hAnsi="宋体" w:eastAsia="宋体" w:cs="宋体"/>
                <w:color w:val="auto"/>
                <w:sz w:val="21"/>
                <w:szCs w:val="21"/>
                <w:highlight w:val="none"/>
              </w:rPr>
              <w:t>要求堆放在指定地点，并做好安全监管工作。</w:t>
            </w:r>
          </w:p>
          <w:p w14:paraId="2C89BF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（3）配合执行甲方对大件物品进出的管理规定。</w:t>
            </w:r>
          </w:p>
        </w:tc>
        <w:tc>
          <w:tcPr>
            <w:tcW w:w="319" w:type="pct"/>
            <w:tcBorders>
              <w:top w:val="single" w:color="auto" w:sz="4" w:space="0"/>
              <w:left w:val="single" w:color="auto" w:sz="4" w:space="0"/>
              <w:bottom w:val="single" w:color="auto" w:sz="4" w:space="0"/>
              <w:right w:val="single" w:color="auto" w:sz="4" w:space="0"/>
            </w:tcBorders>
            <w:vAlign w:val="center"/>
          </w:tcPr>
          <w:p w14:paraId="7173EB9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5F82B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（1）大件物品进出未检查、登记，每次扣1分。  </w:t>
            </w:r>
          </w:p>
          <w:p w14:paraId="7A4686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（2）对禁止进入教学楼的大件物品未禁止，每次扣0.5分。  </w:t>
            </w:r>
          </w:p>
          <w:p w14:paraId="1D6E55C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（3）对进入楼宇的施工、安装的材料物品未监管的，每次扣0.5分。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C776F67">
            <w:pPr>
              <w:rPr>
                <w:rFonts w:hint="eastAsia" w:ascii="宋体" w:hAnsi="宋体" w:eastAsia="宋体" w:cs="宋体"/>
                <w:color w:val="auto"/>
                <w:sz w:val="21"/>
                <w:szCs w:val="21"/>
                <w:highlight w:val="none"/>
              </w:rPr>
            </w:pPr>
          </w:p>
        </w:tc>
      </w:tr>
      <w:tr w14:paraId="1659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A4C98A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电铃管理服务：</w:t>
            </w:r>
          </w:p>
          <w:p w14:paraId="5CE8DD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（1）按教务</w:t>
            </w:r>
            <w:r>
              <w:rPr>
                <w:rFonts w:hint="eastAsia" w:ascii="宋体" w:hAnsi="宋体" w:eastAsia="宋体" w:cs="宋体"/>
                <w:color w:val="auto"/>
                <w:sz w:val="21"/>
                <w:szCs w:val="21"/>
                <w:highlight w:val="none"/>
                <w:lang w:val="en-US" w:eastAsia="zh-CN"/>
              </w:rPr>
              <w:t>办</w:t>
            </w:r>
            <w:r>
              <w:rPr>
                <w:rFonts w:hint="eastAsia" w:ascii="宋体" w:hAnsi="宋体" w:eastAsia="宋体" w:cs="宋体"/>
                <w:color w:val="auto"/>
                <w:sz w:val="21"/>
                <w:szCs w:val="21"/>
                <w:highlight w:val="none"/>
              </w:rPr>
              <w:t>的时间安排，</w:t>
            </w:r>
            <w:r>
              <w:rPr>
                <w:rFonts w:hint="eastAsia" w:ascii="宋体" w:hAnsi="宋体" w:eastAsia="宋体" w:cs="宋体"/>
                <w:color w:val="auto"/>
                <w:sz w:val="21"/>
                <w:szCs w:val="21"/>
                <w:highlight w:val="none"/>
                <w:lang w:val="en-US" w:eastAsia="zh-CN"/>
              </w:rPr>
              <w:t>设置好电</w:t>
            </w:r>
            <w:r>
              <w:rPr>
                <w:rFonts w:hint="eastAsia" w:ascii="宋体" w:hAnsi="宋体" w:eastAsia="宋体" w:cs="宋体"/>
                <w:color w:val="auto"/>
                <w:sz w:val="21"/>
                <w:szCs w:val="21"/>
                <w:highlight w:val="none"/>
              </w:rPr>
              <w:t>铃。</w:t>
            </w:r>
          </w:p>
          <w:p w14:paraId="0C6F15E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（2）考试期间，配合</w:t>
            </w:r>
            <w:r>
              <w:rPr>
                <w:rFonts w:hint="eastAsia" w:ascii="宋体" w:hAnsi="宋体" w:eastAsia="宋体" w:cs="宋体"/>
                <w:color w:val="auto"/>
                <w:sz w:val="21"/>
                <w:szCs w:val="21"/>
                <w:highlight w:val="none"/>
                <w:lang w:val="en-US" w:eastAsia="zh-CN"/>
              </w:rPr>
              <w:t>采购方设置好</w:t>
            </w:r>
            <w:r>
              <w:rPr>
                <w:rFonts w:hint="eastAsia" w:ascii="宋体" w:hAnsi="宋体" w:eastAsia="宋体" w:cs="宋体"/>
                <w:color w:val="auto"/>
                <w:sz w:val="21"/>
                <w:szCs w:val="21"/>
                <w:highlight w:val="none"/>
              </w:rPr>
              <w:t>电铃准时打铃。</w:t>
            </w:r>
          </w:p>
          <w:p w14:paraId="2380448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（3）保证课室时钟的准确性，每个月进行一次调校。</w:t>
            </w:r>
          </w:p>
        </w:tc>
        <w:tc>
          <w:tcPr>
            <w:tcW w:w="319" w:type="pct"/>
            <w:tcBorders>
              <w:top w:val="single" w:color="auto" w:sz="4" w:space="0"/>
              <w:left w:val="single" w:color="auto" w:sz="4" w:space="0"/>
              <w:bottom w:val="single" w:color="auto" w:sz="4" w:space="0"/>
              <w:right w:val="single" w:color="auto" w:sz="4" w:space="0"/>
            </w:tcBorders>
            <w:vAlign w:val="center"/>
          </w:tcPr>
          <w:p w14:paraId="36B92C61">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79D760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070E97D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0883B3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30FE4B76">
            <w:pPr>
              <w:rPr>
                <w:rFonts w:hint="eastAsia" w:ascii="宋体" w:hAnsi="宋体" w:eastAsia="宋体" w:cs="宋体"/>
                <w:color w:val="auto"/>
                <w:sz w:val="21"/>
                <w:szCs w:val="21"/>
                <w:highlight w:val="none"/>
              </w:rPr>
            </w:pPr>
          </w:p>
        </w:tc>
      </w:tr>
      <w:tr w14:paraId="07671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2C7A46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失物登记管理服务：</w:t>
            </w:r>
          </w:p>
          <w:p w14:paraId="04DCEB5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（1）记录失物的情况，内容包括但不限于：发现时间、发现地点、发现物品（梗概）、发现者、发现者电话、失主有效身份证件、失主电话。</w:t>
            </w:r>
          </w:p>
          <w:p w14:paraId="59C3239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（2）应核实失物情况及失主身份，确认登记有效证件后方可签领。</w:t>
            </w:r>
          </w:p>
        </w:tc>
        <w:tc>
          <w:tcPr>
            <w:tcW w:w="319" w:type="pct"/>
            <w:tcBorders>
              <w:top w:val="single" w:color="auto" w:sz="4" w:space="0"/>
              <w:left w:val="single" w:color="auto" w:sz="4" w:space="0"/>
              <w:bottom w:val="single" w:color="auto" w:sz="4" w:space="0"/>
              <w:right w:val="single" w:color="auto" w:sz="4" w:space="0"/>
            </w:tcBorders>
            <w:vAlign w:val="center"/>
          </w:tcPr>
          <w:p w14:paraId="6E08055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2F46BC6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2B0FBF5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1D2E28A0">
            <w:pPr>
              <w:rPr>
                <w:rFonts w:hint="eastAsia" w:ascii="宋体" w:hAnsi="宋体" w:eastAsia="宋体" w:cs="宋体"/>
                <w:color w:val="auto"/>
                <w:sz w:val="21"/>
                <w:szCs w:val="21"/>
                <w:highlight w:val="none"/>
              </w:rPr>
            </w:pPr>
          </w:p>
        </w:tc>
      </w:tr>
      <w:tr w14:paraId="15DE0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01F24D0">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工作交接本管理服务：</w:t>
            </w:r>
          </w:p>
          <w:p w14:paraId="67294D2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（1）每天工作过程中，将已完成的工作进行登记；每天工作结束前，将未完成的工作登记清楚，交给对班。</w:t>
            </w:r>
          </w:p>
          <w:p w14:paraId="60C9CF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（2）楼管班长和主管应经常检查工作交接本，保证其登记的规范性。</w:t>
            </w:r>
          </w:p>
        </w:tc>
        <w:tc>
          <w:tcPr>
            <w:tcW w:w="319" w:type="pct"/>
            <w:tcBorders>
              <w:top w:val="single" w:color="auto" w:sz="4" w:space="0"/>
              <w:left w:val="single" w:color="auto" w:sz="4" w:space="0"/>
              <w:bottom w:val="single" w:color="auto" w:sz="4" w:space="0"/>
              <w:right w:val="single" w:color="auto" w:sz="4" w:space="0"/>
            </w:tcBorders>
            <w:vAlign w:val="center"/>
          </w:tcPr>
          <w:p w14:paraId="21305A1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6ECD8E3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A67CEC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441E518A">
            <w:pPr>
              <w:rPr>
                <w:rFonts w:hint="eastAsia" w:ascii="宋体" w:hAnsi="宋体" w:eastAsia="宋体" w:cs="宋体"/>
                <w:color w:val="auto"/>
                <w:sz w:val="21"/>
                <w:szCs w:val="21"/>
                <w:highlight w:val="none"/>
              </w:rPr>
            </w:pPr>
          </w:p>
        </w:tc>
      </w:tr>
      <w:tr w14:paraId="249C1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138959A5">
            <w:pP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岗位职责表管理服务：</w:t>
            </w:r>
            <w:r>
              <w:rPr>
                <w:rFonts w:hint="eastAsia" w:ascii="宋体" w:hAnsi="宋体" w:eastAsia="宋体" w:cs="宋体"/>
                <w:color w:val="auto"/>
                <w:sz w:val="21"/>
                <w:szCs w:val="21"/>
                <w:highlight w:val="none"/>
              </w:rPr>
              <w:t>记录本岗位应了解的楼宇、人员、物资的基本情况，以及其他具有特殊性的情况。</w:t>
            </w:r>
          </w:p>
        </w:tc>
        <w:tc>
          <w:tcPr>
            <w:tcW w:w="319" w:type="pct"/>
            <w:tcBorders>
              <w:top w:val="single" w:color="auto" w:sz="4" w:space="0"/>
              <w:left w:val="single" w:color="auto" w:sz="4" w:space="0"/>
              <w:bottom w:val="single" w:color="auto" w:sz="4" w:space="0"/>
              <w:right w:val="single" w:color="auto" w:sz="4" w:space="0"/>
            </w:tcBorders>
            <w:vAlign w:val="center"/>
          </w:tcPr>
          <w:p w14:paraId="32A6114F">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50D45B0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3865E8C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03795012">
            <w:pPr>
              <w:rPr>
                <w:rFonts w:hint="eastAsia" w:ascii="宋体" w:hAnsi="宋体" w:eastAsia="宋体" w:cs="宋体"/>
                <w:color w:val="auto"/>
                <w:sz w:val="21"/>
                <w:szCs w:val="21"/>
                <w:highlight w:val="none"/>
              </w:rPr>
            </w:pPr>
          </w:p>
        </w:tc>
      </w:tr>
      <w:tr w14:paraId="1CCB4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2BCA652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巡查管理服务：</w:t>
            </w:r>
          </w:p>
          <w:p w14:paraId="7C5274D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巡查公共教学楼宇的卫生保洁情况，门窗、走廊照明及地面砖、电梯、消防设施设备摆放等使用情况，管理员履职情况、人员及物品进出管理情况、课室、实验室管理情况等。并做好巡查登记，内容包括但不限于：时间、巡查地点、巡查内容、巡查情况、巡查人员。</w:t>
            </w:r>
          </w:p>
          <w:p w14:paraId="639FBA1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（2）与管理员协同做好上下课等高峰时段的公共教学楼宇的秩序维护等工作。</w:t>
            </w:r>
          </w:p>
          <w:p w14:paraId="78C5F98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（3）做好公共教学楼宇突发事件的应急处置等工作。</w:t>
            </w:r>
          </w:p>
        </w:tc>
        <w:tc>
          <w:tcPr>
            <w:tcW w:w="319" w:type="pct"/>
            <w:tcBorders>
              <w:top w:val="single" w:color="auto" w:sz="4" w:space="0"/>
              <w:left w:val="single" w:color="auto" w:sz="4" w:space="0"/>
              <w:bottom w:val="single" w:color="auto" w:sz="4" w:space="0"/>
              <w:right w:val="single" w:color="auto" w:sz="4" w:space="0"/>
            </w:tcBorders>
            <w:vAlign w:val="center"/>
          </w:tcPr>
          <w:p w14:paraId="6E649F05">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22881F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（1）未巡查或无巡查记录，每次扣0.2分；</w:t>
            </w:r>
          </w:p>
          <w:p w14:paraId="763BF76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（2）发现问题未报告或处理，每次扣0.5分；</w:t>
            </w:r>
          </w:p>
          <w:p w14:paraId="384BC41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（3）因巡查不力、协同不到位造成较大影响的，每次扣1分。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2978EF12">
            <w:pPr>
              <w:rPr>
                <w:rFonts w:hint="eastAsia" w:ascii="宋体" w:hAnsi="宋体" w:eastAsia="宋体" w:cs="宋体"/>
                <w:color w:val="auto"/>
                <w:sz w:val="21"/>
                <w:szCs w:val="21"/>
                <w:highlight w:val="none"/>
              </w:rPr>
            </w:pPr>
          </w:p>
        </w:tc>
      </w:tr>
      <w:tr w14:paraId="6D6A6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BAC75FF">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空调使用管理服务：</w:t>
            </w:r>
          </w:p>
          <w:p w14:paraId="0B880D0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（1）空调报修登记及上报。</w:t>
            </w:r>
          </w:p>
          <w:p w14:paraId="229D5CA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（2）跟踪空调维修情况，建立维修记录台账（包括但不限于时间、维修情况、维修人员签名、修好后楼管确认）。</w:t>
            </w:r>
          </w:p>
        </w:tc>
        <w:tc>
          <w:tcPr>
            <w:tcW w:w="319" w:type="pct"/>
            <w:tcBorders>
              <w:top w:val="single" w:color="auto" w:sz="4" w:space="0"/>
              <w:left w:val="single" w:color="auto" w:sz="4" w:space="0"/>
              <w:bottom w:val="single" w:color="auto" w:sz="4" w:space="0"/>
              <w:right w:val="single" w:color="auto" w:sz="4" w:space="0"/>
            </w:tcBorders>
            <w:vAlign w:val="center"/>
          </w:tcPr>
          <w:p w14:paraId="5944ECEB">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0816BE2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（1）登记转交不及时，每次扣0.2分；</w:t>
            </w:r>
          </w:p>
          <w:p w14:paraId="4D657C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（2）无台账，每次扣0.2分。</w:t>
            </w:r>
          </w:p>
        </w:tc>
        <w:tc>
          <w:tcPr>
            <w:tcW w:w="256" w:type="pct"/>
            <w:tcBorders>
              <w:top w:val="single" w:color="auto" w:sz="4" w:space="0"/>
              <w:left w:val="single" w:color="auto" w:sz="4" w:space="0"/>
              <w:bottom w:val="single" w:color="auto" w:sz="4" w:space="0"/>
              <w:right w:val="single" w:color="auto" w:sz="4" w:space="0"/>
            </w:tcBorders>
            <w:vAlign w:val="center"/>
          </w:tcPr>
          <w:p w14:paraId="54B9E4C7">
            <w:pPr>
              <w:rPr>
                <w:rFonts w:hint="eastAsia" w:ascii="宋体" w:hAnsi="宋体" w:eastAsia="宋体" w:cs="宋体"/>
                <w:color w:val="auto"/>
                <w:sz w:val="21"/>
                <w:szCs w:val="21"/>
                <w:highlight w:val="none"/>
              </w:rPr>
            </w:pPr>
          </w:p>
        </w:tc>
      </w:tr>
      <w:tr w14:paraId="4E40B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01BC065A">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维修管理服务：</w:t>
            </w:r>
          </w:p>
          <w:p w14:paraId="4DBFF3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（1）登记师生报修资料，每天报维修跟踪员。</w:t>
            </w:r>
          </w:p>
          <w:p w14:paraId="779D79B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（2）跟踪本栋楼宇维修完成情况，做好详细维修登记记录。</w:t>
            </w:r>
          </w:p>
        </w:tc>
        <w:tc>
          <w:tcPr>
            <w:tcW w:w="319" w:type="pct"/>
            <w:tcBorders>
              <w:top w:val="single" w:color="auto" w:sz="4" w:space="0"/>
              <w:left w:val="single" w:color="auto" w:sz="4" w:space="0"/>
              <w:bottom w:val="single" w:color="auto" w:sz="4" w:space="0"/>
              <w:right w:val="single" w:color="auto" w:sz="4" w:space="0"/>
            </w:tcBorders>
            <w:vAlign w:val="center"/>
          </w:tcPr>
          <w:p w14:paraId="30C8F269">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5641B33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43E3C45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p w14:paraId="5E455B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50F36EC2">
            <w:pPr>
              <w:rPr>
                <w:rFonts w:hint="eastAsia" w:ascii="宋体" w:hAnsi="宋体" w:eastAsia="宋体" w:cs="宋体"/>
                <w:color w:val="auto"/>
                <w:sz w:val="21"/>
                <w:szCs w:val="21"/>
                <w:highlight w:val="none"/>
              </w:rPr>
            </w:pPr>
          </w:p>
        </w:tc>
      </w:tr>
      <w:tr w14:paraId="5DC44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2269958C">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楼宇物资管理服务：</w:t>
            </w:r>
          </w:p>
          <w:p w14:paraId="5A9E18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（1）确保购置正规品牌且质量较好的公共教学楼宇日常用品及耗材，并做好物资购置及领用登记。登记内容包括但不限于日期、领取物资、领取数量、投放点、存量、领取人等信息。</w:t>
            </w:r>
          </w:p>
          <w:p w14:paraId="53AEE1C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（2）按要求及时调配教学用移动白板或移动黑板，及时补充课室、实验室、讨论室、教师休息室、卫生间等场所的各类耗资，如粉笔、油性笔、板擦、洗手液、卫生纸等。</w:t>
            </w:r>
          </w:p>
          <w:p w14:paraId="3A3BF6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（3）巡查并登记学生有丢失或故意损坏物资的情况，应教育其进行赔偿，将物资补齐。</w:t>
            </w:r>
          </w:p>
        </w:tc>
        <w:tc>
          <w:tcPr>
            <w:tcW w:w="319" w:type="pct"/>
            <w:tcBorders>
              <w:top w:val="single" w:color="auto" w:sz="4" w:space="0"/>
              <w:left w:val="single" w:color="auto" w:sz="4" w:space="0"/>
              <w:bottom w:val="single" w:color="auto" w:sz="4" w:space="0"/>
              <w:right w:val="single" w:color="auto" w:sz="4" w:space="0"/>
            </w:tcBorders>
            <w:vAlign w:val="center"/>
          </w:tcPr>
          <w:p w14:paraId="2C131A6D">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2</w:t>
            </w:r>
          </w:p>
        </w:tc>
        <w:tc>
          <w:tcPr>
            <w:tcW w:w="1706" w:type="pct"/>
            <w:tcBorders>
              <w:top w:val="single" w:color="auto" w:sz="4" w:space="0"/>
              <w:left w:val="single" w:color="auto" w:sz="4" w:space="0"/>
              <w:bottom w:val="single" w:color="auto" w:sz="4" w:space="0"/>
              <w:right w:val="single" w:color="auto" w:sz="4" w:space="0"/>
            </w:tcBorders>
            <w:vAlign w:val="center"/>
          </w:tcPr>
          <w:p w14:paraId="40D1CD4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（1）未及时履行职责，每次0.2分；</w:t>
            </w:r>
          </w:p>
          <w:p w14:paraId="0F9C88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（2）若造成一定影响，每次扣0.5分。</w:t>
            </w:r>
          </w:p>
        </w:tc>
        <w:tc>
          <w:tcPr>
            <w:tcW w:w="256" w:type="pct"/>
            <w:tcBorders>
              <w:top w:val="single" w:color="auto" w:sz="4" w:space="0"/>
              <w:left w:val="single" w:color="auto" w:sz="4" w:space="0"/>
              <w:bottom w:val="single" w:color="auto" w:sz="4" w:space="0"/>
              <w:right w:val="single" w:color="auto" w:sz="4" w:space="0"/>
            </w:tcBorders>
            <w:vAlign w:val="center"/>
          </w:tcPr>
          <w:p w14:paraId="022013F6">
            <w:pPr>
              <w:rPr>
                <w:rFonts w:hint="eastAsia" w:ascii="宋体" w:hAnsi="宋体" w:eastAsia="宋体" w:cs="宋体"/>
                <w:color w:val="auto"/>
                <w:sz w:val="21"/>
                <w:szCs w:val="21"/>
                <w:highlight w:val="none"/>
              </w:rPr>
            </w:pPr>
          </w:p>
        </w:tc>
      </w:tr>
      <w:tr w14:paraId="6A822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6F2463C">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三、</w:t>
            </w:r>
            <w:r>
              <w:rPr>
                <w:rFonts w:hint="eastAsia" w:ascii="宋体" w:hAnsi="宋体" w:eastAsia="宋体" w:cs="宋体"/>
                <w:b/>
                <w:bCs/>
                <w:color w:val="auto"/>
                <w:szCs w:val="21"/>
                <w:highlight w:val="none"/>
              </w:rPr>
              <w:t>实验室楼宇管理服务</w:t>
            </w:r>
            <w:r>
              <w:rPr>
                <w:rFonts w:hint="eastAsia" w:ascii="宋体" w:hAnsi="宋体" w:eastAsia="宋体" w:cs="宋体"/>
                <w:b/>
                <w:bCs/>
                <w:color w:val="auto"/>
                <w:sz w:val="21"/>
                <w:szCs w:val="21"/>
                <w:highlight w:val="none"/>
              </w:rPr>
              <w:t>（</w:t>
            </w:r>
            <w:r>
              <w:rPr>
                <w:rFonts w:hint="eastAsia" w:ascii="宋体" w:hAnsi="宋体" w:eastAsia="宋体" w:cs="宋体"/>
                <w:b/>
                <w:bCs/>
                <w:color w:val="auto"/>
                <w:szCs w:val="21"/>
                <w:highlight w:val="none"/>
              </w:rPr>
              <w:t>10</w:t>
            </w:r>
            <w:r>
              <w:rPr>
                <w:rFonts w:hint="eastAsia" w:ascii="宋体" w:hAnsi="宋体" w:eastAsia="宋体" w:cs="宋体"/>
                <w:b/>
                <w:bCs/>
                <w:color w:val="auto"/>
                <w:sz w:val="21"/>
                <w:szCs w:val="21"/>
                <w:highlight w:val="none"/>
              </w:rPr>
              <w:t>分）</w:t>
            </w:r>
          </w:p>
        </w:tc>
      </w:tr>
      <w:tr w14:paraId="5D36C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76DB4F88">
            <w:pPr>
              <w:spacing w:line="320" w:lineRule="exact"/>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科研实验室管理服务：</w:t>
            </w:r>
          </w:p>
          <w:p w14:paraId="5DE5132B">
            <w:p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日常管理服务：</w:t>
            </w:r>
          </w:p>
          <w:p w14:paraId="5015FE82">
            <w:pPr>
              <w:numPr>
                <w:ilvl w:val="0"/>
                <w:numId w:val="13"/>
              </w:numPr>
              <w:spacing w:line="320" w:lineRule="exact"/>
              <w:rPr>
                <w:rFonts w:hint="eastAsia" w:ascii="宋体" w:hAnsi="宋体" w:eastAsia="宋体" w:cs="宋体"/>
                <w:b w:val="0"/>
                <w:bCs/>
                <w:color w:val="auto"/>
                <w:szCs w:val="21"/>
                <w:highlight w:val="none"/>
              </w:rPr>
            </w:pPr>
            <w:r>
              <w:rPr>
                <w:rFonts w:hint="eastAsia" w:ascii="宋体" w:hAnsi="宋体" w:eastAsia="宋体" w:cs="宋体"/>
                <w:b w:val="0"/>
                <w:bCs/>
                <w:color w:val="auto"/>
                <w:szCs w:val="21"/>
                <w:highlight w:val="none"/>
              </w:rPr>
              <w:t>科研</w:t>
            </w:r>
            <w:r>
              <w:rPr>
                <w:rFonts w:hint="eastAsia" w:ascii="宋体" w:hAnsi="宋体" w:eastAsia="宋体" w:cs="宋体"/>
                <w:b w:val="0"/>
                <w:bCs/>
                <w:color w:val="auto"/>
                <w:sz w:val="21"/>
                <w:szCs w:val="21"/>
                <w:highlight w:val="none"/>
              </w:rPr>
              <w:t>实验室使用情况，包括但不限于开灯、开空调、开窗等</w:t>
            </w:r>
            <w:r>
              <w:rPr>
                <w:rFonts w:hint="eastAsia" w:ascii="宋体" w:hAnsi="宋体" w:eastAsia="宋体" w:cs="宋体"/>
                <w:b w:val="0"/>
                <w:bCs/>
                <w:color w:val="auto"/>
                <w:szCs w:val="21"/>
                <w:highlight w:val="none"/>
              </w:rPr>
              <w:t>，</w:t>
            </w:r>
            <w:r>
              <w:rPr>
                <w:rFonts w:hint="eastAsia" w:ascii="宋体" w:hAnsi="宋体" w:eastAsia="宋体" w:cs="宋体"/>
                <w:b w:val="0"/>
                <w:bCs/>
                <w:color w:val="auto"/>
                <w:sz w:val="21"/>
                <w:szCs w:val="21"/>
                <w:highlight w:val="none"/>
              </w:rPr>
              <w:t>检查实验室情况，若发现异常及时处理或上报</w:t>
            </w:r>
            <w:r>
              <w:rPr>
                <w:rFonts w:hint="eastAsia" w:ascii="宋体" w:hAnsi="宋体" w:eastAsia="宋体" w:cs="宋体"/>
                <w:b w:val="0"/>
                <w:bCs/>
                <w:color w:val="auto"/>
                <w:szCs w:val="21"/>
                <w:highlight w:val="none"/>
              </w:rPr>
              <w:t>采购方</w:t>
            </w:r>
            <w:r>
              <w:rPr>
                <w:rFonts w:hint="eastAsia" w:ascii="宋体" w:hAnsi="宋体" w:eastAsia="宋体" w:cs="宋体"/>
                <w:b w:val="0"/>
                <w:bCs/>
                <w:color w:val="auto"/>
                <w:sz w:val="21"/>
                <w:szCs w:val="21"/>
                <w:highlight w:val="none"/>
              </w:rPr>
              <w:t>，若因空调、电灯</w:t>
            </w:r>
            <w:r>
              <w:rPr>
                <w:rFonts w:hint="eastAsia" w:ascii="宋体" w:hAnsi="宋体" w:eastAsia="宋体" w:cs="宋体"/>
                <w:b w:val="0"/>
                <w:bCs/>
                <w:color w:val="auto"/>
                <w:szCs w:val="21"/>
                <w:highlight w:val="none"/>
              </w:rPr>
              <w:t>、仪器设备、系统</w:t>
            </w:r>
            <w:r>
              <w:rPr>
                <w:rFonts w:hint="eastAsia" w:ascii="宋体" w:hAnsi="宋体" w:eastAsia="宋体" w:cs="宋体"/>
                <w:b w:val="0"/>
                <w:bCs/>
                <w:color w:val="auto"/>
                <w:sz w:val="21"/>
                <w:szCs w:val="21"/>
                <w:highlight w:val="none"/>
              </w:rPr>
              <w:t>等问题无法立即解决</w:t>
            </w:r>
            <w:r>
              <w:rPr>
                <w:rFonts w:hint="eastAsia" w:ascii="宋体" w:hAnsi="宋体" w:eastAsia="宋体" w:cs="宋体"/>
                <w:b w:val="0"/>
                <w:bCs/>
                <w:color w:val="auto"/>
                <w:szCs w:val="21"/>
                <w:highlight w:val="none"/>
              </w:rPr>
              <w:t>应及时上报采购方。</w:t>
            </w:r>
          </w:p>
          <w:p w14:paraId="7DF3B361">
            <w:pPr>
              <w:numPr>
                <w:ilvl w:val="0"/>
                <w:numId w:val="13"/>
              </w:numPr>
              <w:spacing w:line="320" w:lineRule="exact"/>
              <w:rPr>
                <w:rFonts w:hint="eastAsia" w:ascii="宋体" w:hAnsi="宋体" w:eastAsia="宋体" w:cs="宋体"/>
                <w:b w:val="0"/>
                <w:bCs/>
                <w:color w:val="auto"/>
                <w:kern w:val="2"/>
                <w:sz w:val="21"/>
                <w:szCs w:val="21"/>
                <w:highlight w:val="none"/>
              </w:rPr>
            </w:pPr>
            <w:r>
              <w:rPr>
                <w:rFonts w:hint="eastAsia" w:ascii="宋体" w:hAnsi="宋体" w:eastAsia="宋体" w:cs="宋体"/>
                <w:b w:val="0"/>
                <w:bCs/>
                <w:color w:val="auto"/>
                <w:sz w:val="21"/>
                <w:szCs w:val="21"/>
                <w:highlight w:val="none"/>
              </w:rPr>
              <w:t>课后检查课室、实验室情况，包括但不限于：关灯、关空调、关窗、黑板清洁及课室卫生情况等。</w:t>
            </w:r>
          </w:p>
          <w:p w14:paraId="231E9196">
            <w:pPr>
              <w:numPr>
                <w:ilvl w:val="0"/>
                <w:numId w:val="13"/>
              </w:numPr>
              <w:spacing w:line="320" w:lineRule="exact"/>
              <w:rPr>
                <w:rFonts w:hint="eastAsia" w:ascii="宋体" w:hAnsi="宋体" w:eastAsia="宋体" w:cs="宋体"/>
                <w:b w:val="0"/>
                <w:bCs/>
                <w:color w:val="auto"/>
                <w:kern w:val="2"/>
                <w:sz w:val="21"/>
                <w:szCs w:val="21"/>
                <w:highlight w:val="none"/>
              </w:rPr>
            </w:pPr>
            <w:r>
              <w:rPr>
                <w:rFonts w:hint="eastAsia" w:ascii="宋体" w:hAnsi="宋体" w:eastAsia="宋体" w:cs="宋体"/>
                <w:b w:val="0"/>
                <w:bCs/>
                <w:color w:val="auto"/>
                <w:szCs w:val="21"/>
                <w:highlight w:val="none"/>
              </w:rPr>
              <w:t>定期做好科研公共实验室内部的卫生：①地面、台面等每日清扫一次，每周清洗一次；②每半月一次墙身扫尘和清理过期及不规范张贴物、悬挂物； ③每月清洁一次公共部位的玻璃、天花板；④每半月清扫一次实验室天面，包括天面地面和排水口等。</w:t>
            </w:r>
          </w:p>
          <w:p w14:paraId="3EFCA600">
            <w:pPr>
              <w:numPr>
                <w:ilvl w:val="0"/>
                <w:numId w:val="13"/>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对进入楼宇的保洁人员、消毒消杀工作人员、电梯维修维保工作人员、空调维修维保人员、饮水机维修维保人员、零星维修工作人员、其他非园区工作人员等进行登记，发现可疑人员，及时上报。</w:t>
            </w:r>
          </w:p>
          <w:p w14:paraId="6016DE28">
            <w:pPr>
              <w:numPr>
                <w:ilvl w:val="0"/>
                <w:numId w:val="13"/>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登记内容包括但不限于进入日期、进入时间、离开时间、事由、姓名、联系电话、备注等信息。</w:t>
            </w:r>
          </w:p>
          <w:p w14:paraId="135B9F2B">
            <w:pPr>
              <w:numPr>
                <w:ilvl w:val="0"/>
                <w:numId w:val="13"/>
              </w:numPr>
              <w:spacing w:line="320" w:lineRule="exact"/>
              <w:rPr>
                <w:rFonts w:hint="eastAsia" w:ascii="宋体" w:hAnsi="宋体" w:eastAsia="宋体" w:cs="宋体"/>
                <w:b w:val="0"/>
                <w:bCs/>
                <w:color w:val="auto"/>
                <w:sz w:val="21"/>
                <w:szCs w:val="21"/>
                <w:highlight w:val="none"/>
              </w:rPr>
            </w:pPr>
            <w:r>
              <w:rPr>
                <w:rFonts w:hint="eastAsia" w:ascii="宋体" w:hAnsi="宋体" w:eastAsia="宋体" w:cs="宋体"/>
                <w:b w:val="0"/>
                <w:bCs/>
                <w:color w:val="auto"/>
                <w:szCs w:val="21"/>
                <w:highlight w:val="none"/>
              </w:rPr>
              <w:t>配合团队合理用电用水、仪器落位需求，能解决的两日内解决，不能解决的及时反馈团队并上报学院及管委会。</w:t>
            </w:r>
          </w:p>
          <w:p w14:paraId="03CACE3A">
            <w:pPr>
              <w:rPr>
                <w:rFonts w:hint="eastAsia" w:ascii="宋体" w:hAnsi="宋体" w:eastAsia="宋体" w:cs="宋体"/>
                <w:b/>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58A65200">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4</w:t>
            </w:r>
          </w:p>
        </w:tc>
        <w:tc>
          <w:tcPr>
            <w:tcW w:w="1706" w:type="pct"/>
            <w:tcBorders>
              <w:top w:val="single" w:color="auto" w:sz="4" w:space="0"/>
              <w:left w:val="single" w:color="auto" w:sz="4" w:space="0"/>
              <w:bottom w:val="single" w:color="auto" w:sz="4" w:space="0"/>
              <w:right w:val="single" w:color="auto" w:sz="4" w:space="0"/>
            </w:tcBorders>
            <w:vAlign w:val="center"/>
          </w:tcPr>
          <w:p w14:paraId="0D0212D1">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（1）未及时履行职责，每次1分；</w:t>
            </w:r>
          </w:p>
          <w:p w14:paraId="51D492E6">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（2）若造成一定影响，每次扣1分；</w:t>
            </w:r>
          </w:p>
          <w:p w14:paraId="6825FC1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（3）若造成较大影响，每次扣2分。</w:t>
            </w:r>
          </w:p>
          <w:p w14:paraId="03FB55CF">
            <w:pPr>
              <w:rPr>
                <w:rFonts w:hint="eastAsia" w:ascii="宋体" w:hAnsi="宋体" w:eastAsia="宋体" w:cs="宋体"/>
                <w:color w:val="auto"/>
                <w:sz w:val="21"/>
                <w:szCs w:val="21"/>
                <w:highlight w:val="none"/>
              </w:rPr>
            </w:pPr>
          </w:p>
        </w:tc>
        <w:tc>
          <w:tcPr>
            <w:tcW w:w="256" w:type="pct"/>
            <w:tcBorders>
              <w:top w:val="single" w:color="auto" w:sz="4" w:space="0"/>
              <w:left w:val="single" w:color="auto" w:sz="4" w:space="0"/>
              <w:bottom w:val="single" w:color="auto" w:sz="4" w:space="0"/>
              <w:right w:val="single" w:color="auto" w:sz="4" w:space="0"/>
            </w:tcBorders>
            <w:vAlign w:val="center"/>
          </w:tcPr>
          <w:p w14:paraId="25E0632D">
            <w:pPr>
              <w:rPr>
                <w:rFonts w:hint="eastAsia" w:ascii="宋体" w:hAnsi="宋体" w:eastAsia="宋体" w:cs="宋体"/>
                <w:color w:val="auto"/>
                <w:sz w:val="21"/>
                <w:szCs w:val="21"/>
                <w:highlight w:val="none"/>
              </w:rPr>
            </w:pPr>
          </w:p>
        </w:tc>
      </w:tr>
      <w:tr w14:paraId="328DF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40D5093B">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巡查管理服务：</w:t>
            </w:r>
          </w:p>
          <w:p w14:paraId="3848A7F7">
            <w:pPr>
              <w:spacing w:line="360" w:lineRule="auto"/>
              <w:rPr>
                <w:rFonts w:hint="eastAsia" w:ascii="宋体" w:hAnsi="宋体" w:eastAsia="宋体" w:cs="宋体"/>
                <w:b/>
                <w:color w:val="auto"/>
                <w:szCs w:val="21"/>
                <w:highlight w:val="none"/>
              </w:rPr>
            </w:pPr>
            <w:r>
              <w:rPr>
                <w:rFonts w:hint="eastAsia" w:ascii="宋体" w:hAnsi="宋体" w:eastAsia="宋体" w:cs="宋体"/>
                <w:color w:val="auto"/>
                <w:szCs w:val="21"/>
                <w:highlight w:val="none"/>
              </w:rPr>
              <w:t>（1）定期检查科研实验室消防情况，包括但不限于灭火器、配电箱、仪器设备用电安全等，巡查实验室公共区域，及时制止仪器、试剂耗材等乱摆乱放现象。</w:t>
            </w:r>
          </w:p>
          <w:p w14:paraId="358DC4B4">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2</w:t>
            </w:r>
            <w:r>
              <w:rPr>
                <w:rFonts w:hint="eastAsia" w:ascii="宋体" w:hAnsi="宋体" w:eastAsia="宋体" w:cs="宋体"/>
                <w:color w:val="auto"/>
                <w:sz w:val="21"/>
                <w:szCs w:val="21"/>
                <w:highlight w:val="none"/>
              </w:rPr>
              <w:t>）整合及关闭空置和利用率低实验室，节约能源。</w:t>
            </w:r>
          </w:p>
          <w:p w14:paraId="6876995B">
            <w:pPr>
              <w:spacing w:line="360" w:lineRule="auto"/>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3</w:t>
            </w:r>
            <w:r>
              <w:rPr>
                <w:rFonts w:hint="eastAsia" w:ascii="宋体" w:hAnsi="宋体" w:eastAsia="宋体" w:cs="宋体"/>
                <w:color w:val="auto"/>
                <w:sz w:val="21"/>
                <w:szCs w:val="21"/>
                <w:highlight w:val="none"/>
              </w:rPr>
              <w:t>）发现学生或教师有携带食物进入楼宇，应予以制止并进行实验楼管理规定宣传工作。</w:t>
            </w:r>
          </w:p>
          <w:p w14:paraId="2BC232EF">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（4）大件物品进出应检查物品，并在《大件物品进出登记表》登记。</w:t>
            </w:r>
          </w:p>
          <w:p w14:paraId="140C5711">
            <w:pPr>
              <w:spacing w:line="360" w:lineRule="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（5）配合执行甲方对大件物品进出的管理规定。</w:t>
            </w:r>
          </w:p>
          <w:p w14:paraId="27F3FB74">
            <w:pPr>
              <w:spacing w:line="360" w:lineRule="auto"/>
              <w:rPr>
                <w:rFonts w:hint="eastAsia" w:ascii="宋体" w:hAnsi="宋体" w:eastAsia="宋体" w:cs="宋体"/>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07954743">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77D7105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（1）未按规定办理，每次扣1分；</w:t>
            </w:r>
          </w:p>
          <w:p w14:paraId="4627F05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（2）上报不及时，每次扣1分。</w:t>
            </w:r>
          </w:p>
        </w:tc>
        <w:tc>
          <w:tcPr>
            <w:tcW w:w="256" w:type="pct"/>
            <w:tcBorders>
              <w:top w:val="single" w:color="auto" w:sz="4" w:space="0"/>
              <w:left w:val="single" w:color="auto" w:sz="4" w:space="0"/>
              <w:bottom w:val="single" w:color="auto" w:sz="4" w:space="0"/>
              <w:right w:val="single" w:color="auto" w:sz="4" w:space="0"/>
            </w:tcBorders>
            <w:vAlign w:val="center"/>
          </w:tcPr>
          <w:p w14:paraId="7948EA47">
            <w:pPr>
              <w:rPr>
                <w:rFonts w:hint="eastAsia" w:ascii="宋体" w:hAnsi="宋体" w:eastAsia="宋体" w:cs="宋体"/>
                <w:color w:val="auto"/>
                <w:sz w:val="21"/>
                <w:szCs w:val="21"/>
                <w:highlight w:val="none"/>
              </w:rPr>
            </w:pPr>
          </w:p>
        </w:tc>
      </w:tr>
      <w:tr w14:paraId="71118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54ADD4B4">
            <w:pPr>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使用管理服务：</w:t>
            </w:r>
          </w:p>
          <w:p w14:paraId="1A86C0C3">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1</w:t>
            </w:r>
            <w:r>
              <w:rPr>
                <w:rFonts w:hint="eastAsia" w:ascii="宋体" w:hAnsi="宋体" w:eastAsia="宋体" w:cs="宋体"/>
                <w:color w:val="auto"/>
                <w:sz w:val="21"/>
                <w:szCs w:val="21"/>
                <w:highlight w:val="none"/>
              </w:rPr>
              <w:t>）对于教学单位、学生社团使用</w:t>
            </w:r>
            <w:r>
              <w:rPr>
                <w:rFonts w:hint="eastAsia" w:ascii="宋体" w:hAnsi="宋体" w:eastAsia="宋体" w:cs="宋体"/>
                <w:color w:val="auto"/>
                <w:szCs w:val="21"/>
                <w:highlight w:val="none"/>
              </w:rPr>
              <w:t>实验室</w:t>
            </w:r>
            <w:r>
              <w:rPr>
                <w:rFonts w:hint="eastAsia" w:ascii="宋体" w:hAnsi="宋体" w:eastAsia="宋体" w:cs="宋体"/>
                <w:color w:val="auto"/>
                <w:sz w:val="21"/>
                <w:szCs w:val="21"/>
                <w:highlight w:val="none"/>
              </w:rPr>
              <w:t>举办讲座等活动，</w:t>
            </w:r>
            <w:r>
              <w:rPr>
                <w:rFonts w:hint="eastAsia" w:ascii="宋体" w:hAnsi="宋体" w:eastAsia="宋体" w:cs="宋体"/>
                <w:color w:val="auto"/>
                <w:szCs w:val="21"/>
                <w:highlight w:val="none"/>
              </w:rPr>
              <w:t>需</w:t>
            </w:r>
            <w:r>
              <w:rPr>
                <w:rFonts w:hint="eastAsia" w:ascii="宋体" w:hAnsi="宋体" w:eastAsia="宋体" w:cs="宋体"/>
                <w:color w:val="auto"/>
                <w:sz w:val="21"/>
                <w:szCs w:val="21"/>
                <w:highlight w:val="none"/>
              </w:rPr>
              <w:t>经相关部门批准后给予配合，及时安排。</w:t>
            </w:r>
          </w:p>
          <w:p w14:paraId="2AB036FA">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2</w:t>
            </w:r>
            <w:r>
              <w:rPr>
                <w:rFonts w:hint="eastAsia" w:ascii="宋体" w:hAnsi="宋体" w:eastAsia="宋体" w:cs="宋体"/>
                <w:color w:val="auto"/>
                <w:sz w:val="21"/>
                <w:szCs w:val="21"/>
                <w:highlight w:val="none"/>
              </w:rPr>
              <w:t>）按要求做好实验室管理工作。</w:t>
            </w:r>
          </w:p>
          <w:p w14:paraId="216188C3">
            <w:pPr>
              <w:rPr>
                <w:rFonts w:hint="eastAsia" w:ascii="宋体" w:hAnsi="宋体" w:eastAsia="宋体" w:cs="宋体"/>
                <w:color w:val="auto"/>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Cs w:val="21"/>
                <w:highlight w:val="none"/>
              </w:rPr>
              <w:t>3</w:t>
            </w:r>
            <w:r>
              <w:rPr>
                <w:rFonts w:hint="eastAsia" w:ascii="宋体" w:hAnsi="宋体" w:eastAsia="宋体" w:cs="宋体"/>
                <w:color w:val="auto"/>
                <w:sz w:val="21"/>
                <w:szCs w:val="21"/>
                <w:highlight w:val="none"/>
              </w:rPr>
              <w:t>）按</w:t>
            </w:r>
            <w:r>
              <w:rPr>
                <w:rFonts w:hint="eastAsia" w:ascii="宋体" w:hAnsi="宋体" w:eastAsia="宋体" w:cs="宋体"/>
                <w:color w:val="auto"/>
                <w:szCs w:val="21"/>
                <w:highlight w:val="none"/>
              </w:rPr>
              <w:t>实验室</w:t>
            </w:r>
            <w:r>
              <w:rPr>
                <w:rFonts w:hint="eastAsia" w:ascii="宋体" w:hAnsi="宋体" w:eastAsia="宋体" w:cs="宋体"/>
                <w:color w:val="auto"/>
                <w:sz w:val="21"/>
                <w:szCs w:val="21"/>
                <w:highlight w:val="none"/>
              </w:rPr>
              <w:t>使用通知文件规范安排实验室</w:t>
            </w:r>
            <w:r>
              <w:rPr>
                <w:rFonts w:hint="eastAsia" w:ascii="宋体" w:hAnsi="宋体" w:eastAsia="宋体" w:cs="宋体"/>
                <w:color w:val="auto"/>
                <w:szCs w:val="21"/>
                <w:highlight w:val="none"/>
              </w:rPr>
              <w:t>实验</w:t>
            </w:r>
            <w:r>
              <w:rPr>
                <w:rFonts w:hint="eastAsia" w:ascii="宋体" w:hAnsi="宋体" w:eastAsia="宋体" w:cs="宋体"/>
                <w:color w:val="auto"/>
                <w:sz w:val="21"/>
                <w:szCs w:val="21"/>
                <w:highlight w:val="none"/>
              </w:rPr>
              <w:t>，并配合做好各项工作，不得擅自将实验室开放给他人使用。</w:t>
            </w:r>
          </w:p>
          <w:p w14:paraId="15276178">
            <w:pPr>
              <w:rPr>
                <w:rFonts w:hint="eastAsia" w:ascii="宋体" w:hAnsi="宋体" w:eastAsia="宋体" w:cs="宋体"/>
                <w:color w:val="auto"/>
                <w:szCs w:val="21"/>
                <w:highlight w:val="none"/>
              </w:rPr>
            </w:pPr>
          </w:p>
          <w:p w14:paraId="7B099D2F">
            <w:pPr>
              <w:rPr>
                <w:rFonts w:hint="eastAsia" w:ascii="宋体" w:hAnsi="宋体" w:eastAsia="宋体" w:cs="宋体"/>
                <w:b/>
                <w:color w:val="auto"/>
                <w:sz w:val="21"/>
                <w:szCs w:val="21"/>
                <w:highlight w:val="none"/>
              </w:rPr>
            </w:pPr>
          </w:p>
        </w:tc>
        <w:tc>
          <w:tcPr>
            <w:tcW w:w="319" w:type="pct"/>
            <w:tcBorders>
              <w:top w:val="single" w:color="auto" w:sz="4" w:space="0"/>
              <w:left w:val="single" w:color="auto" w:sz="4" w:space="0"/>
              <w:bottom w:val="single" w:color="auto" w:sz="4" w:space="0"/>
              <w:right w:val="single" w:color="auto" w:sz="4" w:space="0"/>
            </w:tcBorders>
            <w:vAlign w:val="center"/>
          </w:tcPr>
          <w:p w14:paraId="016AE248">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3</w:t>
            </w:r>
          </w:p>
        </w:tc>
        <w:tc>
          <w:tcPr>
            <w:tcW w:w="1706" w:type="pct"/>
            <w:tcBorders>
              <w:top w:val="single" w:color="auto" w:sz="4" w:space="0"/>
              <w:left w:val="single" w:color="auto" w:sz="4" w:space="0"/>
              <w:bottom w:val="single" w:color="auto" w:sz="4" w:space="0"/>
              <w:right w:val="single" w:color="auto" w:sz="4" w:space="0"/>
            </w:tcBorders>
            <w:vAlign w:val="center"/>
          </w:tcPr>
          <w:p w14:paraId="79C4C92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（1）无台账，每次扣1分；</w:t>
            </w:r>
          </w:p>
          <w:p w14:paraId="3CFD16A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（2）实验室管理员不熟悉楼栋情况，每次扣1分；无巡查，扣1分；</w:t>
            </w:r>
          </w:p>
          <w:p w14:paraId="3B03B81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（3）无报送数据，每次扣1分；</w:t>
            </w:r>
          </w:p>
          <w:p w14:paraId="7462360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（4）不配合，每次扣2分。</w:t>
            </w:r>
          </w:p>
        </w:tc>
        <w:tc>
          <w:tcPr>
            <w:tcW w:w="256" w:type="pct"/>
            <w:tcBorders>
              <w:top w:val="single" w:color="auto" w:sz="4" w:space="0"/>
              <w:left w:val="single" w:color="auto" w:sz="4" w:space="0"/>
              <w:bottom w:val="single" w:color="auto" w:sz="4" w:space="0"/>
              <w:right w:val="single" w:color="auto" w:sz="4" w:space="0"/>
            </w:tcBorders>
            <w:vAlign w:val="center"/>
          </w:tcPr>
          <w:p w14:paraId="0B023EEB">
            <w:pPr>
              <w:rPr>
                <w:rFonts w:hint="eastAsia" w:ascii="宋体" w:hAnsi="宋体" w:eastAsia="宋体" w:cs="宋体"/>
                <w:color w:val="auto"/>
                <w:sz w:val="21"/>
                <w:szCs w:val="21"/>
                <w:highlight w:val="none"/>
              </w:rPr>
            </w:pPr>
          </w:p>
        </w:tc>
      </w:tr>
      <w:tr w14:paraId="10E15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0EFB401E">
            <w:pPr>
              <w:jc w:val="both"/>
              <w:rPr>
                <w:rFonts w:hint="eastAsia" w:ascii="宋体" w:hAnsi="宋体" w:eastAsia="宋体" w:cs="宋体"/>
                <w:b/>
                <w:bCs/>
                <w:color w:val="auto"/>
                <w:sz w:val="21"/>
                <w:szCs w:val="21"/>
                <w:highlight w:val="none"/>
              </w:rPr>
            </w:pPr>
          </w:p>
          <w:p w14:paraId="52D9E418">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四、多媒体管理服务（20分）</w:t>
            </w:r>
          </w:p>
        </w:tc>
      </w:tr>
      <w:tr w14:paraId="23E39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23DE4459">
            <w:pPr>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多媒体管理服务包括但不限于园区行政办公楼宇内、实验室楼宇内、公共服务场馆内的各类多媒体设备等。</w:t>
            </w:r>
          </w:p>
        </w:tc>
      </w:tr>
      <w:tr w14:paraId="52120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39E43517">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日常使用：按时、按流程开启设备，检查话筒是否正常工作、确认电脑正常、投影机图像正常等，发现问题及时处置，确保各课室设备能正常启用。</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4DB8106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61CD961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（1）未履行职责，每项每次扣0.2分；</w:t>
            </w:r>
          </w:p>
          <w:p w14:paraId="0AADCC1E">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（2）重复出现的问题或师生投诉，每项每次扣1分；</w:t>
            </w:r>
          </w:p>
          <w:p w14:paraId="1DB7A4B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（3）造成较大教学事故，扣2分。                                 </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35B74BA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D17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095A1DE4">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日检：按日检要求每天巡视设备使用情况，清点多媒体设备是否齐全、正常，注意设备防火防盗，发现问题及时报告、处理并记录。</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78C514D4">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166763A6">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（1）未履行职责，每项每次扣0.2分；</w:t>
            </w:r>
          </w:p>
          <w:p w14:paraId="7B0B399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p w14:paraId="7BA1251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（3）造成较大教学事故，扣2分。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274847C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786D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45811F6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周检：按周检要求每周对多媒体设备进行一次详细检查，对电脑进行病毒库升级、打补丁、杀病毒，以便尽早发现故障隐患，减少大故障的发生。</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6BCA9568">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F3C575F">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6DD5592C">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p w14:paraId="4F6F38E4">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（3）造成较大教学事故，扣2分。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07FA6BAF">
            <w:pPr>
              <w:snapToGrid w:val="0"/>
              <w:jc w:val="center"/>
              <w:rPr>
                <w:rFonts w:hint="eastAsia" w:ascii="宋体" w:hAnsi="宋体" w:eastAsia="宋体" w:cs="宋体"/>
                <w:color w:val="auto"/>
                <w:sz w:val="21"/>
                <w:szCs w:val="21"/>
                <w:highlight w:val="none"/>
              </w:rPr>
            </w:pPr>
          </w:p>
        </w:tc>
      </w:tr>
      <w:tr w14:paraId="0D23A4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4B54E0C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学期检查：寒暑假对电脑系统</w:t>
            </w:r>
            <w:r>
              <w:rPr>
                <w:rFonts w:hint="eastAsia" w:ascii="宋体" w:hAnsi="宋体" w:eastAsia="宋体" w:cs="宋体"/>
                <w:color w:val="auto"/>
                <w:sz w:val="21"/>
                <w:szCs w:val="21"/>
                <w:highlight w:val="none"/>
                <w:lang w:val="en-US" w:eastAsia="zh-CN"/>
              </w:rPr>
              <w:t>进行升级</w:t>
            </w:r>
            <w:r>
              <w:rPr>
                <w:rFonts w:hint="eastAsia" w:ascii="宋体" w:hAnsi="宋体" w:eastAsia="宋体" w:cs="宋体"/>
                <w:color w:val="auto"/>
                <w:sz w:val="21"/>
                <w:szCs w:val="21"/>
                <w:highlight w:val="none"/>
              </w:rPr>
              <w:t>，对设备进行一次系统检查、维护。</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1BEF6662">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20140D9">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（1）未履行职责，每项每次扣0.5分；</w:t>
            </w:r>
          </w:p>
          <w:p w14:paraId="4B2EAB0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（2）检查不力，扣1分。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761098D">
            <w:pPr>
              <w:snapToGrid w:val="0"/>
              <w:jc w:val="center"/>
              <w:rPr>
                <w:rFonts w:hint="eastAsia" w:ascii="宋体" w:hAnsi="宋体" w:eastAsia="宋体" w:cs="宋体"/>
                <w:color w:val="auto"/>
                <w:sz w:val="21"/>
                <w:szCs w:val="21"/>
                <w:highlight w:val="none"/>
              </w:rPr>
            </w:pPr>
          </w:p>
        </w:tc>
      </w:tr>
      <w:tr w14:paraId="04751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52CDF52F">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应急处理：按规程及应急预案及时处置故障，确保正常教学秩序。包括：更换备用设备、调换课室等。</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37C212F3">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43CA6F90">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453B651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713BE45E">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F18168F">
            <w:pPr>
              <w:snapToGrid w:val="0"/>
              <w:jc w:val="center"/>
              <w:rPr>
                <w:rFonts w:hint="eastAsia" w:ascii="宋体" w:hAnsi="宋体" w:eastAsia="宋体" w:cs="宋体"/>
                <w:color w:val="auto"/>
                <w:sz w:val="21"/>
                <w:szCs w:val="21"/>
                <w:highlight w:val="none"/>
              </w:rPr>
            </w:pPr>
          </w:p>
        </w:tc>
      </w:tr>
      <w:tr w14:paraId="2C193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7C7EF2B6">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登记管理：做好设备台账管理，日常耗资登记、维修保养登记、巡查登记等。建立电子档案，及时更新数据，及时报送资料。</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3C198265">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60347218">
            <w:pPr>
              <w:snapToGrid w:val="0"/>
              <w:ind w:firstLine="105" w:firstLineChars="5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未履行职责每次扣0.2分。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47E4CCEC">
            <w:pPr>
              <w:snapToGrid w:val="0"/>
              <w:jc w:val="center"/>
              <w:rPr>
                <w:rFonts w:hint="eastAsia" w:ascii="宋体" w:hAnsi="宋体" w:eastAsia="宋体" w:cs="宋体"/>
                <w:color w:val="auto"/>
                <w:sz w:val="21"/>
                <w:szCs w:val="21"/>
                <w:highlight w:val="none"/>
              </w:rPr>
            </w:pPr>
          </w:p>
        </w:tc>
      </w:tr>
      <w:tr w14:paraId="34AC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shd w:val="clear" w:color="auto" w:fill="auto"/>
            <w:vAlign w:val="center"/>
          </w:tcPr>
          <w:p w14:paraId="03672E01">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其它：妥善保管</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主管部门提供的多媒体管理服务的原始资料和技术档案的复印件，不得损坏或丢失； 为多媒体课室、会议室的使用人员提供技术支持；配合甲方做好多媒体设备以及新应用系统的上线、升级、改造工作；将有关教学设备的操作说明、报障渠道张贴在相关设备上或设备附近；等。</w:t>
            </w:r>
          </w:p>
        </w:tc>
        <w:tc>
          <w:tcPr>
            <w:tcW w:w="319" w:type="pct"/>
            <w:tcBorders>
              <w:top w:val="single" w:color="auto" w:sz="4" w:space="0"/>
              <w:left w:val="single" w:color="auto" w:sz="4" w:space="0"/>
              <w:bottom w:val="single" w:color="auto" w:sz="4" w:space="0"/>
              <w:right w:val="single" w:color="auto" w:sz="4" w:space="0"/>
            </w:tcBorders>
            <w:shd w:val="clear" w:color="auto" w:fill="auto"/>
            <w:vAlign w:val="center"/>
          </w:tcPr>
          <w:p w14:paraId="78E507FD">
            <w:pPr>
              <w:snapToGrid w:val="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706" w:type="pct"/>
            <w:tcBorders>
              <w:top w:val="single" w:color="auto" w:sz="4" w:space="0"/>
              <w:left w:val="single" w:color="auto" w:sz="4" w:space="0"/>
              <w:bottom w:val="single" w:color="auto" w:sz="4" w:space="0"/>
              <w:right w:val="single" w:color="auto" w:sz="4" w:space="0"/>
            </w:tcBorders>
            <w:shd w:val="clear" w:color="auto" w:fill="auto"/>
            <w:vAlign w:val="center"/>
          </w:tcPr>
          <w:p w14:paraId="5BB64C22">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04EEF82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7D6D74B3">
            <w:pPr>
              <w:snapToGrid w:val="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shd w:val="clear" w:color="auto" w:fill="auto"/>
            <w:vAlign w:val="center"/>
          </w:tcPr>
          <w:p w14:paraId="63839CCF">
            <w:pPr>
              <w:snapToGrid w:val="0"/>
              <w:jc w:val="center"/>
              <w:rPr>
                <w:rFonts w:hint="eastAsia" w:ascii="宋体" w:hAnsi="宋体" w:eastAsia="宋体" w:cs="宋体"/>
                <w:color w:val="auto"/>
                <w:sz w:val="21"/>
                <w:szCs w:val="21"/>
                <w:highlight w:val="none"/>
              </w:rPr>
            </w:pPr>
          </w:p>
        </w:tc>
      </w:tr>
      <w:tr w14:paraId="4658A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9EC475F">
            <w:pPr>
              <w:ind w:firstLine="422" w:firstLineChars="200"/>
              <w:jc w:val="center"/>
              <w:rPr>
                <w:rFonts w:hint="eastAsia" w:ascii="宋体" w:hAnsi="宋体" w:eastAsia="宋体" w:cs="宋体"/>
                <w:b/>
                <w:color w:val="auto"/>
                <w:sz w:val="21"/>
                <w:szCs w:val="21"/>
                <w:highlight w:val="none"/>
              </w:rPr>
            </w:pPr>
            <w:r>
              <w:rPr>
                <w:rFonts w:hint="eastAsia" w:ascii="宋体" w:hAnsi="宋体" w:eastAsia="宋体" w:cs="宋体"/>
                <w:b/>
                <w:bCs/>
                <w:color w:val="auto"/>
                <w:sz w:val="21"/>
                <w:szCs w:val="21"/>
                <w:highlight w:val="none"/>
              </w:rPr>
              <w:t>五、会议室及会务管理服务等（</w:t>
            </w:r>
            <w:r>
              <w:rPr>
                <w:rFonts w:hint="eastAsia" w:ascii="宋体" w:hAnsi="宋体" w:eastAsia="宋体" w:cs="宋体"/>
                <w:b/>
                <w:bCs/>
                <w:color w:val="auto"/>
                <w:szCs w:val="21"/>
                <w:highlight w:val="none"/>
              </w:rPr>
              <w:t>2</w:t>
            </w:r>
            <w:r>
              <w:rPr>
                <w:rFonts w:hint="eastAsia" w:ascii="宋体" w:hAnsi="宋体" w:eastAsia="宋体" w:cs="宋体"/>
                <w:b/>
                <w:bCs/>
                <w:color w:val="auto"/>
                <w:sz w:val="21"/>
                <w:szCs w:val="21"/>
                <w:highlight w:val="none"/>
              </w:rPr>
              <w:t>0分）</w:t>
            </w:r>
          </w:p>
        </w:tc>
      </w:tr>
      <w:tr w14:paraId="73D5F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32A65B1">
            <w:pPr>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会议室及会务管理服务包括但不限于在</w:t>
            </w:r>
            <w:r>
              <w:rPr>
                <w:rFonts w:hint="eastAsia" w:ascii="宋体" w:hAnsi="宋体" w:eastAsia="宋体" w:cs="宋体"/>
                <w:b/>
                <w:color w:val="auto"/>
                <w:szCs w:val="21"/>
                <w:highlight w:val="none"/>
              </w:rPr>
              <w:t>园区内</w:t>
            </w:r>
            <w:r>
              <w:rPr>
                <w:rFonts w:hint="eastAsia" w:ascii="宋体" w:hAnsi="宋体" w:eastAsia="宋体" w:cs="宋体"/>
                <w:b/>
                <w:color w:val="auto"/>
                <w:sz w:val="21"/>
                <w:szCs w:val="21"/>
                <w:highlight w:val="none"/>
              </w:rPr>
              <w:t>行政办公楼宇内、重要公共服务场馆内的会议室、报告厅、会堂等召开的会议、进行的报告、座谈、会晤活动等。</w:t>
            </w:r>
          </w:p>
        </w:tc>
      </w:tr>
      <w:tr w14:paraId="0F57B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34AD8412">
            <w:pPr>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会务消耗用品（茶、纸杯等），公共洗手间保洁用品、卫生用品配置要求</w:t>
            </w:r>
            <w:r>
              <w:rPr>
                <w:rFonts w:hint="eastAsia" w:ascii="宋体" w:hAnsi="宋体" w:eastAsia="宋体" w:cs="宋体"/>
                <w:color w:val="auto"/>
                <w:sz w:val="21"/>
                <w:szCs w:val="21"/>
                <w:highlight w:val="none"/>
              </w:rPr>
              <w:t>：</w:t>
            </w:r>
          </w:p>
          <w:p w14:paraId="0AA6B87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（1）提供中等价位以上的茶及纸杯等。</w:t>
            </w:r>
          </w:p>
          <w:p w14:paraId="371B331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（2）公共洗手间保洁用品及卫生用品要配置中高端质量标准的物品。</w:t>
            </w:r>
          </w:p>
          <w:p w14:paraId="43FFC46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（3）公共洗手间感应式冲水阀电池更换。</w:t>
            </w:r>
          </w:p>
          <w:p w14:paraId="1B81625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（4）会议前检查物品是否配置到位，公共洗手间每日检查补充三次。</w:t>
            </w:r>
          </w:p>
        </w:tc>
        <w:tc>
          <w:tcPr>
            <w:tcW w:w="319" w:type="pct"/>
            <w:tcBorders>
              <w:top w:val="single" w:color="auto" w:sz="4" w:space="0"/>
              <w:left w:val="single" w:color="auto" w:sz="4" w:space="0"/>
              <w:bottom w:val="single" w:color="auto" w:sz="4" w:space="0"/>
              <w:right w:val="single" w:color="auto" w:sz="4" w:space="0"/>
            </w:tcBorders>
            <w:vAlign w:val="center"/>
          </w:tcPr>
          <w:p w14:paraId="7C54D3D0">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4</w:t>
            </w:r>
          </w:p>
        </w:tc>
        <w:tc>
          <w:tcPr>
            <w:tcW w:w="1706" w:type="pct"/>
            <w:tcBorders>
              <w:top w:val="single" w:color="auto" w:sz="4" w:space="0"/>
              <w:left w:val="single" w:color="auto" w:sz="4" w:space="0"/>
              <w:bottom w:val="single" w:color="auto" w:sz="4" w:space="0"/>
              <w:right w:val="single" w:color="auto" w:sz="4" w:space="0"/>
            </w:tcBorders>
            <w:vAlign w:val="center"/>
          </w:tcPr>
          <w:p w14:paraId="6A1AB35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020320F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692F0BE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vAlign w:val="center"/>
          </w:tcPr>
          <w:p w14:paraId="7B154245">
            <w:pPr>
              <w:rPr>
                <w:rFonts w:hint="eastAsia" w:ascii="宋体" w:hAnsi="宋体" w:eastAsia="宋体" w:cs="宋体"/>
                <w:color w:val="auto"/>
                <w:sz w:val="21"/>
                <w:szCs w:val="21"/>
                <w:highlight w:val="none"/>
              </w:rPr>
            </w:pPr>
          </w:p>
        </w:tc>
      </w:tr>
      <w:tr w14:paraId="188898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18748409">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会务服务要求：</w:t>
            </w:r>
          </w:p>
          <w:p w14:paraId="50DF9FE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（1）能够根据主办方需求制定服务方案，经主办方确认后保障实施。如，接送服务，会场布置服务，迎宾、颁奖等礼仪服务等。</w:t>
            </w:r>
          </w:p>
          <w:p w14:paraId="1253A36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（2）会前对会场及外围环境进行巡查，确保会议现场整洁有序，体感舒适，照明、音响、视频、多媒体设备、空调等系统运行良好，且无安全隐患。</w:t>
            </w:r>
          </w:p>
          <w:p w14:paraId="618D23A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（3）会务服务人员文明礼貌、语言规范，会议进行中能及时关注参会人员需求，有效处理会议现场紧急事件。</w:t>
            </w:r>
          </w:p>
          <w:p w14:paraId="198512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（4）提供会议室显示、扩音、中控、视频会议、远程沉浸式视频会议系统的现场服务保障、技术支持。</w:t>
            </w:r>
          </w:p>
          <w:p w14:paraId="4FDB0C6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（5）会议结束后清点物资、清扫场地、关闭设备设施。</w:t>
            </w:r>
          </w:p>
        </w:tc>
        <w:tc>
          <w:tcPr>
            <w:tcW w:w="319" w:type="pct"/>
            <w:tcBorders>
              <w:top w:val="single" w:color="auto" w:sz="4" w:space="0"/>
              <w:left w:val="single" w:color="auto" w:sz="4" w:space="0"/>
              <w:bottom w:val="single" w:color="auto" w:sz="4" w:space="0"/>
              <w:right w:val="single" w:color="auto" w:sz="4" w:space="0"/>
            </w:tcBorders>
            <w:vAlign w:val="center"/>
          </w:tcPr>
          <w:p w14:paraId="370F81B9">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24C6F7A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54D596C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4514AA9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（3）造成较大影响，扣2分。</w:t>
            </w:r>
          </w:p>
        </w:tc>
        <w:tc>
          <w:tcPr>
            <w:tcW w:w="256" w:type="pct"/>
            <w:tcBorders>
              <w:top w:val="single" w:color="auto" w:sz="4" w:space="0"/>
              <w:left w:val="single" w:color="auto" w:sz="4" w:space="0"/>
              <w:bottom w:val="single" w:color="auto" w:sz="4" w:space="0"/>
              <w:right w:val="single" w:color="auto" w:sz="4" w:space="0"/>
            </w:tcBorders>
            <w:vAlign w:val="center"/>
          </w:tcPr>
          <w:p w14:paraId="091CF927">
            <w:pPr>
              <w:rPr>
                <w:rFonts w:hint="eastAsia" w:ascii="宋体" w:hAnsi="宋体" w:eastAsia="宋体" w:cs="宋体"/>
                <w:color w:val="auto"/>
                <w:sz w:val="21"/>
                <w:szCs w:val="21"/>
                <w:highlight w:val="none"/>
              </w:rPr>
            </w:pPr>
          </w:p>
        </w:tc>
      </w:tr>
      <w:tr w14:paraId="7FF30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2717" w:type="pct"/>
            <w:tcBorders>
              <w:top w:val="single" w:color="auto" w:sz="4" w:space="0"/>
              <w:left w:val="single" w:color="auto" w:sz="4" w:space="0"/>
              <w:bottom w:val="single" w:color="auto" w:sz="4" w:space="0"/>
              <w:right w:val="single" w:color="auto" w:sz="4" w:space="0"/>
            </w:tcBorders>
            <w:vAlign w:val="center"/>
          </w:tcPr>
          <w:p w14:paraId="5925C4D7">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接待室的服务要求（如有）：</w:t>
            </w:r>
          </w:p>
          <w:p w14:paraId="77E4CF4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（1）根据要求更换</w:t>
            </w:r>
            <w:r>
              <w:rPr>
                <w:rFonts w:hint="eastAsia" w:ascii="宋体" w:hAnsi="宋体" w:eastAsia="宋体" w:cs="宋体"/>
                <w:color w:val="auto"/>
                <w:szCs w:val="21"/>
                <w:highlight w:val="none"/>
              </w:rPr>
              <w:t>接待室的</w:t>
            </w:r>
            <w:r>
              <w:rPr>
                <w:rFonts w:hint="eastAsia" w:ascii="宋体" w:hAnsi="宋体" w:eastAsia="宋体" w:cs="宋体"/>
                <w:b w:val="0"/>
                <w:bCs/>
                <w:color w:val="auto"/>
                <w:szCs w:val="21"/>
                <w:highlight w:val="none"/>
              </w:rPr>
              <w:t>会务消耗用品（茶、纸杯、笔、抽纸等），室内卫生</w:t>
            </w:r>
            <w:r>
              <w:rPr>
                <w:rFonts w:hint="eastAsia" w:ascii="宋体" w:hAnsi="宋体" w:eastAsia="宋体" w:cs="宋体"/>
                <w:color w:val="auto"/>
                <w:sz w:val="21"/>
                <w:szCs w:val="21"/>
                <w:highlight w:val="none"/>
              </w:rPr>
              <w:t>清洁</w:t>
            </w:r>
            <w:r>
              <w:rPr>
                <w:rFonts w:hint="eastAsia" w:ascii="宋体" w:hAnsi="宋体" w:eastAsia="宋体" w:cs="宋体"/>
                <w:color w:val="auto"/>
                <w:szCs w:val="21"/>
                <w:highlight w:val="none"/>
              </w:rPr>
              <w:t>及</w:t>
            </w:r>
            <w:r>
              <w:rPr>
                <w:rFonts w:hint="eastAsia" w:ascii="宋体" w:hAnsi="宋体" w:eastAsia="宋体" w:cs="宋体"/>
                <w:color w:val="auto"/>
                <w:sz w:val="21"/>
                <w:szCs w:val="21"/>
                <w:highlight w:val="none"/>
              </w:rPr>
              <w:t>全面消毒。</w:t>
            </w:r>
          </w:p>
          <w:p w14:paraId="34860F52">
            <w:pPr>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rPr>
              <w:t>（2）空置时定期保洁：地面保洁、家具保洁等，每周两次。</w:t>
            </w:r>
          </w:p>
        </w:tc>
        <w:tc>
          <w:tcPr>
            <w:tcW w:w="319" w:type="pct"/>
            <w:tcBorders>
              <w:top w:val="single" w:color="auto" w:sz="4" w:space="0"/>
              <w:left w:val="single" w:color="auto" w:sz="4" w:space="0"/>
              <w:bottom w:val="single" w:color="auto" w:sz="4" w:space="0"/>
              <w:right w:val="single" w:color="auto" w:sz="4" w:space="0"/>
            </w:tcBorders>
            <w:vAlign w:val="center"/>
          </w:tcPr>
          <w:p w14:paraId="29E1D1DE">
            <w:pPr>
              <w:jc w:val="center"/>
              <w:rPr>
                <w:rFonts w:hint="eastAsia" w:ascii="宋体" w:hAnsi="宋体" w:eastAsia="宋体" w:cs="宋体"/>
                <w:color w:val="auto"/>
                <w:sz w:val="21"/>
                <w:szCs w:val="21"/>
                <w:highlight w:val="none"/>
              </w:rPr>
            </w:pPr>
            <w:r>
              <w:rPr>
                <w:rFonts w:hint="eastAsia" w:ascii="宋体" w:hAnsi="宋体" w:eastAsia="宋体" w:cs="宋体"/>
                <w:color w:val="auto"/>
                <w:szCs w:val="21"/>
                <w:highlight w:val="none"/>
              </w:rPr>
              <w:t>8</w:t>
            </w:r>
          </w:p>
        </w:tc>
        <w:tc>
          <w:tcPr>
            <w:tcW w:w="1706" w:type="pct"/>
            <w:tcBorders>
              <w:top w:val="single" w:color="auto" w:sz="4" w:space="0"/>
              <w:left w:val="single" w:color="auto" w:sz="4" w:space="0"/>
              <w:bottom w:val="single" w:color="auto" w:sz="4" w:space="0"/>
              <w:right w:val="single" w:color="auto" w:sz="4" w:space="0"/>
            </w:tcBorders>
            <w:vAlign w:val="center"/>
          </w:tcPr>
          <w:p w14:paraId="225713F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（1）未履行职责每次扣0.5分；</w:t>
            </w:r>
          </w:p>
          <w:p w14:paraId="31A217F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（2）造成一定影响，每次扣1分；</w:t>
            </w:r>
          </w:p>
          <w:p w14:paraId="2A83F87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（3）造成较大影响，扣1.5分。</w:t>
            </w:r>
          </w:p>
        </w:tc>
        <w:tc>
          <w:tcPr>
            <w:tcW w:w="256" w:type="pct"/>
            <w:tcBorders>
              <w:top w:val="single" w:color="auto" w:sz="4" w:space="0"/>
              <w:left w:val="single" w:color="auto" w:sz="4" w:space="0"/>
              <w:bottom w:val="single" w:color="auto" w:sz="4" w:space="0"/>
              <w:right w:val="single" w:color="auto" w:sz="4" w:space="0"/>
            </w:tcBorders>
            <w:vAlign w:val="center"/>
          </w:tcPr>
          <w:p w14:paraId="747C742D">
            <w:pPr>
              <w:rPr>
                <w:rFonts w:hint="eastAsia" w:ascii="宋体" w:hAnsi="宋体" w:eastAsia="宋体" w:cs="宋体"/>
                <w:color w:val="auto"/>
                <w:sz w:val="21"/>
                <w:szCs w:val="21"/>
                <w:highlight w:val="none"/>
              </w:rPr>
            </w:pPr>
          </w:p>
        </w:tc>
      </w:tr>
      <w:tr w14:paraId="3A748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96F65E8">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55114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8FB3300">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7C1612CB">
      <w:pPr>
        <w:pStyle w:val="4"/>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（四）清洁卫生服务（</w:t>
      </w:r>
      <w:r>
        <w:rPr>
          <w:rFonts w:hint="eastAsia" w:ascii="宋体" w:hAnsi="宋体" w:eastAsia="宋体" w:cs="宋体"/>
          <w:color w:val="auto"/>
          <w:szCs w:val="28"/>
          <w:highlight w:val="none"/>
        </w:rPr>
        <w:t>100分）</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1"/>
        <w:gridCol w:w="677"/>
        <w:gridCol w:w="2476"/>
        <w:gridCol w:w="808"/>
      </w:tblGrid>
      <w:tr w14:paraId="1B420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9D68A92">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标准内容</w:t>
            </w:r>
          </w:p>
        </w:tc>
        <w:tc>
          <w:tcPr>
            <w:tcW w:w="397" w:type="pct"/>
            <w:tcBorders>
              <w:top w:val="single" w:color="auto" w:sz="4" w:space="0"/>
              <w:left w:val="single" w:color="auto" w:sz="4" w:space="0"/>
              <w:bottom w:val="single" w:color="auto" w:sz="4" w:space="0"/>
              <w:right w:val="single" w:color="auto" w:sz="4" w:space="0"/>
            </w:tcBorders>
            <w:vAlign w:val="center"/>
          </w:tcPr>
          <w:p w14:paraId="62381B46">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分值</w:t>
            </w:r>
          </w:p>
        </w:tc>
        <w:tc>
          <w:tcPr>
            <w:tcW w:w="1453" w:type="pct"/>
            <w:tcBorders>
              <w:top w:val="single" w:color="auto" w:sz="4" w:space="0"/>
              <w:left w:val="single" w:color="auto" w:sz="4" w:space="0"/>
              <w:bottom w:val="single" w:color="auto" w:sz="4" w:space="0"/>
              <w:right w:val="single" w:color="auto" w:sz="4" w:space="0"/>
            </w:tcBorders>
            <w:vAlign w:val="center"/>
          </w:tcPr>
          <w:p w14:paraId="7D55B990">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监管评分参考</w:t>
            </w:r>
          </w:p>
        </w:tc>
        <w:tc>
          <w:tcPr>
            <w:tcW w:w="472" w:type="pct"/>
            <w:tcBorders>
              <w:top w:val="single" w:color="auto" w:sz="4" w:space="0"/>
              <w:left w:val="single" w:color="auto" w:sz="4" w:space="0"/>
              <w:bottom w:val="single" w:color="auto" w:sz="4" w:space="0"/>
              <w:right w:val="single" w:color="auto" w:sz="4" w:space="0"/>
            </w:tcBorders>
            <w:vAlign w:val="center"/>
          </w:tcPr>
          <w:p w14:paraId="7E14E917">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扣分</w:t>
            </w:r>
          </w:p>
        </w:tc>
      </w:tr>
      <w:tr w14:paraId="35271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46306395">
            <w:pPr>
              <w:jc w:val="cente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一、管理总则（30分）</w:t>
            </w:r>
          </w:p>
        </w:tc>
      </w:tr>
      <w:tr w14:paraId="25B0C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CF7F81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管理人员资质要求：主管要求从事本行业并担任主管职务3年及以上。</w:t>
            </w:r>
          </w:p>
        </w:tc>
        <w:tc>
          <w:tcPr>
            <w:tcW w:w="397" w:type="pct"/>
            <w:tcBorders>
              <w:top w:val="single" w:color="auto" w:sz="4" w:space="0"/>
              <w:left w:val="single" w:color="auto" w:sz="4" w:space="0"/>
              <w:bottom w:val="single" w:color="auto" w:sz="4" w:space="0"/>
              <w:right w:val="single" w:color="auto" w:sz="4" w:space="0"/>
            </w:tcBorders>
            <w:vAlign w:val="center"/>
          </w:tcPr>
          <w:p w14:paraId="69570221">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453" w:type="pct"/>
            <w:tcBorders>
              <w:top w:val="single" w:color="auto" w:sz="4" w:space="0"/>
              <w:left w:val="single" w:color="auto" w:sz="4" w:space="0"/>
              <w:bottom w:val="single" w:color="auto" w:sz="4" w:space="0"/>
              <w:right w:val="single" w:color="auto" w:sz="4" w:space="0"/>
            </w:tcBorders>
            <w:vAlign w:val="center"/>
          </w:tcPr>
          <w:p w14:paraId="5F81DB2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资质不符合要求，扣2分。</w:t>
            </w:r>
          </w:p>
        </w:tc>
        <w:tc>
          <w:tcPr>
            <w:tcW w:w="472" w:type="pct"/>
            <w:tcBorders>
              <w:top w:val="single" w:color="auto" w:sz="4" w:space="0"/>
              <w:left w:val="single" w:color="auto" w:sz="4" w:space="0"/>
              <w:bottom w:val="single" w:color="auto" w:sz="4" w:space="0"/>
              <w:right w:val="single" w:color="auto" w:sz="4" w:space="0"/>
            </w:tcBorders>
            <w:vAlign w:val="center"/>
          </w:tcPr>
          <w:p w14:paraId="4478DDB3">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38438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1286DD6">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管理制度和标准完善，建立有效工作签到制度和工作质量考核制度；有完备的《清洁应急工作预案》。</w:t>
            </w:r>
          </w:p>
        </w:tc>
        <w:tc>
          <w:tcPr>
            <w:tcW w:w="397" w:type="pct"/>
            <w:tcBorders>
              <w:top w:val="single" w:color="auto" w:sz="4" w:space="0"/>
              <w:left w:val="single" w:color="auto" w:sz="4" w:space="0"/>
              <w:bottom w:val="single" w:color="auto" w:sz="4" w:space="0"/>
              <w:right w:val="single" w:color="auto" w:sz="4" w:space="0"/>
            </w:tcBorders>
            <w:vAlign w:val="center"/>
          </w:tcPr>
          <w:p w14:paraId="519FD3E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453" w:type="pct"/>
            <w:tcBorders>
              <w:top w:val="single" w:color="auto" w:sz="4" w:space="0"/>
              <w:left w:val="single" w:color="auto" w:sz="4" w:space="0"/>
              <w:bottom w:val="single" w:color="auto" w:sz="4" w:space="0"/>
              <w:right w:val="single" w:color="auto" w:sz="4" w:space="0"/>
            </w:tcBorders>
            <w:vAlign w:val="center"/>
          </w:tcPr>
          <w:p w14:paraId="32C0A01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无管理制度和标准，扣2分；管理制度和标准不完善，扣1分。</w:t>
            </w:r>
          </w:p>
        </w:tc>
        <w:tc>
          <w:tcPr>
            <w:tcW w:w="472" w:type="pct"/>
            <w:tcBorders>
              <w:top w:val="single" w:color="auto" w:sz="4" w:space="0"/>
              <w:left w:val="single" w:color="auto" w:sz="4" w:space="0"/>
              <w:bottom w:val="single" w:color="auto" w:sz="4" w:space="0"/>
              <w:right w:val="single" w:color="auto" w:sz="4" w:space="0"/>
            </w:tcBorders>
            <w:vAlign w:val="center"/>
          </w:tcPr>
          <w:p w14:paraId="0D16744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6122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8D1E4A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vAlign w:val="center"/>
          </w:tcPr>
          <w:p w14:paraId="209CDBE2">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8</w:t>
            </w:r>
          </w:p>
        </w:tc>
        <w:tc>
          <w:tcPr>
            <w:tcW w:w="1453" w:type="pct"/>
            <w:tcBorders>
              <w:top w:val="single" w:color="auto" w:sz="4" w:space="0"/>
              <w:left w:val="single" w:color="auto" w:sz="4" w:space="0"/>
              <w:bottom w:val="single" w:color="auto" w:sz="4" w:space="0"/>
              <w:right w:val="single" w:color="auto" w:sz="4" w:space="0"/>
            </w:tcBorders>
            <w:vAlign w:val="center"/>
          </w:tcPr>
          <w:p w14:paraId="4F69431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未培训上岗，每人次扣1分；违反工作制度，每人次扣1分；服务态度不好，引起师生投诉，每人次扣2分。</w:t>
            </w:r>
          </w:p>
        </w:tc>
        <w:tc>
          <w:tcPr>
            <w:tcW w:w="472" w:type="pct"/>
            <w:tcBorders>
              <w:top w:val="single" w:color="auto" w:sz="4" w:space="0"/>
              <w:left w:val="single" w:color="auto" w:sz="4" w:space="0"/>
              <w:bottom w:val="single" w:color="auto" w:sz="4" w:space="0"/>
              <w:right w:val="single" w:color="auto" w:sz="4" w:space="0"/>
            </w:tcBorders>
            <w:vAlign w:val="center"/>
          </w:tcPr>
          <w:p w14:paraId="15693C09">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2A7C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600D413">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环卫工具设备设施齐全，定期维护和保证保洁设备及工具完整，工具收纳于指定区域并摆放整齐。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vAlign w:val="center"/>
          </w:tcPr>
          <w:p w14:paraId="6582BF4F">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6</w:t>
            </w:r>
          </w:p>
        </w:tc>
        <w:tc>
          <w:tcPr>
            <w:tcW w:w="1453" w:type="pct"/>
            <w:tcBorders>
              <w:top w:val="single" w:color="auto" w:sz="4" w:space="0"/>
              <w:left w:val="single" w:color="auto" w:sz="4" w:space="0"/>
              <w:bottom w:val="single" w:color="auto" w:sz="4" w:space="0"/>
              <w:right w:val="single" w:color="auto" w:sz="4" w:space="0"/>
            </w:tcBorders>
            <w:vAlign w:val="center"/>
          </w:tcPr>
          <w:p w14:paraId="18D980A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工具设施不齐全，每人次扣1分；工具设施未放置在指定区域，每人次扣1分；未配置，扣1分。</w:t>
            </w:r>
          </w:p>
        </w:tc>
        <w:tc>
          <w:tcPr>
            <w:tcW w:w="472" w:type="pct"/>
            <w:tcBorders>
              <w:top w:val="single" w:color="auto" w:sz="4" w:space="0"/>
              <w:left w:val="single" w:color="auto" w:sz="4" w:space="0"/>
              <w:bottom w:val="single" w:color="auto" w:sz="4" w:space="0"/>
              <w:right w:val="single" w:color="auto" w:sz="4" w:space="0"/>
            </w:tcBorders>
            <w:vAlign w:val="center"/>
          </w:tcPr>
          <w:p w14:paraId="01299B7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5D3A3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5BDBA6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vAlign w:val="center"/>
          </w:tcPr>
          <w:p w14:paraId="6521A4B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w:t>
            </w:r>
          </w:p>
        </w:tc>
        <w:tc>
          <w:tcPr>
            <w:tcW w:w="1453" w:type="pct"/>
            <w:tcBorders>
              <w:top w:val="single" w:color="auto" w:sz="4" w:space="0"/>
              <w:left w:val="single" w:color="auto" w:sz="4" w:space="0"/>
              <w:bottom w:val="single" w:color="auto" w:sz="4" w:space="0"/>
              <w:right w:val="single" w:color="auto" w:sz="4" w:space="0"/>
            </w:tcBorders>
            <w:vAlign w:val="center"/>
          </w:tcPr>
          <w:p w14:paraId="0D7F5216">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没有月度工作计划扣3分，工作计划未落实每项扣1分。</w:t>
            </w:r>
          </w:p>
        </w:tc>
        <w:tc>
          <w:tcPr>
            <w:tcW w:w="472" w:type="pct"/>
            <w:tcBorders>
              <w:top w:val="single" w:color="auto" w:sz="4" w:space="0"/>
              <w:left w:val="single" w:color="auto" w:sz="4" w:space="0"/>
              <w:bottom w:val="single" w:color="auto" w:sz="4" w:space="0"/>
              <w:right w:val="single" w:color="auto" w:sz="4" w:space="0"/>
            </w:tcBorders>
            <w:vAlign w:val="center"/>
          </w:tcPr>
          <w:p w14:paraId="364BDA74">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F8599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A11A2B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每月按时上报甲方材料，包括：在岗人员花名册（工资明细）、本月工作计划、上月工作总结（工作计划执行情况、服务质量评价、安全生产情况等）。</w:t>
            </w:r>
          </w:p>
        </w:tc>
        <w:tc>
          <w:tcPr>
            <w:tcW w:w="397" w:type="pct"/>
            <w:tcBorders>
              <w:top w:val="single" w:color="auto" w:sz="4" w:space="0"/>
              <w:left w:val="single" w:color="auto" w:sz="4" w:space="0"/>
              <w:bottom w:val="single" w:color="auto" w:sz="4" w:space="0"/>
              <w:right w:val="single" w:color="auto" w:sz="4" w:space="0"/>
            </w:tcBorders>
            <w:vAlign w:val="center"/>
          </w:tcPr>
          <w:p w14:paraId="48B67D5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w:t>
            </w:r>
          </w:p>
        </w:tc>
        <w:tc>
          <w:tcPr>
            <w:tcW w:w="1453" w:type="pct"/>
            <w:tcBorders>
              <w:top w:val="single" w:color="auto" w:sz="4" w:space="0"/>
              <w:left w:val="single" w:color="auto" w:sz="4" w:space="0"/>
              <w:bottom w:val="single" w:color="auto" w:sz="4" w:space="0"/>
              <w:right w:val="single" w:color="auto" w:sz="4" w:space="0"/>
            </w:tcBorders>
            <w:vAlign w:val="center"/>
          </w:tcPr>
          <w:p w14:paraId="7239D3C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未上报每次扣1分。</w:t>
            </w:r>
          </w:p>
        </w:tc>
        <w:tc>
          <w:tcPr>
            <w:tcW w:w="472" w:type="pct"/>
            <w:tcBorders>
              <w:top w:val="single" w:color="auto" w:sz="4" w:space="0"/>
              <w:left w:val="single" w:color="auto" w:sz="4" w:space="0"/>
              <w:bottom w:val="single" w:color="auto" w:sz="4" w:space="0"/>
              <w:right w:val="single" w:color="auto" w:sz="4" w:space="0"/>
            </w:tcBorders>
            <w:vAlign w:val="center"/>
          </w:tcPr>
          <w:p w14:paraId="1D51E429">
            <w:pPr>
              <w:jc w:val="center"/>
              <w:rPr>
                <w:rFonts w:hint="eastAsia" w:ascii="仿宋" w:hAnsi="仿宋" w:eastAsia="仿宋" w:cs="仿宋"/>
                <w:color w:val="auto"/>
                <w:sz w:val="21"/>
                <w:szCs w:val="21"/>
                <w:highlight w:val="none"/>
              </w:rPr>
            </w:pPr>
          </w:p>
        </w:tc>
      </w:tr>
      <w:tr w14:paraId="1458A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5B71B75D">
            <w:pPr>
              <w:jc w:val="center"/>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二、室内环境卫生管理（40分）</w:t>
            </w:r>
          </w:p>
        </w:tc>
      </w:tr>
      <w:tr w14:paraId="3E303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D4C8FC4">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公共建筑公共区域：（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 （6）每月清洁一次公共部位的玻璃、天花板；（7）每半月清扫一次公寓天面，包括天面地面和排水口等。</w:t>
            </w:r>
          </w:p>
        </w:tc>
        <w:tc>
          <w:tcPr>
            <w:tcW w:w="397" w:type="pct"/>
            <w:tcBorders>
              <w:top w:val="single" w:color="auto" w:sz="4" w:space="0"/>
              <w:left w:val="single" w:color="auto" w:sz="4" w:space="0"/>
              <w:bottom w:val="single" w:color="auto" w:sz="4" w:space="0"/>
              <w:right w:val="single" w:color="auto" w:sz="4" w:space="0"/>
            </w:tcBorders>
            <w:vAlign w:val="center"/>
          </w:tcPr>
          <w:p w14:paraId="52A167C6">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w:t>
            </w:r>
          </w:p>
        </w:tc>
        <w:tc>
          <w:tcPr>
            <w:tcW w:w="1453" w:type="pct"/>
            <w:tcBorders>
              <w:top w:val="single" w:color="auto" w:sz="4" w:space="0"/>
              <w:left w:val="single" w:color="auto" w:sz="4" w:space="0"/>
              <w:bottom w:val="single" w:color="auto" w:sz="4" w:space="0"/>
              <w:right w:val="single" w:color="auto" w:sz="4" w:space="0"/>
            </w:tcBorders>
            <w:vAlign w:val="center"/>
          </w:tcPr>
          <w:p w14:paraId="16C02B2B">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未履行职责，每项每次扣1分；重复出现的问题或师生投诉，每项每次扣2分。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492693F9">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4D44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0A5D0F79">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课室、教师休息室等：（1）每日在第一节课、第八节课、第十二节课前对所有课室的地面进行清扫、桌面、桌内、座椅、黑板、讲台等用具进行清理；（2）每周全方位清洁一次室内所有家具、门、指示牌等；（3）每间课室、教师休息室设一个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w="397" w:type="pct"/>
            <w:tcBorders>
              <w:top w:val="single" w:color="auto" w:sz="4" w:space="0"/>
              <w:left w:val="single" w:color="auto" w:sz="4" w:space="0"/>
              <w:bottom w:val="single" w:color="auto" w:sz="4" w:space="0"/>
              <w:right w:val="single" w:color="auto" w:sz="4" w:space="0"/>
            </w:tcBorders>
            <w:vAlign w:val="center"/>
          </w:tcPr>
          <w:p w14:paraId="2A1D607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15</w:t>
            </w:r>
          </w:p>
        </w:tc>
        <w:tc>
          <w:tcPr>
            <w:tcW w:w="1453" w:type="pct"/>
            <w:tcBorders>
              <w:top w:val="single" w:color="auto" w:sz="4" w:space="0"/>
              <w:left w:val="single" w:color="auto" w:sz="4" w:space="0"/>
              <w:bottom w:val="single" w:color="auto" w:sz="4" w:space="0"/>
              <w:right w:val="single" w:color="auto" w:sz="4" w:space="0"/>
            </w:tcBorders>
            <w:vAlign w:val="center"/>
          </w:tcPr>
          <w:p w14:paraId="77E998B3">
            <w:pPr>
              <w:ind w:firstLine="480"/>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349A5C65">
            <w:pPr>
              <w:ind w:firstLine="480"/>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47A1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2C0352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景观水池清洁、河道漂浮物打捞清洁：每月清洁一次；楼宇（不含未启用楼宇保洁）清洁：（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w="397" w:type="pct"/>
            <w:tcBorders>
              <w:top w:val="single" w:color="auto" w:sz="4" w:space="0"/>
              <w:left w:val="single" w:color="auto" w:sz="4" w:space="0"/>
              <w:bottom w:val="single" w:color="auto" w:sz="4" w:space="0"/>
              <w:right w:val="single" w:color="auto" w:sz="4" w:space="0"/>
            </w:tcBorders>
            <w:vAlign w:val="center"/>
          </w:tcPr>
          <w:p w14:paraId="29E9104E">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10</w:t>
            </w:r>
          </w:p>
        </w:tc>
        <w:tc>
          <w:tcPr>
            <w:tcW w:w="1453" w:type="pct"/>
            <w:tcBorders>
              <w:top w:val="single" w:color="auto" w:sz="4" w:space="0"/>
              <w:left w:val="single" w:color="auto" w:sz="4" w:space="0"/>
              <w:bottom w:val="single" w:color="auto" w:sz="4" w:space="0"/>
              <w:right w:val="single" w:color="auto" w:sz="4" w:space="0"/>
            </w:tcBorders>
            <w:vAlign w:val="center"/>
          </w:tcPr>
          <w:p w14:paraId="5DD4E08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未及时履行职责，每次扣1分；重复出现的问题或师生投诉，每项每次扣2分。</w:t>
            </w:r>
          </w:p>
        </w:tc>
        <w:tc>
          <w:tcPr>
            <w:tcW w:w="472" w:type="pct"/>
            <w:tcBorders>
              <w:top w:val="single" w:color="auto" w:sz="4" w:space="0"/>
              <w:left w:val="single" w:color="auto" w:sz="4" w:space="0"/>
              <w:bottom w:val="single" w:color="auto" w:sz="4" w:space="0"/>
              <w:right w:val="single" w:color="auto" w:sz="4" w:space="0"/>
            </w:tcBorders>
            <w:vAlign w:val="center"/>
          </w:tcPr>
          <w:p w14:paraId="7575791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F2E7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7A772976">
            <w:pPr>
              <w:jc w:val="center"/>
              <w:rPr>
                <w:rFonts w:hint="eastAsia" w:ascii="仿宋" w:hAnsi="仿宋" w:eastAsia="仿宋" w:cs="仿宋"/>
                <w:color w:val="auto"/>
                <w:sz w:val="21"/>
                <w:szCs w:val="21"/>
                <w:highlight w:val="none"/>
              </w:rPr>
            </w:pPr>
            <w:r>
              <w:rPr>
                <w:rFonts w:hint="eastAsia" w:ascii="仿宋" w:hAnsi="仿宋" w:eastAsia="仿宋" w:cs="仿宋"/>
                <w:b/>
                <w:bCs/>
                <w:color w:val="auto"/>
                <w:sz w:val="21"/>
                <w:szCs w:val="21"/>
                <w:highlight w:val="none"/>
              </w:rPr>
              <w:t>三、室外环境卫生管理（30分）</w:t>
            </w:r>
          </w:p>
        </w:tc>
      </w:tr>
      <w:tr w14:paraId="4A334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5A7185C">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垃圾桶、果皮箱清理：每天二次清理垃圾，无隔夜垃圾；每周清洗一次，每月消毒一次；对损坏的及时更换、补缺。</w:t>
            </w:r>
          </w:p>
        </w:tc>
        <w:tc>
          <w:tcPr>
            <w:tcW w:w="397" w:type="pct"/>
            <w:tcBorders>
              <w:top w:val="single" w:color="auto" w:sz="4" w:space="0"/>
              <w:left w:val="single" w:color="auto" w:sz="4" w:space="0"/>
              <w:bottom w:val="single" w:color="auto" w:sz="4" w:space="0"/>
              <w:right w:val="single" w:color="auto" w:sz="4" w:space="0"/>
            </w:tcBorders>
            <w:vAlign w:val="center"/>
          </w:tcPr>
          <w:p w14:paraId="09636FC8">
            <w:pPr>
              <w:jc w:val="center"/>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5</w:t>
            </w:r>
          </w:p>
        </w:tc>
        <w:tc>
          <w:tcPr>
            <w:tcW w:w="1453" w:type="pct"/>
            <w:tcBorders>
              <w:top w:val="single" w:color="auto" w:sz="4" w:space="0"/>
              <w:left w:val="single" w:color="auto" w:sz="4" w:space="0"/>
              <w:bottom w:val="single" w:color="auto" w:sz="4" w:space="0"/>
              <w:right w:val="single" w:color="auto" w:sz="4" w:space="0"/>
            </w:tcBorders>
            <w:vAlign w:val="center"/>
          </w:tcPr>
          <w:p w14:paraId="3AE718C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421DF8A1">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1E4053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E73DEB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排洪沟、渠、雨水井、污水井：每天巡查一次；每月全面清理、疏通一次。</w:t>
            </w:r>
          </w:p>
        </w:tc>
        <w:tc>
          <w:tcPr>
            <w:tcW w:w="397" w:type="pct"/>
            <w:tcBorders>
              <w:top w:val="single" w:color="auto" w:sz="4" w:space="0"/>
              <w:left w:val="single" w:color="auto" w:sz="4" w:space="0"/>
              <w:bottom w:val="single" w:color="auto" w:sz="4" w:space="0"/>
              <w:right w:val="single" w:color="auto" w:sz="4" w:space="0"/>
            </w:tcBorders>
            <w:vAlign w:val="center"/>
          </w:tcPr>
          <w:p w14:paraId="141F6478">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4</w:t>
            </w:r>
          </w:p>
        </w:tc>
        <w:tc>
          <w:tcPr>
            <w:tcW w:w="1453" w:type="pct"/>
            <w:tcBorders>
              <w:top w:val="single" w:color="auto" w:sz="4" w:space="0"/>
              <w:left w:val="single" w:color="auto" w:sz="4" w:space="0"/>
              <w:bottom w:val="single" w:color="auto" w:sz="4" w:space="0"/>
              <w:right w:val="single" w:color="auto" w:sz="4" w:space="0"/>
            </w:tcBorders>
            <w:vAlign w:val="center"/>
          </w:tcPr>
          <w:p w14:paraId="1F29D2F9">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未及时履行职责，每次扣1分；若造成一定影响，每次每处扣2分。</w:t>
            </w:r>
          </w:p>
        </w:tc>
        <w:tc>
          <w:tcPr>
            <w:tcW w:w="472" w:type="pct"/>
            <w:tcBorders>
              <w:top w:val="single" w:color="auto" w:sz="4" w:space="0"/>
              <w:left w:val="single" w:color="auto" w:sz="4" w:space="0"/>
              <w:bottom w:val="single" w:color="auto" w:sz="4" w:space="0"/>
              <w:right w:val="single" w:color="auto" w:sz="4" w:space="0"/>
            </w:tcBorders>
            <w:vAlign w:val="center"/>
          </w:tcPr>
          <w:p w14:paraId="6B34E6AA">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2D7C3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B43012B">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标识牌、宣传栏、候车厅和室外桌椅：每周一次清洁。</w:t>
            </w:r>
          </w:p>
        </w:tc>
        <w:tc>
          <w:tcPr>
            <w:tcW w:w="397" w:type="pct"/>
            <w:tcBorders>
              <w:top w:val="single" w:color="auto" w:sz="4" w:space="0"/>
              <w:left w:val="single" w:color="auto" w:sz="4" w:space="0"/>
              <w:bottom w:val="single" w:color="auto" w:sz="4" w:space="0"/>
              <w:right w:val="single" w:color="auto" w:sz="4" w:space="0"/>
            </w:tcBorders>
            <w:vAlign w:val="center"/>
          </w:tcPr>
          <w:p w14:paraId="0C683D5D">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3</w:t>
            </w:r>
          </w:p>
        </w:tc>
        <w:tc>
          <w:tcPr>
            <w:tcW w:w="1453" w:type="pct"/>
            <w:tcBorders>
              <w:top w:val="single" w:color="auto" w:sz="4" w:space="0"/>
              <w:left w:val="single" w:color="auto" w:sz="4" w:space="0"/>
              <w:bottom w:val="single" w:color="auto" w:sz="4" w:space="0"/>
              <w:right w:val="single" w:color="auto" w:sz="4" w:space="0"/>
            </w:tcBorders>
            <w:vAlign w:val="center"/>
          </w:tcPr>
          <w:p w14:paraId="49E0F56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220BF1E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99C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377B15F">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道路：每天清扫一次。无明显泥沙、污垢、纸屑、枯树枝树叶，无积水，无垃圾堆积物，无杂草延伸。</w:t>
            </w:r>
          </w:p>
        </w:tc>
        <w:tc>
          <w:tcPr>
            <w:tcW w:w="397" w:type="pct"/>
            <w:tcBorders>
              <w:top w:val="single" w:color="auto" w:sz="4" w:space="0"/>
              <w:left w:val="single" w:color="auto" w:sz="4" w:space="0"/>
              <w:bottom w:val="single" w:color="auto" w:sz="4" w:space="0"/>
              <w:right w:val="single" w:color="auto" w:sz="4" w:space="0"/>
            </w:tcBorders>
            <w:vAlign w:val="center"/>
          </w:tcPr>
          <w:p w14:paraId="6CB1D1FB">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w:t>
            </w:r>
          </w:p>
        </w:tc>
        <w:tc>
          <w:tcPr>
            <w:tcW w:w="1453" w:type="pct"/>
            <w:tcBorders>
              <w:top w:val="single" w:color="auto" w:sz="4" w:space="0"/>
              <w:left w:val="single" w:color="auto" w:sz="4" w:space="0"/>
              <w:bottom w:val="single" w:color="auto" w:sz="4" w:space="0"/>
              <w:right w:val="single" w:color="auto" w:sz="4" w:space="0"/>
            </w:tcBorders>
            <w:vAlign w:val="center"/>
          </w:tcPr>
          <w:p w14:paraId="09D841C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23B47E17">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9FAFF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CE073C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路灯：每月一次清洁灯杆，每年一次集合灯具维修对灯罩进行内外清洁。</w:t>
            </w:r>
          </w:p>
        </w:tc>
        <w:tc>
          <w:tcPr>
            <w:tcW w:w="397" w:type="pct"/>
            <w:tcBorders>
              <w:top w:val="single" w:color="auto" w:sz="4" w:space="0"/>
              <w:left w:val="single" w:color="auto" w:sz="4" w:space="0"/>
              <w:bottom w:val="single" w:color="auto" w:sz="4" w:space="0"/>
              <w:right w:val="single" w:color="auto" w:sz="4" w:space="0"/>
            </w:tcBorders>
            <w:vAlign w:val="center"/>
          </w:tcPr>
          <w:p w14:paraId="6D1DBAF8">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4</w:t>
            </w:r>
          </w:p>
        </w:tc>
        <w:tc>
          <w:tcPr>
            <w:tcW w:w="1453" w:type="pct"/>
            <w:tcBorders>
              <w:top w:val="single" w:color="auto" w:sz="4" w:space="0"/>
              <w:left w:val="single" w:color="auto" w:sz="4" w:space="0"/>
              <w:bottom w:val="single" w:color="auto" w:sz="4" w:space="0"/>
              <w:right w:val="single" w:color="auto" w:sz="4" w:space="0"/>
            </w:tcBorders>
            <w:vAlign w:val="center"/>
          </w:tcPr>
          <w:p w14:paraId="26AD192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未及时履行职责，每处每次扣1分；若情节严重，扣2分。</w:t>
            </w:r>
          </w:p>
        </w:tc>
        <w:tc>
          <w:tcPr>
            <w:tcW w:w="472" w:type="pct"/>
            <w:tcBorders>
              <w:top w:val="single" w:color="auto" w:sz="4" w:space="0"/>
              <w:left w:val="single" w:color="auto" w:sz="4" w:space="0"/>
              <w:bottom w:val="single" w:color="auto" w:sz="4" w:space="0"/>
              <w:right w:val="single" w:color="auto" w:sz="4" w:space="0"/>
            </w:tcBorders>
            <w:vAlign w:val="center"/>
          </w:tcPr>
          <w:p w14:paraId="6014A465">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9CE3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AC6047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垃圾转运及中转站管理：（1）每日对垃圾箱、垃圾场地进行一次清洗消毒；（2）垃圾清运工具应保持清洁无破损，清运过程中不得产生二次污染；（3）每日打包垃圾按时运至垃圾中转站，不在</w:t>
            </w:r>
            <w:r>
              <w:rPr>
                <w:rFonts w:hint="eastAsia" w:ascii="仿宋" w:hAnsi="仿宋" w:eastAsia="仿宋" w:cs="仿宋"/>
                <w:color w:val="auto"/>
                <w:szCs w:val="21"/>
                <w:highlight w:val="none"/>
              </w:rPr>
              <w:t>园区</w:t>
            </w:r>
            <w:r>
              <w:rPr>
                <w:rFonts w:hint="eastAsia" w:ascii="仿宋" w:hAnsi="仿宋" w:eastAsia="仿宋" w:cs="仿宋"/>
                <w:color w:val="auto"/>
                <w:sz w:val="21"/>
                <w:szCs w:val="21"/>
                <w:highlight w:val="none"/>
              </w:rPr>
              <w:t>内其他区域堆积。</w:t>
            </w:r>
          </w:p>
        </w:tc>
        <w:tc>
          <w:tcPr>
            <w:tcW w:w="397" w:type="pct"/>
            <w:tcBorders>
              <w:top w:val="single" w:color="auto" w:sz="4" w:space="0"/>
              <w:left w:val="single" w:color="auto" w:sz="4" w:space="0"/>
              <w:bottom w:val="single" w:color="auto" w:sz="4" w:space="0"/>
              <w:right w:val="single" w:color="auto" w:sz="4" w:space="0"/>
            </w:tcBorders>
            <w:vAlign w:val="center"/>
          </w:tcPr>
          <w:p w14:paraId="68BFB709">
            <w:pP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val="en-US" w:eastAsia="zh-CN"/>
              </w:rPr>
              <w:t>3</w:t>
            </w:r>
          </w:p>
        </w:tc>
        <w:tc>
          <w:tcPr>
            <w:tcW w:w="1453" w:type="pct"/>
            <w:tcBorders>
              <w:top w:val="single" w:color="auto" w:sz="4" w:space="0"/>
              <w:left w:val="single" w:color="auto" w:sz="4" w:space="0"/>
              <w:bottom w:val="single" w:color="auto" w:sz="4" w:space="0"/>
              <w:right w:val="single" w:color="auto" w:sz="4" w:space="0"/>
            </w:tcBorders>
            <w:vAlign w:val="center"/>
          </w:tcPr>
          <w:p w14:paraId="08FA55D7">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6625D83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79F31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7179FCA">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天面：非雨季每月1次清理所有楼宇天面，包括天面和下水口等；雨季每10日1次。</w:t>
            </w:r>
          </w:p>
        </w:tc>
        <w:tc>
          <w:tcPr>
            <w:tcW w:w="397" w:type="pct"/>
            <w:tcBorders>
              <w:top w:val="single" w:color="auto" w:sz="4" w:space="0"/>
              <w:left w:val="single" w:color="auto" w:sz="4" w:space="0"/>
              <w:bottom w:val="single" w:color="auto" w:sz="4" w:space="0"/>
              <w:right w:val="single" w:color="auto" w:sz="4" w:space="0"/>
            </w:tcBorders>
            <w:vAlign w:val="center"/>
          </w:tcPr>
          <w:p w14:paraId="58B295D3">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7FEA6F25">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081F96DD">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635C0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3B3547F">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绿化带、湖边：每日一次清理。</w:t>
            </w:r>
          </w:p>
        </w:tc>
        <w:tc>
          <w:tcPr>
            <w:tcW w:w="397" w:type="pct"/>
            <w:tcBorders>
              <w:top w:val="single" w:color="auto" w:sz="4" w:space="0"/>
              <w:left w:val="single" w:color="auto" w:sz="4" w:space="0"/>
              <w:bottom w:val="single" w:color="auto" w:sz="4" w:space="0"/>
              <w:right w:val="single" w:color="auto" w:sz="4" w:space="0"/>
            </w:tcBorders>
            <w:vAlign w:val="center"/>
          </w:tcPr>
          <w:p w14:paraId="264A5232">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3D62077E">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未及时履行职责，每处每次扣0.5分；若情节严重，扣1分。</w:t>
            </w:r>
          </w:p>
        </w:tc>
        <w:tc>
          <w:tcPr>
            <w:tcW w:w="472" w:type="pct"/>
            <w:tcBorders>
              <w:top w:val="single" w:color="auto" w:sz="4" w:space="0"/>
              <w:left w:val="single" w:color="auto" w:sz="4" w:space="0"/>
              <w:bottom w:val="single" w:color="auto" w:sz="4" w:space="0"/>
              <w:right w:val="single" w:color="auto" w:sz="4" w:space="0"/>
            </w:tcBorders>
            <w:vAlign w:val="center"/>
          </w:tcPr>
          <w:p w14:paraId="7134DB52">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08537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8C4C718">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下水道化粪池：每月全面巡查一次并处理；对化粪池、集污井及相关地下管道每年清理一次。</w:t>
            </w:r>
          </w:p>
        </w:tc>
        <w:tc>
          <w:tcPr>
            <w:tcW w:w="397" w:type="pct"/>
            <w:tcBorders>
              <w:top w:val="single" w:color="auto" w:sz="4" w:space="0"/>
              <w:left w:val="single" w:color="auto" w:sz="4" w:space="0"/>
              <w:bottom w:val="single" w:color="auto" w:sz="4" w:space="0"/>
              <w:right w:val="single" w:color="auto" w:sz="4" w:space="0"/>
            </w:tcBorders>
            <w:vAlign w:val="center"/>
          </w:tcPr>
          <w:p w14:paraId="7564AD28">
            <w:pPr>
              <w:jc w:val="cente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2</w:t>
            </w:r>
          </w:p>
        </w:tc>
        <w:tc>
          <w:tcPr>
            <w:tcW w:w="1453" w:type="pct"/>
            <w:tcBorders>
              <w:top w:val="single" w:color="auto" w:sz="4" w:space="0"/>
              <w:left w:val="single" w:color="auto" w:sz="4" w:space="0"/>
              <w:bottom w:val="single" w:color="auto" w:sz="4" w:space="0"/>
              <w:right w:val="single" w:color="auto" w:sz="4" w:space="0"/>
            </w:tcBorders>
            <w:vAlign w:val="center"/>
          </w:tcPr>
          <w:p w14:paraId="20167611">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未及时履行职责，每次扣0.5分；若造成一定影响，每次每处扣1分。</w:t>
            </w:r>
          </w:p>
        </w:tc>
        <w:tc>
          <w:tcPr>
            <w:tcW w:w="472" w:type="pct"/>
            <w:tcBorders>
              <w:top w:val="single" w:color="auto" w:sz="4" w:space="0"/>
              <w:left w:val="single" w:color="auto" w:sz="4" w:space="0"/>
              <w:bottom w:val="single" w:color="auto" w:sz="4" w:space="0"/>
              <w:right w:val="single" w:color="auto" w:sz="4" w:space="0"/>
            </w:tcBorders>
            <w:vAlign w:val="center"/>
          </w:tcPr>
          <w:p w14:paraId="569A6733">
            <w:pPr>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　</w:t>
            </w:r>
          </w:p>
        </w:tc>
      </w:tr>
      <w:tr w14:paraId="4FF40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691790B6">
            <w:pPr>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本单项考评最终得分：</w:t>
            </w:r>
          </w:p>
        </w:tc>
      </w:tr>
      <w:tr w14:paraId="5BBB93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11E57F8">
            <w:pPr>
              <w:rPr>
                <w:rFonts w:hint="eastAsia" w:ascii="仿宋" w:hAnsi="仿宋" w:eastAsia="仿宋" w:cs="仿宋"/>
                <w:b/>
                <w:bCs/>
                <w:color w:val="auto"/>
                <w:sz w:val="21"/>
                <w:szCs w:val="21"/>
                <w:highlight w:val="none"/>
              </w:rPr>
            </w:pPr>
            <w:r>
              <w:rPr>
                <w:rFonts w:hint="eastAsia" w:ascii="仿宋" w:hAnsi="仿宋" w:eastAsia="仿宋" w:cs="仿宋"/>
                <w:b/>
                <w:bCs/>
                <w:color w:val="auto"/>
                <w:sz w:val="21"/>
                <w:szCs w:val="21"/>
                <w:highlight w:val="none"/>
              </w:rPr>
              <w:t>考评人签名：</w:t>
            </w:r>
          </w:p>
        </w:tc>
      </w:tr>
    </w:tbl>
    <w:p w14:paraId="6F467FDF">
      <w:pPr>
        <w:pStyle w:val="4"/>
        <w:spacing w:before="156" w:beforeLines="50" w:beforeAutospacing="0" w:after="156" w:afterLines="50" w:afterAutospacing="0"/>
        <w:rPr>
          <w:rFonts w:hint="eastAsia" w:ascii="宋体" w:hAnsi="宋体" w:eastAsia="宋体" w:cs="宋体"/>
          <w:color w:val="auto"/>
          <w:szCs w:val="28"/>
          <w:highlight w:val="none"/>
        </w:rPr>
      </w:pPr>
      <w:r>
        <w:rPr>
          <w:rFonts w:ascii="宋体" w:hAnsi="宋体" w:eastAsia="宋体" w:cs="宋体"/>
          <w:color w:val="auto"/>
          <w:szCs w:val="28"/>
          <w:highlight w:val="none"/>
        </w:rPr>
        <w:t>（五）绿化养护服务（</w:t>
      </w:r>
      <w:r>
        <w:rPr>
          <w:rFonts w:hint="eastAsia" w:ascii="宋体" w:hAnsi="宋体" w:eastAsia="宋体" w:cs="宋体"/>
          <w:color w:val="auto"/>
          <w:szCs w:val="28"/>
          <w:highlight w:val="none"/>
        </w:rPr>
        <w:t>100分）</w:t>
      </w:r>
    </w:p>
    <w:tbl>
      <w:tblPr>
        <w:tblStyle w:val="1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1"/>
        <w:gridCol w:w="677"/>
        <w:gridCol w:w="2478"/>
        <w:gridCol w:w="806"/>
      </w:tblGrid>
      <w:tr w14:paraId="40425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2717D698">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标准内容</w:t>
            </w:r>
          </w:p>
        </w:tc>
        <w:tc>
          <w:tcPr>
            <w:tcW w:w="397" w:type="pct"/>
            <w:tcBorders>
              <w:top w:val="single" w:color="auto" w:sz="4" w:space="0"/>
              <w:left w:val="single" w:color="auto" w:sz="4" w:space="0"/>
              <w:bottom w:val="single" w:color="auto" w:sz="4" w:space="0"/>
              <w:right w:val="single" w:color="auto" w:sz="4" w:space="0"/>
            </w:tcBorders>
            <w:vAlign w:val="center"/>
          </w:tcPr>
          <w:p w14:paraId="44DB52E7">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分值</w:t>
            </w:r>
          </w:p>
        </w:tc>
        <w:tc>
          <w:tcPr>
            <w:tcW w:w="1454" w:type="pct"/>
            <w:tcBorders>
              <w:top w:val="single" w:color="auto" w:sz="4" w:space="0"/>
              <w:left w:val="single" w:color="auto" w:sz="4" w:space="0"/>
              <w:bottom w:val="single" w:color="auto" w:sz="4" w:space="0"/>
              <w:right w:val="single" w:color="auto" w:sz="4" w:space="0"/>
            </w:tcBorders>
            <w:vAlign w:val="center"/>
          </w:tcPr>
          <w:p w14:paraId="5C9D513B">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监管评分参考</w:t>
            </w:r>
          </w:p>
        </w:tc>
        <w:tc>
          <w:tcPr>
            <w:tcW w:w="473" w:type="pct"/>
            <w:tcBorders>
              <w:top w:val="single" w:color="auto" w:sz="4" w:space="0"/>
              <w:left w:val="single" w:color="auto" w:sz="4" w:space="0"/>
              <w:bottom w:val="single" w:color="auto" w:sz="4" w:space="0"/>
              <w:right w:val="single" w:color="auto" w:sz="4" w:space="0"/>
            </w:tcBorders>
            <w:vAlign w:val="center"/>
          </w:tcPr>
          <w:p w14:paraId="351F4EF5">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扣分</w:t>
            </w:r>
          </w:p>
        </w:tc>
      </w:tr>
      <w:tr w14:paraId="66DFD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5B1C6B7">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一、管理总则（30分）</w:t>
            </w:r>
          </w:p>
        </w:tc>
      </w:tr>
      <w:tr w14:paraId="157F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FE5BD9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管理人员资质要求：主管要求从事本行业并担任主管职务3年及以上。</w:t>
            </w:r>
          </w:p>
        </w:tc>
        <w:tc>
          <w:tcPr>
            <w:tcW w:w="397" w:type="pct"/>
            <w:tcBorders>
              <w:top w:val="single" w:color="auto" w:sz="4" w:space="0"/>
              <w:left w:val="single" w:color="auto" w:sz="4" w:space="0"/>
              <w:bottom w:val="single" w:color="auto" w:sz="4" w:space="0"/>
              <w:right w:val="single" w:color="auto" w:sz="4" w:space="0"/>
            </w:tcBorders>
            <w:vAlign w:val="center"/>
          </w:tcPr>
          <w:p w14:paraId="0E0318B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54" w:type="pct"/>
            <w:tcBorders>
              <w:top w:val="single" w:color="auto" w:sz="4" w:space="0"/>
              <w:left w:val="single" w:color="auto" w:sz="4" w:space="0"/>
              <w:bottom w:val="single" w:color="auto" w:sz="4" w:space="0"/>
              <w:right w:val="single" w:color="auto" w:sz="4" w:space="0"/>
            </w:tcBorders>
            <w:vAlign w:val="center"/>
          </w:tcPr>
          <w:p w14:paraId="3957A80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资质不符合要求，扣2分。</w:t>
            </w:r>
          </w:p>
        </w:tc>
        <w:tc>
          <w:tcPr>
            <w:tcW w:w="473" w:type="pct"/>
            <w:tcBorders>
              <w:top w:val="single" w:color="auto" w:sz="4" w:space="0"/>
              <w:left w:val="single" w:color="auto" w:sz="4" w:space="0"/>
              <w:bottom w:val="single" w:color="auto" w:sz="4" w:space="0"/>
              <w:right w:val="single" w:color="auto" w:sz="4" w:space="0"/>
            </w:tcBorders>
            <w:vAlign w:val="center"/>
          </w:tcPr>
          <w:p w14:paraId="7CC2233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40BC6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C312D3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管理制度和标准完善，建立有效工作签到制度和工作质量考核制度；有完备的《清洁应急工作预案》。</w:t>
            </w:r>
          </w:p>
        </w:tc>
        <w:tc>
          <w:tcPr>
            <w:tcW w:w="397" w:type="pct"/>
            <w:tcBorders>
              <w:top w:val="single" w:color="auto" w:sz="4" w:space="0"/>
              <w:left w:val="single" w:color="auto" w:sz="4" w:space="0"/>
              <w:bottom w:val="single" w:color="auto" w:sz="4" w:space="0"/>
              <w:right w:val="single" w:color="auto" w:sz="4" w:space="0"/>
            </w:tcBorders>
            <w:vAlign w:val="center"/>
          </w:tcPr>
          <w:p w14:paraId="14139DC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454" w:type="pct"/>
            <w:tcBorders>
              <w:top w:val="single" w:color="auto" w:sz="4" w:space="0"/>
              <w:left w:val="single" w:color="auto" w:sz="4" w:space="0"/>
              <w:bottom w:val="single" w:color="auto" w:sz="4" w:space="0"/>
              <w:right w:val="single" w:color="auto" w:sz="4" w:space="0"/>
            </w:tcBorders>
            <w:vAlign w:val="center"/>
          </w:tcPr>
          <w:p w14:paraId="62C5456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无管理制度和标准，扣2分；管理制度和标准不完善，扣1分。</w:t>
            </w:r>
          </w:p>
        </w:tc>
        <w:tc>
          <w:tcPr>
            <w:tcW w:w="473" w:type="pct"/>
            <w:tcBorders>
              <w:top w:val="single" w:color="auto" w:sz="4" w:space="0"/>
              <w:left w:val="single" w:color="auto" w:sz="4" w:space="0"/>
              <w:bottom w:val="single" w:color="auto" w:sz="4" w:space="0"/>
              <w:right w:val="single" w:color="auto" w:sz="4" w:space="0"/>
            </w:tcBorders>
            <w:vAlign w:val="center"/>
          </w:tcPr>
          <w:p w14:paraId="4149450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610C3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C6568F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上岗培训、工作态度、服务态度。</w:t>
            </w:r>
          </w:p>
        </w:tc>
        <w:tc>
          <w:tcPr>
            <w:tcW w:w="397" w:type="pct"/>
            <w:tcBorders>
              <w:top w:val="single" w:color="auto" w:sz="4" w:space="0"/>
              <w:left w:val="single" w:color="auto" w:sz="4" w:space="0"/>
              <w:bottom w:val="single" w:color="auto" w:sz="4" w:space="0"/>
              <w:right w:val="single" w:color="auto" w:sz="4" w:space="0"/>
            </w:tcBorders>
            <w:vAlign w:val="center"/>
          </w:tcPr>
          <w:p w14:paraId="0FE5DBF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1454" w:type="pct"/>
            <w:tcBorders>
              <w:top w:val="single" w:color="auto" w:sz="4" w:space="0"/>
              <w:left w:val="single" w:color="auto" w:sz="4" w:space="0"/>
              <w:bottom w:val="single" w:color="auto" w:sz="4" w:space="0"/>
              <w:right w:val="single" w:color="auto" w:sz="4" w:space="0"/>
            </w:tcBorders>
            <w:vAlign w:val="center"/>
          </w:tcPr>
          <w:p w14:paraId="59E4D60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未培训上岗，每人次扣1分；违反工作制度，每人次扣1分；服务态度不好，引起师生投诉，每人次扣2分。</w:t>
            </w:r>
          </w:p>
        </w:tc>
        <w:tc>
          <w:tcPr>
            <w:tcW w:w="473" w:type="pct"/>
            <w:tcBorders>
              <w:top w:val="single" w:color="auto" w:sz="4" w:space="0"/>
              <w:left w:val="single" w:color="auto" w:sz="4" w:space="0"/>
              <w:bottom w:val="single" w:color="auto" w:sz="4" w:space="0"/>
              <w:right w:val="single" w:color="auto" w:sz="4" w:space="0"/>
            </w:tcBorders>
            <w:vAlign w:val="center"/>
          </w:tcPr>
          <w:p w14:paraId="30C6B73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0089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E2278A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绿化工具设备设施齐全，定期维护和保证绿化设备及工具完整，工具收纳于指定区域并摆放整齐。</w:t>
            </w:r>
          </w:p>
        </w:tc>
        <w:tc>
          <w:tcPr>
            <w:tcW w:w="397" w:type="pct"/>
            <w:tcBorders>
              <w:top w:val="single" w:color="auto" w:sz="4" w:space="0"/>
              <w:left w:val="single" w:color="auto" w:sz="4" w:space="0"/>
              <w:bottom w:val="single" w:color="auto" w:sz="4" w:space="0"/>
              <w:right w:val="single" w:color="auto" w:sz="4" w:space="0"/>
            </w:tcBorders>
            <w:vAlign w:val="center"/>
          </w:tcPr>
          <w:p w14:paraId="53D8F6D4">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1454" w:type="pct"/>
            <w:tcBorders>
              <w:top w:val="single" w:color="auto" w:sz="4" w:space="0"/>
              <w:left w:val="single" w:color="auto" w:sz="4" w:space="0"/>
              <w:bottom w:val="single" w:color="auto" w:sz="4" w:space="0"/>
              <w:right w:val="single" w:color="auto" w:sz="4" w:space="0"/>
            </w:tcBorders>
            <w:vAlign w:val="center"/>
          </w:tcPr>
          <w:p w14:paraId="1D51EA9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工具设施不齐全，每人次扣1分；工具设施未放置在指定区域，每人次扣1分；未配置，扣1分。</w:t>
            </w:r>
          </w:p>
        </w:tc>
        <w:tc>
          <w:tcPr>
            <w:tcW w:w="473" w:type="pct"/>
            <w:tcBorders>
              <w:top w:val="single" w:color="auto" w:sz="4" w:space="0"/>
              <w:left w:val="single" w:color="auto" w:sz="4" w:space="0"/>
              <w:bottom w:val="single" w:color="auto" w:sz="4" w:space="0"/>
              <w:right w:val="single" w:color="auto" w:sz="4" w:space="0"/>
            </w:tcBorders>
            <w:vAlign w:val="center"/>
          </w:tcPr>
          <w:p w14:paraId="6511F9A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28344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3E98CF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有完善的月度工作计划并分区落实到人。</w:t>
            </w:r>
          </w:p>
        </w:tc>
        <w:tc>
          <w:tcPr>
            <w:tcW w:w="397" w:type="pct"/>
            <w:tcBorders>
              <w:top w:val="single" w:color="auto" w:sz="4" w:space="0"/>
              <w:left w:val="single" w:color="auto" w:sz="4" w:space="0"/>
              <w:bottom w:val="single" w:color="auto" w:sz="4" w:space="0"/>
              <w:right w:val="single" w:color="auto" w:sz="4" w:space="0"/>
            </w:tcBorders>
            <w:vAlign w:val="center"/>
          </w:tcPr>
          <w:p w14:paraId="1DE26B0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1454" w:type="pct"/>
            <w:tcBorders>
              <w:top w:val="single" w:color="auto" w:sz="4" w:space="0"/>
              <w:left w:val="single" w:color="auto" w:sz="4" w:space="0"/>
              <w:bottom w:val="single" w:color="auto" w:sz="4" w:space="0"/>
              <w:right w:val="single" w:color="auto" w:sz="4" w:space="0"/>
            </w:tcBorders>
            <w:vAlign w:val="center"/>
          </w:tcPr>
          <w:p w14:paraId="49AD96F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没有月度工作计划扣3分，工作计划未落实每项扣1分。</w:t>
            </w:r>
          </w:p>
        </w:tc>
        <w:tc>
          <w:tcPr>
            <w:tcW w:w="473" w:type="pct"/>
            <w:tcBorders>
              <w:top w:val="single" w:color="auto" w:sz="4" w:space="0"/>
              <w:left w:val="single" w:color="auto" w:sz="4" w:space="0"/>
              <w:bottom w:val="single" w:color="auto" w:sz="4" w:space="0"/>
              <w:right w:val="single" w:color="auto" w:sz="4" w:space="0"/>
            </w:tcBorders>
            <w:vAlign w:val="center"/>
          </w:tcPr>
          <w:p w14:paraId="4CF95C9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5B49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9EB080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每月按时上报甲方材料，包括：在岗人员花名册（工资明细）、本月工作计划、上月工作总结（工作计划执行情况、服务质量评价、安全生产情况等）。</w:t>
            </w:r>
          </w:p>
        </w:tc>
        <w:tc>
          <w:tcPr>
            <w:tcW w:w="397" w:type="pct"/>
            <w:tcBorders>
              <w:top w:val="single" w:color="auto" w:sz="4" w:space="0"/>
              <w:left w:val="single" w:color="auto" w:sz="4" w:space="0"/>
              <w:bottom w:val="single" w:color="auto" w:sz="4" w:space="0"/>
              <w:right w:val="single" w:color="auto" w:sz="4" w:space="0"/>
            </w:tcBorders>
            <w:vAlign w:val="center"/>
          </w:tcPr>
          <w:p w14:paraId="39A94B3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454" w:type="pct"/>
            <w:tcBorders>
              <w:top w:val="single" w:color="auto" w:sz="4" w:space="0"/>
              <w:left w:val="single" w:color="auto" w:sz="4" w:space="0"/>
              <w:bottom w:val="single" w:color="auto" w:sz="4" w:space="0"/>
              <w:right w:val="single" w:color="auto" w:sz="4" w:space="0"/>
            </w:tcBorders>
            <w:vAlign w:val="center"/>
          </w:tcPr>
          <w:p w14:paraId="557025A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未上报每次扣1分。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36FB13E5">
            <w:pPr>
              <w:jc w:val="center"/>
              <w:rPr>
                <w:rFonts w:hint="eastAsia" w:ascii="宋体" w:hAnsi="宋体" w:eastAsia="宋体" w:cs="宋体"/>
                <w:color w:val="auto"/>
                <w:sz w:val="21"/>
                <w:szCs w:val="21"/>
                <w:highlight w:val="none"/>
              </w:rPr>
            </w:pPr>
          </w:p>
        </w:tc>
      </w:tr>
      <w:tr w14:paraId="37140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823AF77">
            <w:pPr>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二、绿化养护管理（70分）</w:t>
            </w:r>
          </w:p>
        </w:tc>
      </w:tr>
      <w:tr w14:paraId="1EA97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6577FE7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负责合同规定内的所有园区的日常管理和草坪的养护工作。维保期和接管过程内负责监督施工单位的养护工作。</w:t>
            </w:r>
          </w:p>
        </w:tc>
        <w:tc>
          <w:tcPr>
            <w:tcW w:w="397" w:type="pct"/>
            <w:tcBorders>
              <w:top w:val="single" w:color="auto" w:sz="4" w:space="0"/>
              <w:left w:val="single" w:color="auto" w:sz="4" w:space="0"/>
              <w:bottom w:val="single" w:color="auto" w:sz="4" w:space="0"/>
              <w:right w:val="single" w:color="auto" w:sz="4" w:space="0"/>
            </w:tcBorders>
            <w:vAlign w:val="center"/>
          </w:tcPr>
          <w:p w14:paraId="73C4C59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64965BE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4D57B65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7BB8F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6B7AC2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按规定做好相关绿化养护服务以及完成临时性卫生清洁任务。</w:t>
            </w:r>
          </w:p>
        </w:tc>
        <w:tc>
          <w:tcPr>
            <w:tcW w:w="397" w:type="pct"/>
            <w:tcBorders>
              <w:top w:val="single" w:color="auto" w:sz="4" w:space="0"/>
              <w:left w:val="single" w:color="auto" w:sz="4" w:space="0"/>
              <w:bottom w:val="single" w:color="auto" w:sz="4" w:space="0"/>
              <w:right w:val="single" w:color="auto" w:sz="4" w:space="0"/>
            </w:tcBorders>
            <w:vAlign w:val="center"/>
          </w:tcPr>
          <w:p w14:paraId="07B306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5600BB6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1D83B5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0A379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5B46CE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实行标准化作业，有专人负责检查、监督，并设置相应的质量记录，每月抽查，记录在案。</w:t>
            </w:r>
          </w:p>
        </w:tc>
        <w:tc>
          <w:tcPr>
            <w:tcW w:w="397" w:type="pct"/>
            <w:tcBorders>
              <w:top w:val="single" w:color="auto" w:sz="4" w:space="0"/>
              <w:left w:val="single" w:color="auto" w:sz="4" w:space="0"/>
              <w:bottom w:val="single" w:color="auto" w:sz="4" w:space="0"/>
              <w:right w:val="single" w:color="auto" w:sz="4" w:space="0"/>
            </w:tcBorders>
            <w:vAlign w:val="center"/>
          </w:tcPr>
          <w:p w14:paraId="4A269C3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49790E6">
            <w:pPr>
              <w:pStyle w:val="15"/>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不符合服务要求，每次扣1分。 </w:t>
            </w:r>
          </w:p>
        </w:tc>
        <w:tc>
          <w:tcPr>
            <w:tcW w:w="473" w:type="pct"/>
            <w:tcBorders>
              <w:top w:val="single" w:color="auto" w:sz="4" w:space="0"/>
              <w:left w:val="single" w:color="auto" w:sz="4" w:space="0"/>
              <w:bottom w:val="single" w:color="auto" w:sz="4" w:space="0"/>
              <w:right w:val="single" w:color="auto" w:sz="4" w:space="0"/>
            </w:tcBorders>
            <w:vAlign w:val="center"/>
          </w:tcPr>
          <w:p w14:paraId="3A34A119">
            <w:pPr>
              <w:ind w:firstLine="48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p>
        </w:tc>
      </w:tr>
      <w:tr w14:paraId="1426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5E5006B3">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协助</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在节日、庆典等大型活动中做好</w:t>
            </w:r>
            <w:r>
              <w:rPr>
                <w:rFonts w:hint="eastAsia" w:ascii="宋体" w:hAnsi="宋体" w:eastAsia="宋体" w:cs="宋体"/>
                <w:color w:val="auto"/>
                <w:szCs w:val="21"/>
                <w:highlight w:val="none"/>
              </w:rPr>
              <w:t>园区内</w:t>
            </w:r>
            <w:r>
              <w:rPr>
                <w:rFonts w:hint="eastAsia" w:ascii="宋体" w:hAnsi="宋体" w:eastAsia="宋体" w:cs="宋体"/>
                <w:color w:val="auto"/>
                <w:sz w:val="21"/>
                <w:szCs w:val="21"/>
                <w:highlight w:val="none"/>
              </w:rPr>
              <w:t>绿化保障工作。</w:t>
            </w:r>
          </w:p>
        </w:tc>
        <w:tc>
          <w:tcPr>
            <w:tcW w:w="397" w:type="pct"/>
            <w:tcBorders>
              <w:top w:val="single" w:color="auto" w:sz="4" w:space="0"/>
              <w:left w:val="single" w:color="auto" w:sz="4" w:space="0"/>
              <w:bottom w:val="single" w:color="auto" w:sz="4" w:space="0"/>
              <w:right w:val="single" w:color="auto" w:sz="4" w:space="0"/>
            </w:tcBorders>
            <w:vAlign w:val="center"/>
          </w:tcPr>
          <w:p w14:paraId="7507050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362DCD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012DA618">
            <w:pPr>
              <w:ind w:firstLine="480"/>
              <w:jc w:val="center"/>
              <w:rPr>
                <w:rFonts w:hint="eastAsia" w:ascii="宋体" w:hAnsi="宋体" w:eastAsia="宋体" w:cs="宋体"/>
                <w:color w:val="auto"/>
                <w:sz w:val="21"/>
                <w:szCs w:val="21"/>
                <w:highlight w:val="none"/>
              </w:rPr>
            </w:pPr>
          </w:p>
        </w:tc>
      </w:tr>
      <w:tr w14:paraId="7BF86D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46C4545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定期巡查、浇水、施肥少见病虫害成活率达99%以上，发现人为或车辆损坏的及时制止、汇报，妥善处理。</w:t>
            </w:r>
          </w:p>
        </w:tc>
        <w:tc>
          <w:tcPr>
            <w:tcW w:w="397" w:type="pct"/>
            <w:tcBorders>
              <w:top w:val="single" w:color="auto" w:sz="4" w:space="0"/>
              <w:left w:val="single" w:color="auto" w:sz="4" w:space="0"/>
              <w:bottom w:val="single" w:color="auto" w:sz="4" w:space="0"/>
              <w:right w:val="single" w:color="auto" w:sz="4" w:space="0"/>
            </w:tcBorders>
            <w:vAlign w:val="center"/>
          </w:tcPr>
          <w:p w14:paraId="0EB35D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7343125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花草、树木、草坪有缺损现象每处扣0.2分；发现人为或车辆损坏未及时制止、处理的扣2分。</w:t>
            </w:r>
          </w:p>
        </w:tc>
        <w:tc>
          <w:tcPr>
            <w:tcW w:w="473" w:type="pct"/>
            <w:tcBorders>
              <w:top w:val="single" w:color="auto" w:sz="4" w:space="0"/>
              <w:left w:val="single" w:color="auto" w:sz="4" w:space="0"/>
              <w:bottom w:val="single" w:color="auto" w:sz="4" w:space="0"/>
              <w:right w:val="single" w:color="auto" w:sz="4" w:space="0"/>
            </w:tcBorders>
            <w:vAlign w:val="center"/>
          </w:tcPr>
          <w:p w14:paraId="7FA36F30">
            <w:pPr>
              <w:ind w:firstLine="480"/>
              <w:jc w:val="center"/>
              <w:rPr>
                <w:rFonts w:hint="eastAsia" w:ascii="宋体" w:hAnsi="宋体" w:eastAsia="宋体" w:cs="宋体"/>
                <w:color w:val="auto"/>
                <w:sz w:val="21"/>
                <w:szCs w:val="21"/>
                <w:highlight w:val="none"/>
              </w:rPr>
            </w:pPr>
          </w:p>
        </w:tc>
      </w:tr>
      <w:tr w14:paraId="4C432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7445F3F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负责各类场地绿化的管理工作，配合</w:t>
            </w:r>
            <w:r>
              <w:rPr>
                <w:rFonts w:hint="eastAsia" w:ascii="宋体" w:hAnsi="宋体" w:eastAsia="宋体" w:cs="宋体"/>
                <w:color w:val="auto"/>
                <w:szCs w:val="21"/>
                <w:highlight w:val="none"/>
              </w:rPr>
              <w:t>业主</w:t>
            </w:r>
            <w:r>
              <w:rPr>
                <w:rFonts w:hint="eastAsia" w:ascii="宋体" w:hAnsi="宋体" w:eastAsia="宋体" w:cs="宋体"/>
                <w:color w:val="auto"/>
                <w:sz w:val="21"/>
                <w:szCs w:val="21"/>
                <w:highlight w:val="none"/>
              </w:rPr>
              <w:t>维护喷淋设施、水龙头、花池、绿化牌、计量表等整理工作。</w:t>
            </w:r>
          </w:p>
        </w:tc>
        <w:tc>
          <w:tcPr>
            <w:tcW w:w="397" w:type="pct"/>
            <w:tcBorders>
              <w:top w:val="single" w:color="auto" w:sz="4" w:space="0"/>
              <w:left w:val="single" w:color="auto" w:sz="4" w:space="0"/>
              <w:bottom w:val="single" w:color="auto" w:sz="4" w:space="0"/>
              <w:right w:val="single" w:color="auto" w:sz="4" w:space="0"/>
            </w:tcBorders>
            <w:vAlign w:val="center"/>
          </w:tcPr>
          <w:p w14:paraId="4B5380B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76A1FB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17A0C42D">
            <w:pPr>
              <w:ind w:firstLine="480"/>
              <w:jc w:val="center"/>
              <w:rPr>
                <w:rFonts w:hint="eastAsia" w:ascii="宋体" w:hAnsi="宋体" w:eastAsia="宋体" w:cs="宋体"/>
                <w:color w:val="auto"/>
                <w:sz w:val="21"/>
                <w:szCs w:val="21"/>
                <w:highlight w:val="none"/>
              </w:rPr>
            </w:pPr>
          </w:p>
        </w:tc>
      </w:tr>
      <w:tr w14:paraId="39F5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676" w:type="pct"/>
            <w:tcBorders>
              <w:top w:val="single" w:color="auto" w:sz="4" w:space="0"/>
              <w:left w:val="single" w:color="auto" w:sz="4" w:space="0"/>
              <w:bottom w:val="single" w:color="auto" w:sz="4" w:space="0"/>
              <w:right w:val="single" w:color="auto" w:sz="4" w:space="0"/>
            </w:tcBorders>
            <w:vAlign w:val="center"/>
          </w:tcPr>
          <w:p w14:paraId="13D722C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加强防治病虫害管理，每周抽查，每月普查，并记录在案；根据草木生长情况及时打药，保证无病虫危害，一旦发生，十天内得到控制。</w:t>
            </w:r>
          </w:p>
        </w:tc>
        <w:tc>
          <w:tcPr>
            <w:tcW w:w="397" w:type="pct"/>
            <w:tcBorders>
              <w:top w:val="single" w:color="auto" w:sz="4" w:space="0"/>
              <w:left w:val="single" w:color="auto" w:sz="4" w:space="0"/>
              <w:bottom w:val="single" w:color="auto" w:sz="4" w:space="0"/>
              <w:right w:val="single" w:color="auto" w:sz="4" w:space="0"/>
            </w:tcBorders>
            <w:vAlign w:val="center"/>
          </w:tcPr>
          <w:p w14:paraId="39A2785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1454" w:type="pct"/>
            <w:tcBorders>
              <w:top w:val="single" w:color="auto" w:sz="4" w:space="0"/>
              <w:left w:val="single" w:color="auto" w:sz="4" w:space="0"/>
              <w:bottom w:val="single" w:color="auto" w:sz="4" w:space="0"/>
              <w:right w:val="single" w:color="auto" w:sz="4" w:space="0"/>
            </w:tcBorders>
            <w:vAlign w:val="center"/>
          </w:tcPr>
          <w:p w14:paraId="2EA06352">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不符合服务要求，每次扣1分。</w:t>
            </w:r>
          </w:p>
        </w:tc>
        <w:tc>
          <w:tcPr>
            <w:tcW w:w="473" w:type="pct"/>
            <w:tcBorders>
              <w:top w:val="single" w:color="auto" w:sz="4" w:space="0"/>
              <w:left w:val="single" w:color="auto" w:sz="4" w:space="0"/>
              <w:bottom w:val="single" w:color="auto" w:sz="4" w:space="0"/>
              <w:right w:val="single" w:color="auto" w:sz="4" w:space="0"/>
            </w:tcBorders>
            <w:vAlign w:val="center"/>
          </w:tcPr>
          <w:p w14:paraId="296FBDCA">
            <w:pPr>
              <w:ind w:firstLine="480"/>
              <w:jc w:val="center"/>
              <w:rPr>
                <w:rFonts w:hint="eastAsia" w:ascii="宋体" w:hAnsi="宋体" w:eastAsia="宋体" w:cs="宋体"/>
                <w:color w:val="auto"/>
                <w:sz w:val="21"/>
                <w:szCs w:val="21"/>
                <w:highlight w:val="none"/>
              </w:rPr>
            </w:pPr>
          </w:p>
        </w:tc>
      </w:tr>
      <w:tr w14:paraId="7E23D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15DE699D">
            <w:pP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本单项考评最终得分：</w:t>
            </w:r>
          </w:p>
        </w:tc>
      </w:tr>
      <w:tr w14:paraId="01B2E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5000" w:type="pct"/>
            <w:gridSpan w:val="4"/>
            <w:tcBorders>
              <w:top w:val="single" w:color="auto" w:sz="4" w:space="0"/>
              <w:left w:val="single" w:color="auto" w:sz="4" w:space="0"/>
              <w:bottom w:val="single" w:color="auto" w:sz="4" w:space="0"/>
              <w:right w:val="single" w:color="auto" w:sz="4" w:space="0"/>
            </w:tcBorders>
            <w:vAlign w:val="center"/>
          </w:tcPr>
          <w:p w14:paraId="31B8C3A3">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考评人签名：</w:t>
            </w:r>
          </w:p>
        </w:tc>
      </w:tr>
    </w:tbl>
    <w:p w14:paraId="07489BC1">
      <w:pPr>
        <w:pStyle w:val="4"/>
        <w:spacing w:before="156" w:beforeLines="50" w:beforeAutospacing="0" w:after="156" w:afterLines="50" w:afterAutospacing="0"/>
        <w:rPr>
          <w:rFonts w:hint="eastAsia" w:ascii="宋体" w:hAnsi="宋体" w:eastAsia="宋体" w:cs="宋体"/>
          <w:color w:val="auto"/>
          <w:highlight w:val="none"/>
        </w:rPr>
      </w:pPr>
      <w:r>
        <w:rPr>
          <w:rFonts w:ascii="宋体" w:hAnsi="宋体" w:eastAsia="宋体" w:cs="宋体"/>
          <w:color w:val="auto"/>
          <w:szCs w:val="28"/>
          <w:highlight w:val="none"/>
        </w:rPr>
        <w:t>（六）海南大学崖州湾科教园物业服务月度</w:t>
      </w:r>
      <w:r>
        <w:rPr>
          <w:rFonts w:hint="eastAsia" w:ascii="宋体" w:hAnsi="宋体" w:eastAsia="宋体" w:cs="宋体"/>
          <w:color w:val="auto"/>
          <w:highlight w:val="none"/>
          <w:lang w:val="en-US" w:eastAsia="zh-CN"/>
        </w:rPr>
        <w:t>/季度</w:t>
      </w:r>
      <w:r>
        <w:rPr>
          <w:rFonts w:ascii="宋体" w:hAnsi="宋体" w:eastAsia="宋体" w:cs="宋体"/>
          <w:color w:val="auto"/>
          <w:szCs w:val="28"/>
          <w:highlight w:val="none"/>
        </w:rPr>
        <w:t>考评结果汇总表</w:t>
      </w:r>
    </w:p>
    <w:p w14:paraId="463A4E41">
      <w:pPr>
        <w:jc w:val="center"/>
        <w:rPr>
          <w:rFonts w:hint="eastAsia" w:ascii="宋体" w:hAnsi="宋体" w:eastAsia="宋体" w:cs="宋体"/>
          <w:b/>
          <w:color w:val="auto"/>
          <w:sz w:val="22"/>
          <w:szCs w:val="24"/>
          <w:highlight w:val="none"/>
        </w:rPr>
      </w:pPr>
      <w:r>
        <w:rPr>
          <w:rFonts w:hint="eastAsia" w:ascii="宋体" w:hAnsi="宋体" w:eastAsia="宋体" w:cs="宋体"/>
          <w:b/>
          <w:color w:val="auto"/>
          <w:sz w:val="24"/>
          <w:szCs w:val="24"/>
          <w:highlight w:val="none"/>
        </w:rPr>
        <w:t>海南大学崖州湾科教园物业服务月度</w:t>
      </w:r>
      <w:r>
        <w:rPr>
          <w:rFonts w:hint="eastAsia" w:ascii="宋体" w:hAnsi="宋体" w:eastAsia="宋体" w:cs="宋体"/>
          <w:b/>
          <w:color w:val="auto"/>
          <w:sz w:val="24"/>
          <w:szCs w:val="24"/>
          <w:highlight w:val="none"/>
          <w:lang w:val="en-US" w:eastAsia="zh-CN"/>
        </w:rPr>
        <w:t>/季度</w:t>
      </w:r>
      <w:r>
        <w:rPr>
          <w:rFonts w:hint="eastAsia" w:ascii="宋体" w:hAnsi="宋体" w:eastAsia="宋体" w:cs="宋体"/>
          <w:b/>
          <w:color w:val="auto"/>
          <w:sz w:val="24"/>
          <w:szCs w:val="24"/>
          <w:highlight w:val="none"/>
        </w:rPr>
        <w:t>考评结果汇总表</w:t>
      </w:r>
      <w:r>
        <w:rPr>
          <w:rFonts w:hint="eastAsia" w:ascii="宋体" w:hAnsi="宋体" w:eastAsia="宋体" w:cs="宋体"/>
          <w:b/>
          <w:color w:val="auto"/>
          <w:sz w:val="22"/>
          <w:szCs w:val="24"/>
          <w:highlight w:val="none"/>
        </w:rPr>
        <w:t>（</w:t>
      </w:r>
      <w:r>
        <w:rPr>
          <w:rFonts w:hint="eastAsia" w:ascii="宋体" w:hAnsi="宋体" w:eastAsia="宋体" w:cs="宋体"/>
          <w:b/>
          <w:color w:val="auto"/>
          <w:sz w:val="22"/>
          <w:szCs w:val="24"/>
          <w:highlight w:val="none"/>
          <w:u w:val="single"/>
        </w:rPr>
        <w:t xml:space="preserve">  </w:t>
      </w:r>
      <w:r>
        <w:rPr>
          <w:rFonts w:hint="eastAsia" w:ascii="宋体" w:hAnsi="宋体" w:eastAsia="宋体" w:cs="宋体"/>
          <w:b/>
          <w:color w:val="auto"/>
          <w:sz w:val="22"/>
          <w:szCs w:val="24"/>
          <w:highlight w:val="none"/>
        </w:rPr>
        <w:t>年</w:t>
      </w:r>
      <w:r>
        <w:rPr>
          <w:rFonts w:hint="eastAsia" w:ascii="宋体" w:hAnsi="宋体" w:eastAsia="宋体" w:cs="宋体"/>
          <w:b/>
          <w:color w:val="auto"/>
          <w:sz w:val="22"/>
          <w:szCs w:val="24"/>
          <w:highlight w:val="none"/>
          <w:u w:val="single"/>
        </w:rPr>
        <w:t xml:space="preserve">    </w:t>
      </w:r>
      <w:r>
        <w:rPr>
          <w:rFonts w:hint="eastAsia" w:ascii="宋体" w:hAnsi="宋体" w:eastAsia="宋体" w:cs="宋体"/>
          <w:b/>
          <w:color w:val="auto"/>
          <w:sz w:val="22"/>
          <w:szCs w:val="24"/>
          <w:highlight w:val="none"/>
        </w:rPr>
        <w:t>月）</w:t>
      </w:r>
    </w:p>
    <w:tbl>
      <w:tblPr>
        <w:tblStyle w:val="10"/>
        <w:tblW w:w="527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36"/>
        <w:gridCol w:w="4270"/>
        <w:gridCol w:w="2192"/>
      </w:tblGrid>
      <w:tr w14:paraId="56703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8"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7CE846F9">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考评项目名称</w:t>
            </w:r>
          </w:p>
        </w:tc>
        <w:tc>
          <w:tcPr>
            <w:tcW w:w="2372" w:type="pct"/>
            <w:tcBorders>
              <w:top w:val="single" w:color="auto" w:sz="4" w:space="0"/>
              <w:left w:val="single" w:color="auto" w:sz="4" w:space="0"/>
              <w:bottom w:val="single" w:color="auto" w:sz="4" w:space="0"/>
              <w:right w:val="single" w:color="auto" w:sz="4" w:space="0"/>
            </w:tcBorders>
            <w:vAlign w:val="center"/>
          </w:tcPr>
          <w:p w14:paraId="5C2D204D">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考评得分</w:t>
            </w:r>
          </w:p>
          <w:p w14:paraId="361DAAA1">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（各项总分100分，及格分85分）</w:t>
            </w:r>
          </w:p>
        </w:tc>
        <w:tc>
          <w:tcPr>
            <w:tcW w:w="1218" w:type="pct"/>
            <w:tcBorders>
              <w:top w:val="single" w:color="auto" w:sz="4" w:space="0"/>
              <w:left w:val="single" w:color="auto" w:sz="4" w:space="0"/>
              <w:bottom w:val="single" w:color="auto" w:sz="4" w:space="0"/>
              <w:right w:val="single" w:color="auto" w:sz="4" w:space="0"/>
            </w:tcBorders>
            <w:vAlign w:val="center"/>
          </w:tcPr>
          <w:p w14:paraId="53B905F6">
            <w:pPr>
              <w:jc w:val="center"/>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工作小组成员签名</w:t>
            </w:r>
          </w:p>
        </w:tc>
      </w:tr>
      <w:tr w14:paraId="3014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20C8A276">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Cs w:val="21"/>
                <w:highlight w:val="none"/>
              </w:rPr>
              <w:t>园区</w:t>
            </w:r>
            <w:r>
              <w:rPr>
                <w:rFonts w:hint="eastAsia" w:ascii="宋体" w:hAnsi="宋体" w:eastAsia="宋体" w:cs="宋体"/>
                <w:bCs/>
                <w:color w:val="auto"/>
                <w:sz w:val="21"/>
                <w:szCs w:val="21"/>
                <w:highlight w:val="none"/>
              </w:rPr>
              <w:t>安全保卫服务</w:t>
            </w:r>
          </w:p>
        </w:tc>
        <w:tc>
          <w:tcPr>
            <w:tcW w:w="2372" w:type="pct"/>
            <w:tcBorders>
              <w:top w:val="single" w:color="auto" w:sz="4" w:space="0"/>
              <w:left w:val="single" w:color="auto" w:sz="4" w:space="0"/>
              <w:bottom w:val="single" w:color="auto" w:sz="4" w:space="0"/>
              <w:right w:val="single" w:color="auto" w:sz="4" w:space="0"/>
            </w:tcBorders>
            <w:vAlign w:val="center"/>
          </w:tcPr>
          <w:p w14:paraId="2B4B2B9E">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83171CE">
            <w:pPr>
              <w:jc w:val="center"/>
              <w:rPr>
                <w:rFonts w:hint="eastAsia" w:ascii="宋体" w:hAnsi="宋体" w:eastAsia="宋体" w:cs="宋体"/>
                <w:bCs/>
                <w:color w:val="auto"/>
                <w:sz w:val="21"/>
                <w:szCs w:val="21"/>
                <w:highlight w:val="none"/>
              </w:rPr>
            </w:pPr>
          </w:p>
        </w:tc>
      </w:tr>
      <w:tr w14:paraId="15E1F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1AEE15F9">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设备运行及维修管理服务</w:t>
            </w:r>
          </w:p>
        </w:tc>
        <w:tc>
          <w:tcPr>
            <w:tcW w:w="2372" w:type="pct"/>
            <w:tcBorders>
              <w:top w:val="single" w:color="auto" w:sz="4" w:space="0"/>
              <w:left w:val="single" w:color="auto" w:sz="4" w:space="0"/>
              <w:bottom w:val="single" w:color="auto" w:sz="4" w:space="0"/>
              <w:right w:val="single" w:color="auto" w:sz="4" w:space="0"/>
            </w:tcBorders>
            <w:vAlign w:val="center"/>
          </w:tcPr>
          <w:p w14:paraId="1BD96D13">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527FB50">
            <w:pPr>
              <w:jc w:val="center"/>
              <w:rPr>
                <w:rFonts w:hint="eastAsia" w:ascii="宋体" w:hAnsi="宋体" w:eastAsia="宋体" w:cs="宋体"/>
                <w:bCs/>
                <w:color w:val="auto"/>
                <w:sz w:val="21"/>
                <w:szCs w:val="21"/>
                <w:highlight w:val="none"/>
              </w:rPr>
            </w:pPr>
          </w:p>
        </w:tc>
      </w:tr>
      <w:tr w14:paraId="4F48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67FECE6E">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楼宇综合管理服务</w:t>
            </w:r>
          </w:p>
        </w:tc>
        <w:tc>
          <w:tcPr>
            <w:tcW w:w="2372" w:type="pct"/>
            <w:tcBorders>
              <w:top w:val="single" w:color="auto" w:sz="4" w:space="0"/>
              <w:left w:val="single" w:color="auto" w:sz="4" w:space="0"/>
              <w:bottom w:val="single" w:color="auto" w:sz="4" w:space="0"/>
              <w:right w:val="single" w:color="auto" w:sz="4" w:space="0"/>
            </w:tcBorders>
            <w:vAlign w:val="center"/>
          </w:tcPr>
          <w:p w14:paraId="67F79B92">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6A9605BB">
            <w:pPr>
              <w:jc w:val="center"/>
              <w:rPr>
                <w:rFonts w:hint="eastAsia" w:ascii="宋体" w:hAnsi="宋体" w:eastAsia="宋体" w:cs="宋体"/>
                <w:bCs/>
                <w:color w:val="auto"/>
                <w:sz w:val="21"/>
                <w:szCs w:val="21"/>
                <w:highlight w:val="none"/>
              </w:rPr>
            </w:pPr>
          </w:p>
        </w:tc>
      </w:tr>
      <w:tr w14:paraId="32EE6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39DF0FDA">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清洁卫生服务</w:t>
            </w:r>
          </w:p>
        </w:tc>
        <w:tc>
          <w:tcPr>
            <w:tcW w:w="2372" w:type="pct"/>
            <w:tcBorders>
              <w:top w:val="single" w:color="auto" w:sz="4" w:space="0"/>
              <w:left w:val="single" w:color="auto" w:sz="4" w:space="0"/>
              <w:bottom w:val="single" w:color="auto" w:sz="4" w:space="0"/>
              <w:right w:val="single" w:color="auto" w:sz="4" w:space="0"/>
            </w:tcBorders>
            <w:vAlign w:val="center"/>
          </w:tcPr>
          <w:p w14:paraId="5BC0CF16">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765F6F16">
            <w:pPr>
              <w:jc w:val="center"/>
              <w:rPr>
                <w:rFonts w:hint="eastAsia" w:ascii="宋体" w:hAnsi="宋体" w:eastAsia="宋体" w:cs="宋体"/>
                <w:bCs/>
                <w:color w:val="auto"/>
                <w:sz w:val="21"/>
                <w:szCs w:val="21"/>
                <w:highlight w:val="none"/>
              </w:rPr>
            </w:pPr>
          </w:p>
        </w:tc>
      </w:tr>
      <w:tr w14:paraId="23DEC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61BA5B79">
            <w:pPr>
              <w:jc w:val="cente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绿化养护服务</w:t>
            </w:r>
          </w:p>
        </w:tc>
        <w:tc>
          <w:tcPr>
            <w:tcW w:w="2372" w:type="pct"/>
            <w:tcBorders>
              <w:top w:val="single" w:color="auto" w:sz="4" w:space="0"/>
              <w:left w:val="single" w:color="auto" w:sz="4" w:space="0"/>
              <w:bottom w:val="single" w:color="auto" w:sz="4" w:space="0"/>
              <w:right w:val="single" w:color="auto" w:sz="4" w:space="0"/>
            </w:tcBorders>
            <w:vAlign w:val="center"/>
          </w:tcPr>
          <w:p w14:paraId="594B1329">
            <w:pPr>
              <w:jc w:val="center"/>
              <w:rPr>
                <w:rFonts w:hint="eastAsia" w:ascii="宋体" w:hAnsi="宋体" w:eastAsia="宋体" w:cs="宋体"/>
                <w:bCs/>
                <w:color w:val="auto"/>
                <w:sz w:val="21"/>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062D5BC4">
            <w:pPr>
              <w:jc w:val="center"/>
              <w:rPr>
                <w:rFonts w:hint="eastAsia" w:ascii="宋体" w:hAnsi="宋体" w:eastAsia="宋体" w:cs="宋体"/>
                <w:bCs/>
                <w:color w:val="auto"/>
                <w:sz w:val="21"/>
                <w:szCs w:val="21"/>
                <w:highlight w:val="none"/>
              </w:rPr>
            </w:pPr>
          </w:p>
        </w:tc>
      </w:tr>
      <w:tr w14:paraId="025F0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49E7F2DD">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重要园区事务服务</w:t>
            </w:r>
          </w:p>
        </w:tc>
        <w:tc>
          <w:tcPr>
            <w:tcW w:w="2372" w:type="pct"/>
            <w:tcBorders>
              <w:top w:val="single" w:color="auto" w:sz="4" w:space="0"/>
              <w:left w:val="single" w:color="auto" w:sz="4" w:space="0"/>
              <w:bottom w:val="single" w:color="auto" w:sz="4" w:space="0"/>
              <w:right w:val="single" w:color="auto" w:sz="4" w:space="0"/>
            </w:tcBorders>
            <w:vAlign w:val="center"/>
          </w:tcPr>
          <w:p w14:paraId="166E4604">
            <w:pPr>
              <w:jc w:val="center"/>
              <w:rPr>
                <w:rFonts w:hint="eastAsia" w:ascii="宋体" w:hAnsi="宋体" w:eastAsia="宋体" w:cs="宋体"/>
                <w:bCs/>
                <w:color w:val="auto"/>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75B31B39">
            <w:pPr>
              <w:jc w:val="center"/>
              <w:rPr>
                <w:rFonts w:hint="eastAsia" w:ascii="宋体" w:hAnsi="宋体" w:eastAsia="宋体" w:cs="宋体"/>
                <w:bCs/>
                <w:color w:val="auto"/>
                <w:szCs w:val="21"/>
                <w:highlight w:val="none"/>
              </w:rPr>
            </w:pPr>
          </w:p>
        </w:tc>
      </w:tr>
      <w:tr w14:paraId="6F0C8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409" w:type="pct"/>
            <w:tcBorders>
              <w:top w:val="single" w:color="auto" w:sz="4" w:space="0"/>
              <w:left w:val="single" w:color="auto" w:sz="4" w:space="0"/>
              <w:bottom w:val="single" w:color="auto" w:sz="4" w:space="0"/>
              <w:right w:val="single" w:color="auto" w:sz="4" w:space="0"/>
            </w:tcBorders>
            <w:vAlign w:val="center"/>
          </w:tcPr>
          <w:p w14:paraId="050D76C0">
            <w:pPr>
              <w:jc w:val="center"/>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考评综合得分</w:t>
            </w:r>
          </w:p>
        </w:tc>
        <w:tc>
          <w:tcPr>
            <w:tcW w:w="2372" w:type="pct"/>
            <w:tcBorders>
              <w:top w:val="single" w:color="auto" w:sz="4" w:space="0"/>
              <w:left w:val="single" w:color="auto" w:sz="4" w:space="0"/>
              <w:bottom w:val="single" w:color="auto" w:sz="4" w:space="0"/>
              <w:right w:val="single" w:color="auto" w:sz="4" w:space="0"/>
            </w:tcBorders>
            <w:vAlign w:val="center"/>
          </w:tcPr>
          <w:p w14:paraId="79E06D28">
            <w:pPr>
              <w:jc w:val="center"/>
              <w:rPr>
                <w:rFonts w:hint="eastAsia" w:ascii="宋体" w:hAnsi="宋体" w:eastAsia="宋体" w:cs="宋体"/>
                <w:bCs/>
                <w:color w:val="auto"/>
                <w:szCs w:val="21"/>
                <w:highlight w:val="none"/>
              </w:rPr>
            </w:pPr>
          </w:p>
        </w:tc>
        <w:tc>
          <w:tcPr>
            <w:tcW w:w="1218" w:type="pct"/>
            <w:tcBorders>
              <w:top w:val="single" w:color="auto" w:sz="4" w:space="0"/>
              <w:left w:val="single" w:color="auto" w:sz="4" w:space="0"/>
              <w:bottom w:val="single" w:color="auto" w:sz="4" w:space="0"/>
              <w:right w:val="single" w:color="auto" w:sz="4" w:space="0"/>
            </w:tcBorders>
            <w:vAlign w:val="center"/>
          </w:tcPr>
          <w:p w14:paraId="6F4B9678">
            <w:pPr>
              <w:jc w:val="center"/>
              <w:rPr>
                <w:rFonts w:hint="eastAsia" w:ascii="宋体" w:hAnsi="宋体" w:eastAsia="宋体" w:cs="宋体"/>
                <w:bCs/>
                <w:color w:val="auto"/>
                <w:szCs w:val="21"/>
                <w:highlight w:val="none"/>
              </w:rPr>
            </w:pPr>
          </w:p>
        </w:tc>
      </w:tr>
    </w:tbl>
    <w:p w14:paraId="341F79F4">
      <w:pPr>
        <w:snapToGrid w:val="0"/>
        <w:jc w:val="right"/>
        <w:rPr>
          <w:rFonts w:hint="eastAsia" w:ascii="宋体" w:hAnsi="宋体" w:eastAsia="宋体" w:cs="宋体"/>
          <w:color w:val="auto"/>
          <w:szCs w:val="21"/>
          <w:highlight w:val="none"/>
        </w:rPr>
      </w:pPr>
    </w:p>
    <w:p w14:paraId="0BCDA051">
      <w:pPr>
        <w:snapToGrid w:val="0"/>
        <w:spacing w:line="360" w:lineRule="auto"/>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海南大学崖州湾科教园管委会</w:t>
      </w:r>
    </w:p>
    <w:p w14:paraId="6285B53A">
      <w:pPr>
        <w:snapToGrid w:val="0"/>
        <w:spacing w:line="360" w:lineRule="auto"/>
        <w:ind w:right="720"/>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年   月   日</w:t>
      </w:r>
    </w:p>
    <w:p w14:paraId="73AE2801">
      <w:pPr>
        <w:rPr>
          <w:rFonts w:hint="eastAsia"/>
          <w:color w:val="auto"/>
          <w:highlight w:val="none"/>
        </w:rPr>
      </w:pPr>
    </w:p>
    <w:p w14:paraId="7F8AED2A">
      <w:pPr>
        <w:rPr>
          <w:color w:val="auto"/>
          <w:highlight w:val="none"/>
        </w:rPr>
      </w:pPr>
    </w:p>
    <w:p w14:paraId="2B18BF54">
      <w:pPr>
        <w:pStyle w:val="13"/>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AC99CE"/>
    <w:multiLevelType w:val="singleLevel"/>
    <w:tmpl w:val="9FAC99CE"/>
    <w:lvl w:ilvl="0" w:tentative="0">
      <w:start w:val="1"/>
      <w:numFmt w:val="decimal"/>
      <w:lvlText w:val="%1."/>
      <w:lvlJc w:val="left"/>
      <w:pPr>
        <w:tabs>
          <w:tab w:val="left" w:pos="312"/>
        </w:tabs>
        <w:ind w:left="0" w:firstLine="0"/>
      </w:pPr>
    </w:lvl>
  </w:abstractNum>
  <w:abstractNum w:abstractNumId="1">
    <w:nsid w:val="C4AAA92A"/>
    <w:multiLevelType w:val="singleLevel"/>
    <w:tmpl w:val="C4AAA92A"/>
    <w:lvl w:ilvl="0" w:tentative="0">
      <w:start w:val="1"/>
      <w:numFmt w:val="decimal"/>
      <w:lvlText w:val="%1."/>
      <w:lvlJc w:val="left"/>
      <w:pPr>
        <w:tabs>
          <w:tab w:val="left" w:pos="312"/>
        </w:tabs>
        <w:ind w:left="0" w:firstLine="0"/>
      </w:pPr>
    </w:lvl>
  </w:abstractNum>
  <w:abstractNum w:abstractNumId="2">
    <w:nsid w:val="0FB278F2"/>
    <w:multiLevelType w:val="singleLevel"/>
    <w:tmpl w:val="0FB278F2"/>
    <w:lvl w:ilvl="0" w:tentative="0">
      <w:start w:val="1"/>
      <w:numFmt w:val="decimal"/>
      <w:lvlText w:val="%1."/>
      <w:lvlJc w:val="left"/>
      <w:pPr>
        <w:tabs>
          <w:tab w:val="left" w:pos="312"/>
        </w:tabs>
      </w:pPr>
    </w:lvl>
  </w:abstractNum>
  <w:abstractNum w:abstractNumId="3">
    <w:nsid w:val="13A0255C"/>
    <w:multiLevelType w:val="singleLevel"/>
    <w:tmpl w:val="13A0255C"/>
    <w:lvl w:ilvl="0" w:tentative="0">
      <w:start w:val="1"/>
      <w:numFmt w:val="decimal"/>
      <w:lvlText w:val="(%1)"/>
      <w:lvlJc w:val="left"/>
      <w:pPr>
        <w:tabs>
          <w:tab w:val="left" w:pos="312"/>
        </w:tabs>
      </w:pPr>
    </w:lvl>
  </w:abstractNum>
  <w:abstractNum w:abstractNumId="4">
    <w:nsid w:val="13A72D2A"/>
    <w:multiLevelType w:val="singleLevel"/>
    <w:tmpl w:val="13A72D2A"/>
    <w:lvl w:ilvl="0" w:tentative="0">
      <w:start w:val="1"/>
      <w:numFmt w:val="decimal"/>
      <w:lvlText w:val="%1."/>
      <w:lvlJc w:val="left"/>
      <w:pPr>
        <w:tabs>
          <w:tab w:val="left" w:pos="312"/>
        </w:tabs>
      </w:pPr>
    </w:lvl>
  </w:abstractNum>
  <w:abstractNum w:abstractNumId="5">
    <w:nsid w:val="2E504D81"/>
    <w:multiLevelType w:val="singleLevel"/>
    <w:tmpl w:val="2E504D81"/>
    <w:lvl w:ilvl="0" w:tentative="0">
      <w:start w:val="1"/>
      <w:numFmt w:val="decimal"/>
      <w:suff w:val="nothing"/>
      <w:lvlText w:val="（%1）"/>
      <w:lvlJc w:val="left"/>
    </w:lvl>
  </w:abstractNum>
  <w:abstractNum w:abstractNumId="6">
    <w:nsid w:val="3C421E16"/>
    <w:multiLevelType w:val="singleLevel"/>
    <w:tmpl w:val="3C421E16"/>
    <w:lvl w:ilvl="0" w:tentative="0">
      <w:start w:val="1"/>
      <w:numFmt w:val="decimal"/>
      <w:lvlText w:val="(%1)"/>
      <w:lvlJc w:val="left"/>
      <w:pPr>
        <w:tabs>
          <w:tab w:val="left" w:pos="312"/>
        </w:tabs>
      </w:pPr>
    </w:lvl>
  </w:abstractNum>
  <w:abstractNum w:abstractNumId="7">
    <w:nsid w:val="5592BF27"/>
    <w:multiLevelType w:val="singleLevel"/>
    <w:tmpl w:val="5592BF27"/>
    <w:lvl w:ilvl="0" w:tentative="0">
      <w:start w:val="1"/>
      <w:numFmt w:val="decimal"/>
      <w:suff w:val="nothing"/>
      <w:lvlText w:val="%1."/>
      <w:lvlJc w:val="left"/>
      <w:pPr>
        <w:ind w:left="0" w:firstLine="0"/>
      </w:pPr>
    </w:lvl>
  </w:abstractNum>
  <w:abstractNum w:abstractNumId="8">
    <w:nsid w:val="6229D024"/>
    <w:multiLevelType w:val="singleLevel"/>
    <w:tmpl w:val="6229D024"/>
    <w:lvl w:ilvl="0" w:tentative="0">
      <w:start w:val="1"/>
      <w:numFmt w:val="decimal"/>
      <w:suff w:val="nothing"/>
      <w:lvlText w:val="（%1）"/>
      <w:lvlJc w:val="left"/>
    </w:lvl>
  </w:abstractNum>
  <w:abstractNum w:abstractNumId="9">
    <w:nsid w:val="7D207E09"/>
    <w:multiLevelType w:val="multilevel"/>
    <w:tmpl w:val="7D207E09"/>
    <w:lvl w:ilvl="0" w:tentative="0">
      <w:start w:val="1"/>
      <w:numFmt w:val="chineseCountingThousand"/>
      <w:lvlText w:val="%1、"/>
      <w:lvlJc w:val="left"/>
      <w:pPr>
        <w:tabs>
          <w:tab w:val="left" w:pos="510"/>
        </w:tabs>
        <w:ind w:left="510" w:hanging="510"/>
      </w:pPr>
      <w:rPr>
        <w:rFonts w:hint="eastAsia"/>
        <w:b/>
        <w:i w:val="0"/>
        <w:caps w:val="0"/>
        <w:color w:val="000000"/>
        <w:spacing w:val="0"/>
        <w:w w:val="100"/>
        <w:sz w:val="24"/>
        <w:szCs w:val="24"/>
        <w:u w:val="none"/>
      </w:rPr>
    </w:lvl>
    <w:lvl w:ilvl="1" w:tentative="0">
      <w:start w:val="1"/>
      <w:numFmt w:val="decimal"/>
      <w:lvlText w:val="%2."/>
      <w:lvlJc w:val="left"/>
      <w:pPr>
        <w:tabs>
          <w:tab w:val="left" w:pos="510"/>
        </w:tabs>
        <w:ind w:left="510" w:hanging="510"/>
      </w:pPr>
      <w:rPr>
        <w:rFonts w:hint="eastAsia"/>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0">
    <w:nsid w:val="7D207E13"/>
    <w:multiLevelType w:val="multilevel"/>
    <w:tmpl w:val="7D207E13"/>
    <w:lvl w:ilvl="0" w:tentative="0">
      <w:start w:val="1"/>
      <w:numFmt w:val="decimal"/>
      <w:lvlText w:val="%1."/>
      <w:lvlJc w:val="left"/>
      <w:pPr>
        <w:tabs>
          <w:tab w:val="left" w:pos="510"/>
        </w:tabs>
        <w:ind w:left="510" w:hanging="510"/>
      </w:pPr>
      <w:rPr>
        <w:rFonts w:hint="eastAsia" w:ascii="Times New Roman" w:hAnsi="Times New Roman" w:eastAsia="宋体"/>
        <w:b/>
        <w:i/>
        <w:caps w:val="0"/>
        <w:color w:val="000000"/>
        <w:spacing w:val="0"/>
        <w:w w:val="100"/>
        <w:sz w:val="24"/>
        <w:szCs w:val="24"/>
        <w:u w:val="double"/>
      </w:rPr>
    </w:lvl>
    <w:lvl w:ilvl="1" w:tentative="0">
      <w:start w:val="1"/>
      <w:numFmt w:val="decimal"/>
      <w:lvlText w:val="%2."/>
      <w:lvlJc w:val="left"/>
      <w:pPr>
        <w:tabs>
          <w:tab w:val="left" w:pos="510"/>
        </w:tabs>
        <w:ind w:left="510" w:hanging="510"/>
      </w:pPr>
      <w:rPr>
        <w:rFonts w:hint="eastAsia"/>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1">
    <w:nsid w:val="7D207E14"/>
    <w:multiLevelType w:val="multilevel"/>
    <w:tmpl w:val="7D207E14"/>
    <w:lvl w:ilvl="0" w:tentative="0">
      <w:start w:val="1"/>
      <w:numFmt w:val="decimal"/>
      <w:lvlText w:val="%1."/>
      <w:lvlJc w:val="left"/>
      <w:pPr>
        <w:tabs>
          <w:tab w:val="left" w:pos="510"/>
        </w:tabs>
        <w:ind w:left="510" w:hanging="510"/>
      </w:pPr>
      <w:rPr>
        <w:rFonts w:hint="eastAsia" w:ascii="Times New Roman" w:hAnsi="Times New Roman" w:eastAsia="宋体"/>
        <w:b/>
        <w:i/>
        <w:caps w:val="0"/>
        <w:color w:val="000000"/>
        <w:spacing w:val="0"/>
        <w:w w:val="100"/>
        <w:sz w:val="24"/>
        <w:szCs w:val="24"/>
        <w:u w:val="double"/>
      </w:rPr>
    </w:lvl>
    <w:lvl w:ilvl="1" w:tentative="0">
      <w:start w:val="1"/>
      <w:numFmt w:val="decimal"/>
      <w:lvlText w:val="%2."/>
      <w:lvlJc w:val="left"/>
      <w:pPr>
        <w:tabs>
          <w:tab w:val="left" w:pos="510"/>
        </w:tabs>
        <w:ind w:left="510" w:hanging="510"/>
      </w:pPr>
      <w:rPr>
        <w:rFonts w:hint="default" w:ascii="Times New Roman" w:hAnsi="Times New Roman" w:cs="Times New Roman"/>
        <w:b/>
        <w:i w:val="0"/>
        <w:caps w:val="0"/>
        <w:color w:val="000000"/>
        <w:spacing w:val="0"/>
        <w:w w:val="100"/>
        <w:sz w:val="24"/>
        <w:szCs w:val="24"/>
        <w:u w:val="none"/>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2">
    <w:nsid w:val="7E483AFC"/>
    <w:multiLevelType w:val="singleLevel"/>
    <w:tmpl w:val="7E483AFC"/>
    <w:lvl w:ilvl="0" w:tentative="0">
      <w:start w:val="2"/>
      <w:numFmt w:val="decimal"/>
      <w:suff w:val="nothing"/>
      <w:lvlText w:val="（%1）"/>
      <w:lvlJc w:val="left"/>
    </w:lvl>
  </w:abstractNum>
  <w:num w:numId="1">
    <w:abstractNumId w:val="9"/>
  </w:num>
  <w:num w:numId="2">
    <w:abstractNumId w:val="6"/>
  </w:num>
  <w:num w:numId="3">
    <w:abstractNumId w:val="3"/>
  </w:num>
  <w:num w:numId="4">
    <w:abstractNumId w:val="12"/>
  </w:num>
  <w:num w:numId="5">
    <w:abstractNumId w:val="8"/>
  </w:num>
  <w:num w:numId="6">
    <w:abstractNumId w:val="4"/>
  </w:num>
  <w:num w:numId="7">
    <w:abstractNumId w:val="2"/>
  </w:num>
  <w:num w:numId="8">
    <w:abstractNumId w:val="10"/>
  </w:num>
  <w:num w:numId="9">
    <w:abstractNumId w:val="11"/>
  </w:num>
  <w:num w:numId="10">
    <w:abstractNumId w:val="7"/>
    <w:lvlOverride w:ilvl="0">
      <w:startOverride w:val="1"/>
    </w:lvlOverride>
  </w:num>
  <w:num w:numId="11">
    <w:abstractNumId w:val="1"/>
    <w:lvlOverride w:ilvl="0">
      <w:startOverride w:val="1"/>
    </w:lvlOverride>
  </w:num>
  <w:num w:numId="12">
    <w:abstractNumId w:val="0"/>
    <w:lvlOverride w:ilvl="0">
      <w:startOverride w:val="1"/>
    </w:lvlOverride>
  </w:num>
  <w:num w:numId="13">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黎先妹">
    <w15:presenceInfo w15:providerId="WPS Office" w15:userId="89260746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BiMjIzYzIzZTE4NjBjMmU3NGZkNzJjNDIzMDdhZjAifQ=="/>
  </w:docVars>
  <w:rsids>
    <w:rsidRoot w:val="53B52B8D"/>
    <w:rsid w:val="02AC0CD6"/>
    <w:rsid w:val="03DE39A0"/>
    <w:rsid w:val="040D04DE"/>
    <w:rsid w:val="065D62B7"/>
    <w:rsid w:val="06CC1584"/>
    <w:rsid w:val="090715AF"/>
    <w:rsid w:val="094B153C"/>
    <w:rsid w:val="09BB27A8"/>
    <w:rsid w:val="09C414DB"/>
    <w:rsid w:val="0A592759"/>
    <w:rsid w:val="0A8868ED"/>
    <w:rsid w:val="0B39056B"/>
    <w:rsid w:val="0CA57A5D"/>
    <w:rsid w:val="0DB059E8"/>
    <w:rsid w:val="0E8E217C"/>
    <w:rsid w:val="0F08063D"/>
    <w:rsid w:val="0F50294D"/>
    <w:rsid w:val="0FD146C5"/>
    <w:rsid w:val="0FE8038D"/>
    <w:rsid w:val="10E0563D"/>
    <w:rsid w:val="10F61919"/>
    <w:rsid w:val="12661A3D"/>
    <w:rsid w:val="169F551D"/>
    <w:rsid w:val="16E85228"/>
    <w:rsid w:val="1752433D"/>
    <w:rsid w:val="177F50ED"/>
    <w:rsid w:val="187F4445"/>
    <w:rsid w:val="193137C5"/>
    <w:rsid w:val="195F4F28"/>
    <w:rsid w:val="19FE249C"/>
    <w:rsid w:val="1B1F1EE0"/>
    <w:rsid w:val="1B4B5C73"/>
    <w:rsid w:val="1E5F0AC0"/>
    <w:rsid w:val="211441B8"/>
    <w:rsid w:val="221826F8"/>
    <w:rsid w:val="22CC0344"/>
    <w:rsid w:val="23522FFB"/>
    <w:rsid w:val="24A24B56"/>
    <w:rsid w:val="24AC4BD5"/>
    <w:rsid w:val="252949A0"/>
    <w:rsid w:val="25700CF6"/>
    <w:rsid w:val="28795BCE"/>
    <w:rsid w:val="29657F00"/>
    <w:rsid w:val="2B157E58"/>
    <w:rsid w:val="2B9D226A"/>
    <w:rsid w:val="2C696C15"/>
    <w:rsid w:val="2DB07CA4"/>
    <w:rsid w:val="2E0D12B4"/>
    <w:rsid w:val="2E4F711A"/>
    <w:rsid w:val="2F1172A9"/>
    <w:rsid w:val="3065159B"/>
    <w:rsid w:val="30CE6CB8"/>
    <w:rsid w:val="32826B5E"/>
    <w:rsid w:val="33933C5D"/>
    <w:rsid w:val="343372C7"/>
    <w:rsid w:val="34B54432"/>
    <w:rsid w:val="35124A25"/>
    <w:rsid w:val="35594589"/>
    <w:rsid w:val="376016B7"/>
    <w:rsid w:val="37A33323"/>
    <w:rsid w:val="38BD3123"/>
    <w:rsid w:val="3941035A"/>
    <w:rsid w:val="398B35EF"/>
    <w:rsid w:val="3A2E4DC8"/>
    <w:rsid w:val="3ACB517B"/>
    <w:rsid w:val="3B5353D7"/>
    <w:rsid w:val="3B9A7EDD"/>
    <w:rsid w:val="3C3A55E2"/>
    <w:rsid w:val="3D1F03A1"/>
    <w:rsid w:val="3D8763A1"/>
    <w:rsid w:val="3E8A28E2"/>
    <w:rsid w:val="3ED31D81"/>
    <w:rsid w:val="41961147"/>
    <w:rsid w:val="41C0691F"/>
    <w:rsid w:val="420D2E26"/>
    <w:rsid w:val="42945242"/>
    <w:rsid w:val="458E3F25"/>
    <w:rsid w:val="4874505C"/>
    <w:rsid w:val="4907292A"/>
    <w:rsid w:val="4A7309D0"/>
    <w:rsid w:val="4D072221"/>
    <w:rsid w:val="4D662315"/>
    <w:rsid w:val="4DA1140F"/>
    <w:rsid w:val="4E59708B"/>
    <w:rsid w:val="4E7A45DA"/>
    <w:rsid w:val="4EA25392"/>
    <w:rsid w:val="50631343"/>
    <w:rsid w:val="51D14BA8"/>
    <w:rsid w:val="53364538"/>
    <w:rsid w:val="53B52B8D"/>
    <w:rsid w:val="55CB1C14"/>
    <w:rsid w:val="56342D2E"/>
    <w:rsid w:val="58483BF2"/>
    <w:rsid w:val="59804E3E"/>
    <w:rsid w:val="5B2668C2"/>
    <w:rsid w:val="5B5633BC"/>
    <w:rsid w:val="5E337FF2"/>
    <w:rsid w:val="5E473A9D"/>
    <w:rsid w:val="5FC829BC"/>
    <w:rsid w:val="604858AA"/>
    <w:rsid w:val="61483DB4"/>
    <w:rsid w:val="618B3896"/>
    <w:rsid w:val="61E15FB7"/>
    <w:rsid w:val="63063D2D"/>
    <w:rsid w:val="633B5026"/>
    <w:rsid w:val="63BC2837"/>
    <w:rsid w:val="63E57D44"/>
    <w:rsid w:val="65AB66C0"/>
    <w:rsid w:val="65BF216B"/>
    <w:rsid w:val="665A38F8"/>
    <w:rsid w:val="665F2DD6"/>
    <w:rsid w:val="67474F03"/>
    <w:rsid w:val="67631015"/>
    <w:rsid w:val="68FF4E29"/>
    <w:rsid w:val="6B5477F9"/>
    <w:rsid w:val="6CA125CA"/>
    <w:rsid w:val="70932B72"/>
    <w:rsid w:val="71977CF1"/>
    <w:rsid w:val="72783DCD"/>
    <w:rsid w:val="74844CAB"/>
    <w:rsid w:val="74AF650C"/>
    <w:rsid w:val="755A3F20"/>
    <w:rsid w:val="776D5ECB"/>
    <w:rsid w:val="77F79321"/>
    <w:rsid w:val="780F6F82"/>
    <w:rsid w:val="7C006244"/>
    <w:rsid w:val="7C5B0211"/>
    <w:rsid w:val="7DF31013"/>
    <w:rsid w:val="7E315D8E"/>
    <w:rsid w:val="7F5007BA"/>
    <w:rsid w:val="7FDD796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paragraph" w:styleId="3">
    <w:name w:val="heading 2"/>
    <w:basedOn w:val="1"/>
    <w:next w:val="1"/>
    <w:qFormat/>
    <w:uiPriority w:val="0"/>
    <w:pPr>
      <w:spacing w:before="100" w:beforeAutospacing="1" w:after="100" w:afterAutospacing="1"/>
      <w:jc w:val="left"/>
      <w:outlineLvl w:val="1"/>
    </w:pPr>
    <w:rPr>
      <w:rFonts w:hint="eastAsia" w:ascii="宋体" w:hAnsi="宋体"/>
      <w:b/>
      <w:kern w:val="0"/>
      <w:sz w:val="36"/>
      <w:szCs w:val="36"/>
    </w:rPr>
  </w:style>
  <w:style w:type="paragraph" w:styleId="4">
    <w:name w:val="heading 3"/>
    <w:basedOn w:val="1"/>
    <w:next w:val="1"/>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spacing w:line="360" w:lineRule="auto"/>
      <w:ind w:firstLine="420"/>
      <w:jc w:val="left"/>
    </w:pPr>
    <w:rPr>
      <w:rFonts w:ascii="宋体"/>
      <w:kern w:val="0"/>
      <w:szCs w:val="20"/>
    </w:rPr>
  </w:style>
  <w:style w:type="paragraph" w:styleId="6">
    <w:name w:val="annotation text"/>
    <w:basedOn w:val="1"/>
    <w:qFormat/>
    <w:uiPriority w:val="0"/>
    <w:pPr>
      <w:jc w:val="left"/>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Body Text 2"/>
    <w:basedOn w:val="1"/>
    <w:unhideWhenUsed/>
    <w:qFormat/>
    <w:uiPriority w:val="99"/>
    <w:pPr>
      <w:spacing w:after="120" w:line="480" w:lineRule="auto"/>
    </w:pPr>
  </w:style>
  <w:style w:type="character" w:styleId="12">
    <w:name w:val="page number"/>
    <w:qFormat/>
    <w:uiPriority w:val="0"/>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able Paragraph"/>
    <w:basedOn w:val="1"/>
    <w:qFormat/>
    <w:uiPriority w:val="1"/>
    <w:rPr>
      <w:rFonts w:ascii="宋体" w:hAnsi="宋体" w:cs="宋体"/>
      <w:lang w:val="zh-CN" w:bidi="zh-CN"/>
    </w:rPr>
  </w:style>
  <w:style w:type="paragraph" w:customStyle="1" w:styleId="15">
    <w:name w:val="Default"/>
    <w:qFormat/>
    <w:uiPriority w:val="99"/>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6">
    <w:name w:val="_Style 4"/>
    <w:basedOn w:val="1"/>
    <w:next w:val="1"/>
    <w:autoRedefine/>
    <w:qFormat/>
    <w:uiPriority w:val="0"/>
    <w:pPr>
      <w:pBdr>
        <w:bottom w:val="single" w:color="auto" w:sz="6" w:space="1"/>
      </w:pBdr>
      <w:jc w:val="center"/>
    </w:pPr>
    <w:rPr>
      <w:rFonts w:ascii="Arial"/>
      <w:vanish/>
      <w:sz w:val="16"/>
    </w:rPr>
  </w:style>
  <w:style w:type="paragraph" w:customStyle="1" w:styleId="17">
    <w:name w:val="正文_1_2"/>
    <w:autoRedefine/>
    <w:qFormat/>
    <w:uiPriority w:val="0"/>
    <w:pPr>
      <w:widowControl w:val="0"/>
      <w:jc w:val="both"/>
    </w:pPr>
    <w:rPr>
      <w:rFonts w:ascii="Calibri" w:hAnsi="Calibri" w:eastAsia="宋体" w:cs="Times New Roman"/>
      <w:kern w:val="2"/>
      <w:sz w:val="21"/>
      <w:szCs w:val="24"/>
      <w:lang w:val="en-US" w:eastAsia="zh-CN" w:bidi="ar-SA"/>
    </w:rPr>
  </w:style>
  <w:style w:type="paragraph" w:styleId="18">
    <w:name w:val="List Paragraph"/>
    <w:basedOn w:val="1"/>
    <w:autoRedefine/>
    <w:qFormat/>
    <w:uiPriority w:val="99"/>
    <w:pPr>
      <w:ind w:firstLine="420" w:firstLineChars="200"/>
    </w:pPr>
  </w:style>
  <w:style w:type="paragraph" w:customStyle="1" w:styleId="19">
    <w:name w:val="正文_0_0_4"/>
    <w:autoRedefine/>
    <w:qFormat/>
    <w:uiPriority w:val="99"/>
    <w:pPr>
      <w:widowControl w:val="0"/>
      <w:jc w:val="both"/>
    </w:pPr>
    <w:rPr>
      <w:rFonts w:ascii="Times New Roman" w:hAnsi="Times New Roman" w:eastAsia="宋体" w:cs="Times New Roman"/>
      <w:color w:val="0000FF"/>
      <w:kern w:val="2"/>
      <w:sz w:val="24"/>
      <w:szCs w:val="24"/>
      <w:lang w:val="en-US" w:eastAsia="zh-CN" w:bidi="ar-SA"/>
    </w:rPr>
  </w:style>
  <w:style w:type="paragraph" w:customStyle="1" w:styleId="20">
    <w:name w:val="正文_43"/>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21">
    <w:name w:val="正文_0_0_3_0"/>
    <w:autoRedefine/>
    <w:qFormat/>
    <w:uiPriority w:val="99"/>
    <w:pPr>
      <w:widowControl w:val="0"/>
      <w:jc w:val="both"/>
    </w:pPr>
    <w:rPr>
      <w:rFonts w:ascii="Times New Roman" w:hAnsi="Times New Roman" w:eastAsia="等线" w:cs="Times New Roman"/>
      <w:color w:val="0000FF"/>
      <w:kern w:val="2"/>
      <w:sz w:val="24"/>
      <w:szCs w:val="24"/>
      <w:lang w:val="en-US" w:eastAsia="zh-CN" w:bidi="ar-SA"/>
    </w:rPr>
  </w:style>
  <w:style w:type="paragraph" w:customStyle="1" w:styleId="22">
    <w:name w:val="正文_0_6"/>
    <w:autoRedefine/>
    <w:qFormat/>
    <w:uiPriority w:val="99"/>
    <w:pPr>
      <w:widowControl w:val="0"/>
      <w:jc w:val="both"/>
    </w:pPr>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3810</Words>
  <Characters>3904</Characters>
  <Lines>0</Lines>
  <Paragraphs>0</Paragraphs>
  <TotalTime>12</TotalTime>
  <ScaleCrop>false</ScaleCrop>
  <LinksUpToDate>false</LinksUpToDate>
  <CharactersWithSpaces>4182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administrator</dc:creator>
  <cp:lastModifiedBy>黎先妹</cp:lastModifiedBy>
  <cp:lastPrinted>2025-04-29T03:21:00Z</cp:lastPrinted>
  <dcterms:modified xsi:type="dcterms:W3CDTF">2025-07-03T02:48:06Z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4294287D70814E6492BC5FDA4AF65141_13</vt:lpwstr>
  </property>
  <property fmtid="{D5CDD505-2E9C-101B-9397-08002B2CF9AE}" pid="4" name="KSOTemplateDocerSaveRecord">
    <vt:lpwstr>eyJoZGlkIjoiZTYyZTY5Y2YxYmNiZDFjYmQ2NjFhYjYwYzc1ZDZkYjAiLCJ1c2VySWQiOiIxNDc1MDI4MjY4In0=</vt:lpwstr>
  </property>
</Properties>
</file>