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2024年超长期特别国债“以旧换新”项目医疗设备集中采购（十七）</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SCIT-HNZG-2025050001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2024年超长期特别国债“以旧换新”项目医疗设备集中采购（十七）</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SCIT-HNZG-2025050001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2024年超长期特别国债“以旧换新”项目医疗设备集中采购（十七）</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12,255,700.00元</w:t>
      </w:r>
      <w:r>
        <w:rPr>
          <w:rFonts w:ascii="仿宋_GB2312" w:hAnsi="仿宋_GB2312" w:cs="仿宋_GB2312" w:eastAsia="仿宋_GB2312"/>
        </w:rPr>
        <w:t>壹仟贰佰贰拾伍万伍仟柒佰元整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合同签订后30日内交付合同标的物设备。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技术负责人（甘曼）、项目经理（李根长）、项目助理（王柔岑）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0898-68520848/18976349657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采购包2：1,900,000.00元</w:t>
            </w:r>
          </w:p>
          <w:p>
            <w:pPr>
              <w:pStyle w:val="null3"/>
              <w:jc w:val="left"/>
            </w:pPr>
            <w:r>
              <w:rPr>
                <w:rFonts w:ascii="仿宋_GB2312" w:hAnsi="仿宋_GB2312" w:cs="仿宋_GB2312" w:eastAsia="仿宋_GB2312"/>
              </w:rPr>
              <w:t>采购包3：1,700,000.00元</w:t>
            </w:r>
          </w:p>
          <w:p>
            <w:pPr>
              <w:pStyle w:val="null3"/>
              <w:jc w:val="left"/>
            </w:pPr>
            <w:r>
              <w:rPr>
                <w:rFonts w:ascii="仿宋_GB2312" w:hAnsi="仿宋_GB2312" w:cs="仿宋_GB2312" w:eastAsia="仿宋_GB2312"/>
              </w:rPr>
              <w:t>采购包4：1,680,000.00元</w:t>
            </w:r>
          </w:p>
          <w:p>
            <w:pPr>
              <w:pStyle w:val="null3"/>
              <w:jc w:val="left"/>
            </w:pPr>
            <w:r>
              <w:rPr>
                <w:rFonts w:ascii="仿宋_GB2312" w:hAnsi="仿宋_GB2312" w:cs="仿宋_GB2312" w:eastAsia="仿宋_GB2312"/>
              </w:rPr>
              <w:t>采购包5：643,600.00元</w:t>
            </w:r>
          </w:p>
          <w:p>
            <w:pPr>
              <w:pStyle w:val="null3"/>
              <w:jc w:val="left"/>
            </w:pPr>
            <w:r>
              <w:rPr>
                <w:rFonts w:ascii="仿宋_GB2312" w:hAnsi="仿宋_GB2312" w:cs="仿宋_GB2312" w:eastAsia="仿宋_GB2312"/>
              </w:rPr>
              <w:t>采购包6：325,000.00元</w:t>
            </w:r>
          </w:p>
          <w:p>
            <w:pPr>
              <w:pStyle w:val="null3"/>
              <w:jc w:val="left"/>
            </w:pPr>
            <w:r>
              <w:rPr>
                <w:rFonts w:ascii="仿宋_GB2312" w:hAnsi="仿宋_GB2312" w:cs="仿宋_GB2312" w:eastAsia="仿宋_GB2312"/>
              </w:rPr>
              <w:t>采购包7：312,100.00元</w:t>
            </w:r>
          </w:p>
          <w:p>
            <w:pPr>
              <w:pStyle w:val="null3"/>
              <w:jc w:val="left"/>
            </w:pPr>
            <w:r>
              <w:rPr>
                <w:rFonts w:ascii="仿宋_GB2312" w:hAnsi="仿宋_GB2312" w:cs="仿宋_GB2312" w:eastAsia="仿宋_GB2312"/>
              </w:rPr>
              <w:t>采购包8：252,000.00元</w:t>
            </w:r>
          </w:p>
          <w:p>
            <w:pPr>
              <w:pStyle w:val="null3"/>
              <w:jc w:val="left"/>
            </w:pPr>
            <w:r>
              <w:rPr>
                <w:rFonts w:ascii="仿宋_GB2312" w:hAnsi="仿宋_GB2312" w:cs="仿宋_GB2312" w:eastAsia="仿宋_GB2312"/>
              </w:rPr>
              <w:t>采购包9：543,000.00元</w:t>
            </w:r>
          </w:p>
          <w:p>
            <w:pPr>
              <w:pStyle w:val="null3"/>
              <w:jc w:val="left"/>
            </w:pPr>
            <w:r>
              <w:rPr>
                <w:rFonts w:ascii="仿宋_GB2312" w:hAnsi="仿宋_GB2312" w:cs="仿宋_GB2312" w:eastAsia="仿宋_GB2312"/>
              </w:rPr>
              <w:t>采购包10：900,000.00元</w:t>
            </w:r>
          </w:p>
          <w:p>
            <w:pPr>
              <w:pStyle w:val="null3"/>
              <w:jc w:val="left"/>
            </w:pPr>
            <w:r>
              <w:rPr>
                <w:rFonts w:ascii="仿宋_GB2312" w:hAnsi="仿宋_GB2312" w:cs="仿宋_GB2312" w:eastAsia="仿宋_GB2312"/>
              </w:rPr>
              <w:t>采购包11：1,000,000.00元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 中标（成交）金额为计费基数，参照《海南省物价局关于降低部分招标代理机构服务收费标准的通知》（琼价费管〔2011〕225号）文件规定的收费标准执行。在中标（成交）通知书领取之前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其他政府采购政策（实质性要求）：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color w:val="000000"/>
        </w:rPr>
        <w:t>2024年超长期特别国债“以旧换新”项目医疗设备集中采购（十七）</w:t>
      </w:r>
      <w:r>
        <w:rPr>
          <w:rFonts w:ascii="仿宋_GB2312" w:hAnsi="仿宋_GB2312" w:cs="仿宋_GB2312" w:eastAsia="仿宋_GB2312"/>
          <w:sz w:val="28"/>
          <w:color w:val="000000"/>
        </w:rPr>
        <w:t>包含</w:t>
      </w:r>
      <w:r>
        <w:rPr>
          <w:rFonts w:ascii="仿宋_GB2312" w:hAnsi="仿宋_GB2312" w:cs="仿宋_GB2312" w:eastAsia="仿宋_GB2312"/>
          <w:sz w:val="28"/>
          <w:color w:val="000000"/>
        </w:rPr>
        <w:t>63台康复</w:t>
      </w:r>
      <w:r>
        <w:rPr>
          <w:rFonts w:ascii="仿宋_GB2312" w:hAnsi="仿宋_GB2312" w:cs="仿宋_GB2312" w:eastAsia="仿宋_GB2312"/>
          <w:sz w:val="28"/>
          <w:color w:val="000000"/>
        </w:rPr>
        <w:t>类设备，分</w:t>
      </w:r>
      <w:r>
        <w:rPr>
          <w:rFonts w:ascii="仿宋_GB2312" w:hAnsi="仿宋_GB2312" w:cs="仿宋_GB2312" w:eastAsia="仿宋_GB2312"/>
          <w:sz w:val="28"/>
          <w:color w:val="000000"/>
        </w:rPr>
        <w:t>11</w:t>
      </w:r>
      <w:r>
        <w:rPr>
          <w:rFonts w:ascii="仿宋_GB2312" w:hAnsi="仿宋_GB2312" w:cs="仿宋_GB2312" w:eastAsia="仿宋_GB2312"/>
          <w:sz w:val="28"/>
          <w:color w:val="000000"/>
        </w:rPr>
        <w:t>个包，预算金额合计</w:t>
      </w:r>
      <w:r>
        <w:rPr>
          <w:rFonts w:ascii="仿宋_GB2312" w:hAnsi="仿宋_GB2312" w:cs="仿宋_GB2312" w:eastAsia="仿宋_GB2312"/>
          <w:sz w:val="28"/>
          <w:color w:val="000000"/>
        </w:rPr>
        <w:t>1225</w:t>
      </w:r>
      <w:r>
        <w:rPr>
          <w:rFonts w:ascii="仿宋_GB2312" w:hAnsi="仿宋_GB2312" w:cs="仿宋_GB2312" w:eastAsia="仿宋_GB2312"/>
          <w:sz w:val="28"/>
          <w:color w:val="000000"/>
        </w:rPr>
        <w:t>.</w:t>
      </w:r>
      <w:r>
        <w:rPr>
          <w:rFonts w:ascii="仿宋_GB2312" w:hAnsi="仿宋_GB2312" w:cs="仿宋_GB2312" w:eastAsia="仿宋_GB2312"/>
          <w:sz w:val="28"/>
          <w:color w:val="000000"/>
        </w:rPr>
        <w:t>57</w:t>
      </w:r>
      <w:r>
        <w:rPr>
          <w:rFonts w:ascii="仿宋_GB2312" w:hAnsi="仿宋_GB2312" w:cs="仿宋_GB2312" w:eastAsia="仿宋_GB2312"/>
          <w:sz w:val="28"/>
          <w:color w:val="000000"/>
        </w:rPr>
        <w:t>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上肢康复机器人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1,900,000.00</w:t>
      </w:r>
    </w:p>
    <w:p>
      <w:pPr>
        <w:pStyle w:val="null3"/>
        <w:jc w:val="left"/>
      </w:pPr>
      <w:r>
        <w:rPr>
          <w:rFonts w:ascii="仿宋_GB2312" w:hAnsi="仿宋_GB2312" w:cs="仿宋_GB2312" w:eastAsia="仿宋_GB2312"/>
        </w:rPr>
        <w:t>采购包最高限价（元）: 1,900,000.00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医用空气加压氧舱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1,700,000.00</w:t>
      </w:r>
    </w:p>
    <w:p>
      <w:pPr>
        <w:pStyle w:val="null3"/>
        <w:jc w:val="left"/>
      </w:pPr>
      <w:r>
        <w:rPr>
          <w:rFonts w:ascii="仿宋_GB2312" w:hAnsi="仿宋_GB2312" w:cs="仿宋_GB2312" w:eastAsia="仿宋_GB2312"/>
        </w:rPr>
        <w:t>采购包最高限价（元）: 1,700,000.00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步态训练和评估系统1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1,680,000.00</w:t>
      </w:r>
    </w:p>
    <w:p>
      <w:pPr>
        <w:pStyle w:val="null3"/>
        <w:jc w:val="left"/>
      </w:pPr>
      <w:r>
        <w:rPr>
          <w:rFonts w:ascii="仿宋_GB2312" w:hAnsi="仿宋_GB2312" w:cs="仿宋_GB2312" w:eastAsia="仿宋_GB2312"/>
        </w:rPr>
        <w:t>采购包最高限价（元）: 1,680,000.00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电动步态跑台浴槽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643,600.00</w:t>
      </w:r>
    </w:p>
    <w:p>
      <w:pPr>
        <w:pStyle w:val="null3"/>
        <w:jc w:val="left"/>
      </w:pPr>
      <w:r>
        <w:rPr>
          <w:rFonts w:ascii="仿宋_GB2312" w:hAnsi="仿宋_GB2312" w:cs="仿宋_GB2312" w:eastAsia="仿宋_GB2312"/>
        </w:rPr>
        <w:t>采购包最高限价（元）: 643,600.00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台式超短波治疗仪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磁振热治疗仪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立体动态干扰电治疗仪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电脑骨质增生治疗仪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红外生物效应治疗仪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远红外线按摩床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325,000.00</w:t>
      </w:r>
    </w:p>
    <w:p>
      <w:pPr>
        <w:pStyle w:val="null3"/>
        <w:jc w:val="left"/>
      </w:pPr>
      <w:r>
        <w:rPr>
          <w:rFonts w:ascii="仿宋_GB2312" w:hAnsi="仿宋_GB2312" w:cs="仿宋_GB2312" w:eastAsia="仿宋_GB2312"/>
        </w:rPr>
        <w:t>采购包最高限价（元）: 325,000.00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TDP治疗器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产后康复综合治疗仪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电针治疗仪1</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电针治疗仪2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高频理疗仪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双头电磁波</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特定电磁波治疗仪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5,600.00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远红外线治疗仪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中频电疗仪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医用臭氧治疗仪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312,100.00</w:t>
      </w:r>
    </w:p>
    <w:p>
      <w:pPr>
        <w:pStyle w:val="null3"/>
        <w:jc w:val="left"/>
      </w:pPr>
      <w:r>
        <w:rPr>
          <w:rFonts w:ascii="仿宋_GB2312" w:hAnsi="仿宋_GB2312" w:cs="仿宋_GB2312" w:eastAsia="仿宋_GB2312"/>
        </w:rPr>
        <w:t>采购包最高限价（元）: 312,100.00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颈腰椎多功能牵引床</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66,600.00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电动减重步态训练装置（配平板跑台）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股四头肌训练椅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前臂旋转训练器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下肢功率自行车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252,000.00</w:t>
      </w:r>
    </w:p>
    <w:p>
      <w:pPr>
        <w:pStyle w:val="null3"/>
        <w:jc w:val="left"/>
      </w:pPr>
      <w:r>
        <w:rPr>
          <w:rFonts w:ascii="仿宋_GB2312" w:hAnsi="仿宋_GB2312" w:cs="仿宋_GB2312" w:eastAsia="仿宋_GB2312"/>
        </w:rPr>
        <w:t>采购包最高限价（元）: 252,000.00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中医经络检测仪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中医择时经络治疗仪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543,000.00</w:t>
      </w:r>
    </w:p>
    <w:p>
      <w:pPr>
        <w:pStyle w:val="null3"/>
        <w:jc w:val="left"/>
      </w:pPr>
      <w:r>
        <w:rPr>
          <w:rFonts w:ascii="仿宋_GB2312" w:hAnsi="仿宋_GB2312" w:cs="仿宋_GB2312" w:eastAsia="仿宋_GB2312"/>
        </w:rPr>
        <w:t>采购包最高限价（元）: 543,000.00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微波治疗仪1</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微波治疗仪2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微波治疗仪3</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立体定向系统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神经肌肉刺激治疗仪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上肢康复机器人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医用空气加压氧舱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步态训练和评估系统1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电动步态跑台浴槽</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超声波治疗仪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台式超短波治疗仪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磁振热治疗仪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立体动态干扰电治疗仪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电脑骨质增生治疗仪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红外生物效应治疗仪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远红外线按摩床</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TDP治疗器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产后康复综合治疗仪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电针治疗仪1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电针治疗仪2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高频理疗仪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双头电磁波</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特定电磁波治疗仪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远红外线治疗仪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中频电疗仪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医用臭氧治疗仪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颈腰椎多功能牵引床</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电动减重步态训练装置（配平板跑台）</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股四头肌训练椅</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前臂旋转训练器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下肢功率自行车</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中医经络检测仪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中医择时经络治疗仪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微波治疗仪1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微波治疗仪2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微波治疗仪3</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立体定向系统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神经肌肉刺激治疗仪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标的名称：上肢康复机器人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标的名称：医用空气加压氧舱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标的名称：步态训练和评估系统1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标的名称：电动步态跑台浴槽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标的名称：超声波治疗仪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标的名称：台式超短波治疗仪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标的名称：磁振热治疗仪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标的名称：立体动态干扰电治疗仪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标的名称：电脑骨质增生治疗仪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标的名称：红外生物效应治疗仪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标的名称：远红外线按摩床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标的名称：TDP治疗器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标的名称：产后康复综合治疗仪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标的名称：电针治疗仪1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标的名称：电针治疗仪2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标的名称：高频理疗仪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标的名称：双头电磁波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标的名称：特定电磁波治疗仪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标的名称：远红外线治疗仪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标的名称：中频电疗仪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标的名称：医用臭氧治疗仪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标的名称：颈腰椎多功能牵引床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标的名称：电动减重步态训练装置（配平板跑台）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标的名称：股四头肌训练椅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标的名称：前臂旋转训练器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标的名称：下肢功率自行车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标的名称：中医经络检测仪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标的名称：中医择时经络治疗仪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标的名称：微波治疗仪1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标的名称：微波治疗仪2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标的名称：微波治疗仪3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标的名称：立体定向系统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标的名称：神经肌肉刺激治疗仪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环保类行政处罚记录声明函 封面 具有独立承担民事责任的能力证明文件 投标人承诺函 技术参数承诺函 投标（响应）报价明细表 其他材料 投标人无不良信用记录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投标（响应）报价明细表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环保类行政处罚记录声明函 封面 商业信誉、财务会计制度、缴纳税收和社保的承诺函 具有独立承担民事责任的能力证明文件 投标人承诺函 技术参数承诺函 投标函 投标人无不良信用记录 投标（响应）报价明细表 其他材料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投标人无不良信用记录 投标（响应）报价明细表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环保类行政处罚记录声明函 封面 具有独立承担民事责任的能力证明文件 投标人承诺函 技术参数承诺函 其他材料 投标人无不良信用记录 投标（响应）报价明细表 投标函 残疾人福利性单位声明函 供应商应提交的相关证明材料 无重大违法记录声明函 法定代表人资格证明书或法定代表人授权委托书 符合法律、行政法规规定的其他条件的声明函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投标人无不良信用记录 其他材料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投标人无不良信用记录 其他材料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环保类行政处罚记录声明函 封面 具有独立承担民事责任的能力证明文件 投标人承诺函 技术参数承诺函 其他材料 投标人无不良信用记录 投标（响应）报价明细表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投标人无不良信用记录 投标（响应）报价明细表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投标函 投标人无不良信用记录 投标（响应）报价明细表 其他材料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投标函 投标（响应）报价明细表 其他材料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投标（响应）报价明细表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环保类行政处罚记录声明函 封面 商业信誉、财务会计制度、缴纳税收和社保的承诺函 具有独立承担民事责任的能力证明文件 投标人承诺函 技术参数承诺函 其他材料 投标人无不良信用记录 投标（响应）报价明细表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环保类行政处罚记录声明函 封面 商业信誉、财务会计制度、缴纳税收和社保的承诺函 具有独立承担民事责任的能力证明文件 投标人承诺函 技术参数承诺函 投标（响应）报价明细表 投标函 其他材料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环保类行政处罚记录声明函 封面 商业信誉、财务会计制度、缴纳税收和社保的承诺函 具有独立承担民事责任的能力证明文件 投标人承诺函 技术参数承诺函 投标（响应）报价明细表 投标函 其他材料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环保类行政处罚记录声明函 封面 具有独立承担民事责任的能力证明文件 投标人承诺函 技术参数承诺函 其他材料 投标（响应）报价明细表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投标（响应）报价明细表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环保类行政处罚记录声明函 商业信誉、财务会计制度、缴纳税收和社保的承诺函 具有独立承担民事责任的能力证明文件 投标人承诺函 技术参数承诺函 投标函 投标人无不良信用记录 投标（响应）报价明细表 其他材料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环保类行政处罚记录声明函 具有独立承担民事责任的能力证明文件 投标人承诺函 技术参数承诺函 其他材料 投标（响应）报价明细表 投标函 投标人无不良信用记录 残疾人福利性单位声明函 供应商应提交的相关证明材料 无重大违法记录声明函 法定代表人资格证明书或法定代表人授权委托书 符合法律、行政法规规定的其他条件的声明函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符合法律、行政法规规定的其他条件的声明函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投标人无不良信用记录 其他材料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环保类行政处罚记录声明函 封面 商业信誉、财务会计制度、缴纳税收和社保的承诺函 具有独立承担民事责任的能力证明文件 投标人承诺函 技术参数承诺函 投标人无不良信用记录 投标（响应）报价明细表 其他材料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符合法律、行政法规规定的其他条件的声明函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环保类行政处罚记录声明函 封面 商业信誉、财务会计制度、缴纳税收和社保的承诺函 具有独立承担民事责任的能力证明文件 投标人承诺函 技术参数承诺函 其他材料 投标（响应）报价明细表 投标函 投标人无不良信用记录 残疾人福利性单位声明函 供应商应提交的相关证明材料 无重大违法记录声明函 法定代表人资格证明书或法定代表人授权委托书 符合法律、行政法规规定的其他条件的声明函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环保类行政处罚记录声明函 商业信誉、财务会计制度、缴纳税收和社保的承诺函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符合法律、行政法规规定的其他条件的声明函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投标（响应）报价明细表 残疾人福利性单位声明函 供应商应提交的相关证明材料 无重大违法记录声明函 法定代表人资格证明书或法定代表人授权委托书 符合法律、行政法规规定的其他条件的声明函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环保类行政处罚记录声明函 封面 具有独立承担民事责任的能力证明文件 投标人承诺函 技术参数承诺函 投标（响应）报价明细表 投标函 其他材料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标“▲”条款（9分）：符合技术要求得9分；每负偏离1项扣3分，负偏离达3项的，此项得0分；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24条，按以下要求赋分：A：一般技术参数完全满足，得33分；B：一般技术参数不满足1-5项区间时，每不满足一条参数扣2分；C：一般技术参数不满足6-14项区间时，每不满足一条参数扣1.5分； D：一般技术参数不满足15-24项区间时， 每不满足一条参数扣0.95分。最低得0分，漏报技术条款视为不满足。注：上述1-5项、6-14项、15-24项与参数的不满足条款数量相关，不涉及参数所对应序号。示例：如负偏离10项，投标人扣分=5项×2分+（10项-5项）×1.5分=5×2+5×1.5=17.5分，得分=33分-17.5分=15.5分。</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47条，按以下要求赋分：A：一般技术参数完全满足，得42分；B：一般技术参数不满足1-10项区间时，每不满足一条参数扣1.6分；C：一般技术参数不满足11-25项区间时，每不满足一条参数扣1分； D：一般技术参数不满足26-47项区间时， 每不满足一条参数扣0.5分。最低得0分，漏报技术条款视为不满足。注：上述1-10项、11-25项、26-47项与参数的不满足条款数量相关，不涉及参数所对应序号。示例：如负偏离15项，投标人扣分=10项×1.6分+（15项-10项）×1分=10×1.6+5×1=21分，得分=42分-21分=21分。</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39条，按以下要求赋分：A：一般技术参数完全满足，得42分；B：一般技术参数不满足1-10项区间时，每不满足一条参数扣2分；C：一般技术参数不满足11-25项区间时，每不满足一条参数扣1分； D：一般技术参数不满足26-39项区间时， 每不满足一条参数扣0.5分。最低得0分，漏报技术条款视为不满足。注：上述1-10项、11-25项、26-39项与参数的不满足条款数量相关，不涉及参数所对应序号。示例：如负偏离15项，投标人扣分=10项×2分+（15项-10项）×1分=10×2+5×1=25分，得分=42分-25分=17分。</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17条，按以下要求赋分：A：一般技术参数完全满足，得42分；B：一般技术参数不满足1-5项区间时，每不满足一条参数扣4分；C：一般技术参数不满足6-10项区间时，每不满足一条参数扣3分； D：一般技术参数不满足11-17项区间时， 每不满足一条参数扣1分。最低得0分，漏报技术条款视为不满足。注：上述1-5项、6-10项、11-17项与参数的不满足条款数量相关，不涉及参数所对应序号。示例：如负偏离10项，投标人扣分=5项×4分+（10项-5项）×3分=5×4+5×3=35分，得分=42分-35分=7分。</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标“▲”条款（2分）：符合技术要求得2分；每负偏离1项扣2分，负偏离达1项的，此项得0分；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90条，按以下要求赋分：A：一般技术参数完全满足，得40分；B：一般技术参数不满足1-20项区间时，每不满足一条参数扣0.85分；C：一般技术参数不满足21-50项区间时，每不满足一条参数扣0.5分； D：一般技术参数不满足51-90项区间时， 每不满足一条参数扣0.2分。最低得0分，漏报技术条款视为不满足。注：上述1-20项、21-50项、51-90项与参数的不满足条款数量相关，不涉及参数所对应序号。示例：如负偏离25项，投标人扣分=20项×0.85分+（25项-20项）×0.5分=20×0.85+5×0.5=19.5分，得分=40分-19.5分=20.5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117条，按以下要求赋分：A：一般技术参数完全满足，得42分；B：一般技术参数不满足1-20项区间时，每不满足一条参数扣0.73分；C：一般技术参数不满足21-60项区间时，每不满足一条参数扣0.4分； D：一般技术参数不满足61-117项区间时， 每不满足一条参数扣0.2分。最低得0分，漏报技术条款视为不满足。注：上述1-20项、21-60项、61-117项与参数的不满足条款数量相关，不涉及参数所对应序号。示例：如负偏离25项，投标人扣分=20项×0.73分+（25项-20项）×0.4分=20×0.73+5×0.4=16.6分，得分=42分-16.6分=25.4分。</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标“▲”条款（8分）：符合技术要求得8分；每负偏离1项扣2分，负偏离达4项的，此项得0分；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54条，按以下要求赋分：A：一般技术参数完全满足，得34分；B：一般技术参数不满足1-10项区间时，每不满足一条参数扣1.04分；C：一般技术参数不满足11-30项区间时，每不满足一条参数扣0.7分； D：一般技术参数不满足31-54项区间时， 每不满足一条参数扣0.4分。最低得0分，漏报技术条款视为不满足。注：上述1-10项、11-30项、31-54项与参数的不满足条款数量相关，不涉及参数所对应序号。示例：如负偏离15项，投标人扣分=10项×1.04分+（15项-10项）×0.7分=10×1.04+5×0.7=13.9分，得分=34分-13.9分=20.1分。</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33条，按以下要求赋分：A：一般技术参数完全满足，得42分；B：一般技术参数不满足1-10项区间时，每不满足一条参数扣1.6分；C：一般技术参数不满足11-20项区间时，每不满足一条参数扣1.3分； D：一般技术参数不满足21-33项区间时， 每不满足一条参数扣1分。最低得0分，漏报技术条款视为不满足。注：上述1-10项、11-20项、21-33项与参数的不满足条款数量相关，不涉及参数所对应序号。示例：如负偏离15项，投标人扣分=10项×1.6分+（15项-10项）×1.3分=10×1.6+5×1.3=22.5分，得分=42分-22.5分=19.5分。</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标“▲”条款（3分）：符合技术要求得3分；每负偏离1项扣3分，负偏离达1项的，此项得0分；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33条，按以下要求赋分：A：一般技术参数完全满足，得39分；B：一般技术参数不满足1-10项区间时，每不满足一条参数扣1.4分；C：一般技术参数不满足11-20项区间时，每不满足一条参数扣1.2分； D：一般技术参数不满足21-33项区间时， 每不满足一条参数扣1分。最低得0分，漏报技术条款视为不满足。注：上述1-10项、11-20项、21-33项与参数的不满足条款数量相关，不涉及参数所对应序号。示例：如负偏离15项，投标人扣分=10项×1.4分+（15项-10项）×1.2分=10×1.4+5×1.2=20分，得分=39分-20分=19分。</w:t>
            </w:r>
          </w:p>
        </w:tc>
        <w:tc>
          <w:tcPr>
            <w:tcW w:type="dxa" w:w="831"/>
          </w:tcPr>
          <w:p>
            <w:pPr>
              <w:pStyle w:val="null3"/>
              <w:jc w:val="right"/>
            </w:pPr>
            <w:r>
              <w:rPr>
                <w:rFonts w:ascii="仿宋_GB2312" w:hAnsi="仿宋_GB2312" w:cs="仿宋_GB2312" w:eastAsia="仿宋_GB2312"/>
              </w:rPr>
              <w:t>39.00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标“▲”条款（4分）：符合技术要求得4分；每负偏离1项扣4分，负偏离达1项的，此项得0分；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25条，按以下要求赋分：A：一般技术参数完全满足，得38分；B：一般技术参数不满足1-10项区间时，每不满足一条参数扣1.8分；C：一般技术参数不满足11-20项区间时，每不满足一条参数扣1.5分； D：一般技术参数不满足21-25项区间时， 每不满足一条参数扣1分。最低得0分，漏报技术条款视为不满足。注：上述1-10项、11-20项、21-25项与参数的不满足条款数量相关，不涉及参数所对应序号。示例：如负偏离15项，投标人扣分=10项×1.8分+（15项-10项）×1.5分=10×1.8+5×1.5=25.5分，得分=38分-25.5分=12.5分。</w:t>
            </w:r>
          </w:p>
        </w:tc>
        <w:tc>
          <w:tcPr>
            <w:tcW w:type="dxa" w:w="831"/>
          </w:tcPr>
          <w:p>
            <w:pPr>
              <w:pStyle w:val="null3"/>
              <w:jc w:val="right"/>
            </w:pPr>
            <w:r>
              <w:rPr>
                <w:rFonts w:ascii="仿宋_GB2312" w:hAnsi="仿宋_GB2312" w:cs="仿宋_GB2312" w:eastAsia="仿宋_GB2312"/>
              </w:rPr>
              <w:t>38.00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标“▲”条款（8分）：符合技术要求得8分；每负偏离1项扣4分，负偏离达2项的，此项得0分；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19条，按以下要求赋分：A：一般技术参数完全满足，得34分；B：一般技术参数不满足1-5项区间时，每不满足一条参数扣3分；C：一般技术参数不满足6-10项区间时，每不满足一条参数扣2分； D：一般技术参数不满足11-19项区间时， 每不满足一条参数扣1分。最低得0分，漏报技术条款视为不满足。注：上述1-5项、6-10项、11-19项与参数的不满足条款数量相关，不涉及参数所对应序号。示例：如负偏离10项，投标人扣分=5项×3分+（10项-5项）×2分=5×3+5×2=25分，得分=34分-25分=9分。</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上肢康复机器人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医用空气加压氧舱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步态训练和评估系统1</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电动步态跑台浴槽</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超声波治疗仪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台式超短波治疗仪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磁振热治疗仪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立体动态干扰电治疗仪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196000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电脑骨质增生治疗仪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红外生物效应治疗仪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远红外线按摩床</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TDP治疗器</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产后康复综合治疗仪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电针治疗仪1</w:t>
            </w:r>
          </w:p>
        </w:tc>
        <w:tc>
          <w:tcPr>
            <w:tcW w:type="dxa" w:w="755"/>
          </w:tcPr>
          <w:p>
            <w:pPr>
              <w:pStyle w:val="null3"/>
              <w:jc w:val="left"/>
            </w:pPr>
            <w:r>
              <w:rPr>
                <w:rFonts w:ascii="仿宋_GB2312" w:hAnsi="仿宋_GB2312" w:cs="仿宋_GB2312" w:eastAsia="仿宋_GB2312"/>
              </w:rPr>
              <w:t xml:space="preserve"> 12.00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电针治疗仪2</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高频理疗仪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双头电磁波</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特定电磁波治疗仪</w:t>
            </w:r>
          </w:p>
        </w:tc>
        <w:tc>
          <w:tcPr>
            <w:tcW w:type="dxa" w:w="755"/>
          </w:tcPr>
          <w:p>
            <w:pPr>
              <w:pStyle w:val="null3"/>
              <w:jc w:val="left"/>
            </w:pPr>
            <w:r>
              <w:rPr>
                <w:rFonts w:ascii="仿宋_GB2312" w:hAnsi="仿宋_GB2312" w:cs="仿宋_GB2312" w:eastAsia="仿宋_GB2312"/>
              </w:rPr>
              <w:t xml:space="preserve"> 10.00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远红外线治疗仪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中频电疗仪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医用臭氧治疗仪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颈腰椎多功能牵引床</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66600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电动减重步态训练装置（配平板跑台）</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53200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股四头肌训练椅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前臂旋转训练器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下肢功率自行车</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185000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中医经络检测仪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228000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中医择时经络治疗仪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微波治疗仪1</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微波治疗仪2</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83000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微波治疗仪3</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2024年超长期特别国债“以旧换新”项目医疗设备集中采购（十七）的第10包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立体定向系统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2024年超长期特别国债“以旧换新”项目医疗设备集中采购（十七）的第11包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神经肌肉刺激治疗仪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