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项目编号：ZKGSF(ZB)-20250865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highlight w:val="none"/>
        </w:rPr>
        <w:t>海南医科大学第一附属医院药学、肾内、手术室、口腔等科室设备采购项目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</w:t>
      </w:r>
      <w:bookmarkStart w:id="0" w:name="_GoBack"/>
      <w:bookmarkEnd w:id="0"/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52ED7F81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p w14:paraId="625235F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772B6"/>
    <w:rsid w:val="175013E0"/>
    <w:rsid w:val="195F707F"/>
    <w:rsid w:val="278534DB"/>
    <w:rsid w:val="45832B6E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366</Characters>
  <Lines>0</Lines>
  <Paragraphs>0</Paragraphs>
  <TotalTime>0</TotalTime>
  <ScaleCrop>false</ScaleCrop>
  <LinksUpToDate>false</LinksUpToDate>
  <CharactersWithSpaces>366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王择</cp:lastModifiedBy>
  <dcterms:modified xsi:type="dcterms:W3CDTF">2025-06-05T04:56:20Z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eyJoZGlkIjoiZDg0MDg2ZWFiNDZhMjA3MDBkOTQyMzY5OTNjNTZjNjgiLCJ1c2VySWQiOiIxMDQzNTE0NzQxIn0=</vt:lpwstr>
  </property>
  <property fmtid="{D5CDD505-2E9C-101B-9397-08002B2CF9AE}" pid="4" name="ICV">
    <vt:lpwstr>B92DFF5C84D04F7B99527724A0AA79C5_12</vt:lpwstr>
  </property>
</Properties>
</file>