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海南医科大学第一附属医院药学、肾内、手术室、口腔等科室设备采购项目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ZKGSF(ZB)-20250865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海南医科大学第一附属医院药学、肾内、手术室、口腔等科室设备采购项目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ZKGSF(ZB)-20250865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海南医科大学第一附属医院药学、肾内、手术室、口腔等科室设备采购项目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2,164,333.33元</w:t>
      </w:r>
      <w:r>
        <w:rPr>
          <w:rFonts w:ascii="仿宋_GB2312" w:hAnsi="仿宋_GB2312" w:cs="仿宋_GB2312" w:eastAsia="仿宋_GB2312"/>
        </w:rPr>
        <w:t>贰佰壹拾陆万肆仟叁佰叁拾叁元叁角叁分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交货时间：国产设备自合同签订后30天内、进口设备自合同签订后90天内。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交货时间：国产设备自合同签订后30天内、进口设备自合同签订后90天内。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交货时间：国产设备自合同签订后30天内、进口设备自合同签订后90天内。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2、环保类行政处罚记录：参加政府采购活动近三年内，在经营活动中没有环保类行政处罚记录：提供声明函：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2、环保类行政处罚记录：参加政府采购活动近三年内，在经营活动中没有环保类行政处罚记录：提供声明函：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2、环保类行政处罚记录：参加政府采购活动近三年内，在经营活动中没有环保类行政处罚记录：提供声明函：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吴小苹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采购包1：381,000.00元</w:t>
            </w:r>
          </w:p>
          <w:p>
            <w:pPr>
              <w:pStyle w:val="null3"/>
              <w:jc w:val="left"/>
            </w:pPr>
            <w:r>
              <w:rPr>
                <w:rFonts w:ascii="仿宋_GB2312" w:hAnsi="仿宋_GB2312" w:cs="仿宋_GB2312" w:eastAsia="仿宋_GB2312"/>
              </w:rPr>
              <w:t>采购包2：943,333.33元</w:t>
            </w:r>
          </w:p>
          <w:p>
            <w:pPr>
              <w:pStyle w:val="null3"/>
              <w:jc w:val="left"/>
            </w:pPr>
            <w:r>
              <w:rPr>
                <w:rFonts w:ascii="仿宋_GB2312" w:hAnsi="仿宋_GB2312" w:cs="仿宋_GB2312" w:eastAsia="仿宋_GB2312"/>
              </w:rPr>
              <w:t>采购包3：840,000.00元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299号）的规定8折向中标人收取采购代理服务费，中标供应商应在中标公告发布之日起3个工作日内，向招标代理机构缴纳招标代理服务费。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300号),本项目所属行业:农、林、牧、渔, 工业 (包括采矿业, 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房地产中介服务、租赁经营等)。 16.8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16.10采购项目需要落实的政府采购政策：《政府采购促进中小企业发展管理办法》《财政部印发通知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联系人：蔡广杰、韩文芳、李伟</w:t>
      </w:r>
    </w:p>
    <w:p>
      <w:pPr>
        <w:pStyle w:val="null3"/>
        <w:jc w:val="left"/>
      </w:pPr>
      <w:r>
        <w:rPr>
          <w:rFonts w:ascii="仿宋_GB2312" w:hAnsi="仿宋_GB2312" w:cs="仿宋_GB2312" w:eastAsia="仿宋_GB2312"/>
        </w:rPr>
        <w:t>联系电话：0898-68591077</w:t>
      </w:r>
    </w:p>
    <w:p>
      <w:pPr>
        <w:pStyle w:val="null3"/>
        <w:jc w:val="left"/>
      </w:pPr>
      <w:r>
        <w:rPr>
          <w:rFonts w:ascii="仿宋_GB2312" w:hAnsi="仿宋_GB2312" w:cs="仿宋_GB2312" w:eastAsia="仿宋_GB2312"/>
        </w:rPr>
        <w:t>地址：海南省海口市美兰区滨江路88号枫丹白露B区东北门商铺3层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项目编号：</w:t>
      </w:r>
      <w:r>
        <w:rPr>
          <w:rFonts w:ascii="仿宋_GB2312" w:hAnsi="仿宋_GB2312" w:cs="仿宋_GB2312" w:eastAsia="仿宋_GB2312"/>
          <w:sz w:val="21"/>
        </w:rPr>
        <w:t>ZKGSF(ZB)-</w:t>
      </w:r>
      <w:r>
        <w:rPr>
          <w:rFonts w:ascii="仿宋_GB2312" w:hAnsi="仿宋_GB2312" w:cs="仿宋_GB2312" w:eastAsia="仿宋_GB2312"/>
          <w:sz w:val="21"/>
        </w:rPr>
        <w:t>20250865</w:t>
      </w:r>
    </w:p>
    <w:p>
      <w:pPr>
        <w:pStyle w:val="null3"/>
        <w:jc w:val="left"/>
      </w:pPr>
      <w:r>
        <w:rPr>
          <w:rFonts w:ascii="仿宋_GB2312" w:hAnsi="仿宋_GB2312" w:cs="仿宋_GB2312" w:eastAsia="仿宋_GB2312"/>
        </w:rPr>
        <w:t>2.</w:t>
      </w:r>
      <w:r>
        <w:rPr>
          <w:rFonts w:ascii="仿宋_GB2312" w:hAnsi="仿宋_GB2312" w:cs="仿宋_GB2312" w:eastAsia="仿宋_GB2312"/>
          <w:sz w:val="21"/>
        </w:rPr>
        <w:t>项目名称：</w:t>
      </w:r>
      <w:r>
        <w:rPr>
          <w:rFonts w:ascii="仿宋_GB2312" w:hAnsi="仿宋_GB2312" w:cs="仿宋_GB2312" w:eastAsia="仿宋_GB2312"/>
          <w:sz w:val="21"/>
        </w:rPr>
        <w:t>海南医科大学第一附属医院药学、肾内、手术室、口腔等科室设备采购项目</w:t>
      </w:r>
    </w:p>
    <w:p>
      <w:pPr>
        <w:pStyle w:val="null3"/>
        <w:jc w:val="left"/>
      </w:pPr>
      <w:r>
        <w:rPr>
          <w:rFonts w:ascii="仿宋_GB2312" w:hAnsi="仿宋_GB2312" w:cs="仿宋_GB2312" w:eastAsia="仿宋_GB2312"/>
          <w:sz w:val="21"/>
        </w:rPr>
        <w:t>3.预算金额</w:t>
      </w:r>
      <w:r>
        <w:rPr>
          <w:rFonts w:ascii="仿宋_GB2312" w:hAnsi="仿宋_GB2312" w:cs="仿宋_GB2312" w:eastAsia="仿宋_GB2312"/>
          <w:sz w:val="21"/>
        </w:rPr>
        <w:t>216</w:t>
      </w:r>
      <w:r>
        <w:rPr>
          <w:rFonts w:ascii="仿宋_GB2312" w:hAnsi="仿宋_GB2312" w:cs="仿宋_GB2312" w:eastAsia="仿宋_GB2312"/>
          <w:sz w:val="21"/>
        </w:rPr>
        <w:t>.</w:t>
      </w:r>
      <w:r>
        <w:rPr>
          <w:rFonts w:ascii="仿宋_GB2312" w:hAnsi="仿宋_GB2312" w:cs="仿宋_GB2312" w:eastAsia="仿宋_GB2312"/>
          <w:sz w:val="21"/>
        </w:rPr>
        <w:t>433333万</w:t>
      </w:r>
      <w:r>
        <w:rPr>
          <w:rFonts w:ascii="仿宋_GB2312" w:hAnsi="仿宋_GB2312" w:cs="仿宋_GB2312" w:eastAsia="仿宋_GB2312"/>
          <w:sz w:val="21"/>
        </w:rPr>
        <w:t>元，</w:t>
      </w:r>
      <w:r>
        <w:rPr>
          <w:rFonts w:ascii="仿宋_GB2312" w:hAnsi="仿宋_GB2312" w:cs="仿宋_GB2312" w:eastAsia="仿宋_GB2312"/>
          <w:sz w:val="21"/>
        </w:rPr>
        <w:t>采购包</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38.10</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94.333333</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84.00</w:t>
      </w:r>
      <w:r>
        <w:rPr>
          <w:rFonts w:ascii="仿宋_GB2312" w:hAnsi="仿宋_GB2312" w:cs="仿宋_GB2312" w:eastAsia="仿宋_GB2312"/>
          <w:sz w:val="21"/>
        </w:rPr>
        <w:t>万元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216</w:t>
      </w:r>
      <w:r>
        <w:rPr>
          <w:rFonts w:ascii="仿宋_GB2312" w:hAnsi="仿宋_GB2312" w:cs="仿宋_GB2312" w:eastAsia="仿宋_GB2312"/>
          <w:sz w:val="21"/>
        </w:rPr>
        <w:t>.</w:t>
      </w:r>
      <w:r>
        <w:rPr>
          <w:rFonts w:ascii="仿宋_GB2312" w:hAnsi="仿宋_GB2312" w:cs="仿宋_GB2312" w:eastAsia="仿宋_GB2312"/>
          <w:sz w:val="21"/>
        </w:rPr>
        <w:t>433333万元，</w:t>
      </w:r>
      <w:r>
        <w:rPr>
          <w:rFonts w:ascii="仿宋_GB2312" w:hAnsi="仿宋_GB2312" w:cs="仿宋_GB2312" w:eastAsia="仿宋_GB2312"/>
          <w:sz w:val="21"/>
        </w:rPr>
        <w:t>采购包</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38.10</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94.333333</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84.00</w:t>
      </w:r>
      <w:r>
        <w:rPr>
          <w:rFonts w:ascii="仿宋_GB2312" w:hAnsi="仿宋_GB2312" w:cs="仿宋_GB2312" w:eastAsia="仿宋_GB2312"/>
          <w:sz w:val="21"/>
        </w:rPr>
        <w:t>万元</w:t>
      </w:r>
      <w:r>
        <w:rPr>
          <w:rFonts w:ascii="仿宋_GB2312" w:hAnsi="仿宋_GB2312" w:cs="仿宋_GB2312" w:eastAsia="仿宋_GB2312"/>
          <w:sz w:val="21"/>
        </w:rPr>
        <w:t>（报价超过单价或总价最高限价，按无效响应文件处理）</w:t>
      </w:r>
    </w:p>
    <w:p>
      <w:pPr>
        <w:pStyle w:val="null3"/>
        <w:jc w:val="left"/>
      </w:pPr>
      <w:r>
        <w:rPr>
          <w:rFonts w:ascii="仿宋_GB2312" w:hAnsi="仿宋_GB2312" w:cs="仿宋_GB2312" w:eastAsia="仿宋_GB2312"/>
          <w:sz w:val="21"/>
        </w:rPr>
        <w:t>5.采购标的需要实现的目标：</w:t>
      </w:r>
    </w:p>
    <w:p>
      <w:pPr>
        <w:pStyle w:val="null3"/>
        <w:jc w:val="both"/>
      </w:pPr>
      <w:r>
        <w:rPr>
          <w:rFonts w:ascii="仿宋_GB2312" w:hAnsi="仿宋_GB2312" w:cs="仿宋_GB2312" w:eastAsia="仿宋_GB2312"/>
        </w:rPr>
        <w:t>注：此报价包含货物、材料费、包装费、运输费、移机、装卸费（卸货至采购人指定位置）税金，进口相关税费等所有费用，采购人不向中标人支付任何其他费用。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381,000.00</w:t>
      </w:r>
    </w:p>
    <w:p>
      <w:pPr>
        <w:pStyle w:val="null3"/>
        <w:jc w:val="left"/>
      </w:pPr>
      <w:r>
        <w:rPr>
          <w:rFonts w:ascii="仿宋_GB2312" w:hAnsi="仿宋_GB2312" w:cs="仿宋_GB2312" w:eastAsia="仿宋_GB2312"/>
        </w:rPr>
        <w:t>采购包最高限价（元）: 381,000.00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高频电刀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无影灯</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943,333.33</w:t>
      </w:r>
    </w:p>
    <w:p>
      <w:pPr>
        <w:pStyle w:val="null3"/>
        <w:jc w:val="left"/>
      </w:pPr>
      <w:r>
        <w:rPr>
          <w:rFonts w:ascii="仿宋_GB2312" w:hAnsi="仿宋_GB2312" w:cs="仿宋_GB2312" w:eastAsia="仿宋_GB2312"/>
        </w:rPr>
        <w:t>采购包最高限价（元）: 943,333.33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ATR红外光谱自动分析仪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286,666.67</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阴茎硬度测量仪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403,333.33</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等离子双极电切电凝系统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253,333.33</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840,000.00</w:t>
      </w:r>
    </w:p>
    <w:p>
      <w:pPr>
        <w:pStyle w:val="null3"/>
        <w:jc w:val="left"/>
      </w:pPr>
      <w:r>
        <w:rPr>
          <w:rFonts w:ascii="仿宋_GB2312" w:hAnsi="仿宋_GB2312" w:cs="仿宋_GB2312" w:eastAsia="仿宋_GB2312"/>
        </w:rPr>
        <w:t>采购包最高限价（元）: 840,000.00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血液透析设备（血液透析机）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血液透析滤过装置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高频电刀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无影灯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ATR红外光谱自动分析仪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286,666.67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阴茎硬度测量仪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403,333.33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等离子双极电切电凝系统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253,333.33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血液透析设备（血液透析机）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血液透析滤过装置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标的名称：高频电刀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1.适用范围：配合单极和双极附件处理组织切割和凝血</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2.输出功率≥300W</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3.▲输出频率≥434KHz</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4.输出特性：浮地式（隔离式）输出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5.CF型设备/防除颤器，可用于心脏类手术，可防除颤器放电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6.主机采用智能组织感知技术：具备自动调节技术，可控制所有的模式和效果。控制主机输出恒定电流，恒定功率，恒定电压；减少电容耦合及视频干扰，最大限度减少火花发生。</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7.▲显示屏：液晶触摸屏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8.系统设置：具备系统选择，维修记录，错误记录，语音选择等功能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9.具备病人回路电极监控器系统，降低负极板烫伤风险</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9.1监测阻抗范围：5-135欧姆，访问电流&lt;100μA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9.2当监测到接触电阻较初始电阻增大40%（以较小值为准）时，REM报警系统启动，同时高频电刀输出停止。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 单极切割模式≥二种：纯切，混切</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10.1纯切：功率1-300W 峰值电压≤1287V</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10.2混切：功率1-200W 峰值电压≤2187V</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 智能模式：功率1-200W 峰值电压≤2783V</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11.1智能模式功能：将止血与分离结合在一起，减慢移动速度以提高止血效果，或加快移动速度以实现快速切割效果</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11.2智能模式器械：具备三按钮刀笔</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11.2.1黄色（切割）按钮可启动切割功能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11.2.2透明（智能模式）按钮可启动止血功能并同时提供切割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11.2.3蓝色（凝血）按钮可启动凝血功能</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12单极凝血模式≥三种：软凝，电灼，喷凝</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12.1软凝：功率1-120W 峰值电压≤264V</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12.2电灼：功率1-120W 峰值电压≤3448V</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12.3喷凝：功率1-120W 峰值电压≤3932V</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12.4双路输出电灼：功率1-120W 峰值电压≤3448V</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12.5双路输出喷凝血：功率1-120W 峰值电压≤3932V</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13普通双极模式≥三种：精确，标准，宏</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13.1精确：功率1-70W 峰值电压≤284V</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13.2标准：功率1-70W 峰值电压≤415V</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13.3宏：功率1-70W 峰值电压≤530V</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14 双极模式≥三种：低，中，高</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14.1低：功率1-15W 峰值电压≤133V</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14.2中：功率16-40W 峰值电压≤214V</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14.3▲高：功率45-95W 峰值电压≤462V</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15演示模式：具备演示模式功能，方便教学或检修</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16排烟系统：具备排烟系统连接功能</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17心电图（EKG）消隐功能：提供互连线插口，用于向心电图设备发送信号。</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18以太网：对设备执行维修操作</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19 USB连接：对设备进行维修操作</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20氩气发生器连接：具备连接同品牌氩气刀功能</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21▲脚踏开关连接：可同时连接①单极脚踏开关②双极脚踏开关③三踏板脚踏开关（智能模式）</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 型号 中文描述 数量 标配 高频电刀主机 1 标配 单极脚踏开关 1 标配 双极脚踏开关 1 标配 成人病人回路负极板 5 标配 手控电刀笔 5</w:t>
            </w:r>
          </w:p>
        </w:tc>
      </w:tr>
    </w:tbl>
    <w:p>
      <w:pPr>
        <w:pStyle w:val="null3"/>
        <w:jc w:val="left"/>
      </w:pPr>
      <w:r>
        <w:rPr>
          <w:rFonts w:ascii="仿宋_GB2312" w:hAnsi="仿宋_GB2312" w:cs="仿宋_GB2312" w:eastAsia="仿宋_GB2312"/>
        </w:rPr>
        <w:t>标的名称：无影灯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1.采用医用级LED冷光源，母灯灯珠数量≥36个，子灯灯珠数量≥30个。（提供实物照片）</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2.手术灯灯珠采用LED的串联连接，能够降低电磁干扰辐射，使手术灯的性能更佳。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3.灯壳外罩表面采用抑菌粉沫喷塑处理，对金黄色葡萄球菌、大肠杆菌等指定菌种的抗菌率需≥90%（提供省级以上认证实验室完成，并出具符合GB 15979等标准的报告）。</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4.▲基础架负载10000N˙m的作用力持续10min，法兰盘水平倾斜角小于0.6°。</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5.采用液晶触控面板，位于灯盘转轴处，便于医生操作观察，具有普通照明、明亮照明、腔镜照明模式。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6.具有自定义临床模式，用户可根据自己的喜好设置自己偏好参数并保存。</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7.▲母灯具有照度稳定技术，照度设定要求一致的情况下调节光斑大小，10档光斑下每档光斑的照度实测误差均≤10000Lux</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8.▲母灯开启模式后，高度可上下移动，照度变化不超过10,000Lux”。</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9.▲采用DC调光技术</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10.▲手术灯移动轻巧便捷，子母灯上下移动作用力不大于40N，水平位移作用力不大于25N。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11.手术灯深腔照明率100%±18%，单遮挡无影率80%±18%，单遮挡深腔无影率75%±18%。</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12.显色指数Ra≥98，显色指数R9≥97，确保光源能最真实的还原创面的实际面貌。</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13.光斑十档可调：最小光斑≤180mm，最大光斑≥300mm。</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14.▲可具备自动对焦功能，手柄内部含有距离传感器。</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15.照度达到中心照度的50%区域的光斑分布直径为光斑直径的50%以上，即d50/d10≥50%。</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16.▲手术灯最大照明深度实测值≥1400mm。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17.辐照度Ee和照度Ec的比值≤3.5±10% mW/（m2·lux）。照度十档可调：母灯40000-160000lux/子灯40000-130000lux。</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★手术无影灯配置清单： 序号 设备名称 数量 单位 备注 1 吊装组件 1 套 天花预埋件、法兰盘 2 悬臂组件 1 套 2根悬臂 3 弹簧臂 2 套 4 母灯灯头组件 1 套 含上弯管、下弯管、控制面板及母灯灯盘 5 子灯灯头组件 1 套 含上弯管、下弯管、控制面板及子灯灯盘 6 手柄组件 1 套 2个 7 安装螺丝 1 包 8 说明书 1 套 9 合格证 1 套 10 验收单 1 套 11 保修卡 1 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标的名称：ATR红外光谱自动分析仪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1、预期用途：运用于适合采用红外光谱分析法或物理方法的泌尿系结石成分的定性分析，根据结石成份自动提供相应的预防措施和自检报告。</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2、设备主机技术参数</w:t>
            </w:r>
          </w:p>
          <w:p>
            <w:pPr>
              <w:pStyle w:val="null3"/>
              <w:jc w:val="left"/>
            </w:pPr>
            <w:r>
              <w:rPr>
                <w:rFonts w:ascii="仿宋_GB2312" w:hAnsi="仿宋_GB2312" w:cs="仿宋_GB2312" w:eastAsia="仿宋_GB2312"/>
                <w:sz w:val="21"/>
              </w:rPr>
              <w:t>2.1、光谱范围：7800 cm-1～350 cm-1</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2.2、透过率重复性：不大于0.5％τ</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2.3、波数重复性：不超过±1cm-1</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▲2.4、波数准确度：不超过±1cm-1</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▲2.5、分辨率：仪器最高分辨率为1 cm-1</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▲2.6、100%τ线噪声 ①4100-4000 cm-1 （RMS≤1:2500） ②220-2100（或）2100-2000 cm-1 （RMS≤1:8000） ③1000-900 cm-1 （RMS≤1:2500）</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▲2.7、100%τ线倾斜范围： ①800-500 cm-1（98.0-102.0%τ） ②2200-1900 cm-1（99.5-100.5%τ） ③3200-2800 cm-1（99.5-100.5%τ） ④3200-2800 cm-1（98.5-101.5%τ）</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▲2.8、本地光谱能量分布：4000 cm-1处能量值应不小于最高点能量值的20%</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▲2.9、激光器：半导体激光器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2.10、光源：红外光源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2.11、运行环境：不低于Windows7操作系统（符合医院整体运行环境要求）</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▲2.12、仪器自检：仪器定期自诊断或联网诊断，并自动生成自检评估报告（提供仪器自检硬件配套工具证明）</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2.13、全自动化：全自动分析结石成分,自动提供检测预防报告，自动进行仪器自诊断或联网诊断，并出具自检报告。</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2.14、防治方案：规范化防治方案根据《尿石症诊断指南》，具有临床实用性。</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2.15、远程功能：可对未检出成分进行指导分析，远程升级数据库。</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2.16、图谱解析：完全自动解析红外谱图，自动得出具体精准成分。</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2.17、可分析晶体成分、非晶体成分、无机化合物、有机化合物。</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w:t>
            </w:r>
          </w:p>
          <w:tbl>
            <w:tblPr>
              <w:tblBorders>
                <w:top w:val="none" w:color="000000" w:sz="4"/>
                <w:left w:val="none" w:color="000000" w:sz="4"/>
                <w:bottom w:val="none" w:color="000000" w:sz="4"/>
                <w:right w:val="none" w:color="000000" w:sz="4"/>
                <w:insideH w:val="none"/>
                <w:insideV w:val="none"/>
              </w:tblBorders>
            </w:tblPr>
            <w:tblGrid>
              <w:gridCol w:w="295"/>
              <w:gridCol w:w="1180"/>
              <w:gridCol w:w="385"/>
              <w:gridCol w:w="304"/>
              <w:gridCol w:w="389"/>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原产地</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电源适配器</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专用计算机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彩色喷墨打印机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电烤箱</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压片机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压片</w:t>
                  </w:r>
                  <w:r>
                    <w:rPr>
                      <w:rFonts w:ascii="仿宋_GB2312" w:hAnsi="仿宋_GB2312" w:cs="仿宋_GB2312" w:eastAsia="仿宋_GB2312"/>
                      <w:sz w:val="22"/>
                    </w:rPr>
                    <w:t>模具</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玛瑙研钵</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聚苯乙烯薄膜</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溴化钾碎晶（光谱纯）</w:t>
                  </w:r>
                  <w:r>
                    <w:rPr>
                      <w:rFonts w:ascii="仿宋_GB2312" w:hAnsi="仿宋_GB2312" w:cs="仿宋_GB2312" w:eastAsia="仿宋_GB2312"/>
                      <w:sz w:val="22"/>
                    </w:rPr>
                    <w:t>50g/</w:t>
                  </w:r>
                  <w:r>
                    <w:rPr>
                      <w:rFonts w:ascii="仿宋_GB2312" w:hAnsi="仿宋_GB2312" w:cs="仿宋_GB2312" w:eastAsia="仿宋_GB2312"/>
                      <w:sz w:val="22"/>
                    </w:rPr>
                    <w:t>瓶</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使用说明书、</w:t>
                  </w:r>
                  <w:r>
                    <w:rPr>
                      <w:rFonts w:ascii="仿宋_GB2312" w:hAnsi="仿宋_GB2312" w:cs="仿宋_GB2312" w:eastAsia="仿宋_GB2312"/>
                      <w:sz w:val="22"/>
                    </w:rPr>
                    <w:t>合格证</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辅助工具（托盘，药匙等）</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电子天平</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电子防潮箱</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结石红外光谱自动分析系统软件</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6</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仪器自检功能硬件套装工具</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7</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温湿度表</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8</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干燥盒</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jc w:val="left"/>
      </w:pPr>
      <w:r>
        <w:rPr>
          <w:rFonts w:ascii="仿宋_GB2312" w:hAnsi="仿宋_GB2312" w:cs="仿宋_GB2312" w:eastAsia="仿宋_GB2312"/>
        </w:rPr>
        <w:t>标的名称：阴茎硬度测量仪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 功能要求:</w:t>
            </w:r>
          </w:p>
          <w:p>
            <w:pPr>
              <w:pStyle w:val="null3"/>
              <w:jc w:val="left"/>
            </w:pPr>
            <w:r>
              <w:rPr>
                <w:rFonts w:ascii="仿宋_GB2312" w:hAnsi="仿宋_GB2312" w:cs="仿宋_GB2312" w:eastAsia="仿宋_GB2312"/>
                <w:sz w:val="21"/>
              </w:rPr>
              <w:t>▲1.1 具有鉴别心理性阳和器质性阳痿功能。(需提供至少3篇阳痿指南佐证)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具有获取阴茎勃起后的硬度、周径、阴茎勃起次数/持续时间数据功能。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1.3具有夜问勃起测定仪(NPT)，可连续纪录并定量分析患者在夜间自然睡眠环境下阴茎勃起的次数、持续时间、周径、硬度等功能。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 能够进行视听刺激,实时检测阴茎勃起及其硬度功能。</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能够评估勃起功能障碍治疗的效果。(需提供至少3篇文献佐证)</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 能够指导勃起功能障碍治疗用药量。(需提供至少3篇文献佐证)</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所测数据能被国家公安部作为阴茎勃起功能障碍司法鉴定和伤残鉴定的评判依据</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所测数据能被国家司法部作为阴茎勃起功能障碍司法鉴定和伤残鉴定的评判依据，(需提供司法部文件佐证)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rPr>
              <w:t>2 检测数据参数:</w:t>
            </w:r>
          </w:p>
          <w:p>
            <w:pPr>
              <w:pStyle w:val="null3"/>
              <w:jc w:val="left"/>
            </w:pPr>
            <w:r>
              <w:rPr>
                <w:rFonts w:ascii="仿宋_GB2312" w:hAnsi="仿宋_GB2312" w:cs="仿宋_GB2312" w:eastAsia="仿宋_GB2312"/>
                <w:sz w:val="21"/>
              </w:rPr>
              <w:t>2.1 阴茎勃起次数:范围:0~9次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 阴茎勃起时间:范围:0~120分钟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2.3 阴茎肿胀度:范围:5cm~15cm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2.4 阴茎硬度:0%~100%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2.5 RAU:阴茎硬度活力单位</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2.6 TAU:阴茎周径胀大活力单位</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打印报告有每次勃起的硬度、肿胀度、持续时间</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打印报告有每次勃起的朗茎硬度和周径活力单位</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 xml:space="preserve"> 2.9 能连续工作 10 小时</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1"/>
              </w:rPr>
              <w:t>3 输入、输出、存储与传输要求:</w:t>
            </w:r>
          </w:p>
          <w:p>
            <w:pPr>
              <w:pStyle w:val="null3"/>
              <w:jc w:val="left"/>
            </w:pPr>
            <w:r>
              <w:rPr>
                <w:rFonts w:ascii="仿宋_GB2312" w:hAnsi="仿宋_GB2312" w:cs="仿宋_GB2312" w:eastAsia="仿宋_GB2312"/>
                <w:sz w:val="21"/>
              </w:rPr>
              <w:t>3.1 输入:100~240V: 50/60Hz:400mA</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3.2 输出:9V-IA</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3.3 数据存储方式:由阴茎硬度测量仪存储，输出时由电脑主机存储调用。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3.4 数据传输方式:阴茎硬度测量仪主机通过 USB 接口与电脑进行数据传输。</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3.5 传输的数据:阴茎头部与根部的硬度值、周径变化数值。</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3.6 打印报告图形有4道波形:阴茎头部硬度波形、阴茎根部硬度波形、阴茎头部胀大度波形、阴茎根部胀大度波形。</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3.7 打印报告数据:可为医生提供患者所有勃起测量分析及每一次勃起测量分析结果并打印出具体数据</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1"/>
              </w:rPr>
              <w:t>4、数据管理软件功能要求:</w:t>
            </w:r>
          </w:p>
          <w:p>
            <w:pPr>
              <w:pStyle w:val="null3"/>
              <w:jc w:val="left"/>
            </w:pPr>
            <w:r>
              <w:rPr>
                <w:rFonts w:ascii="仿宋_GB2312" w:hAnsi="仿宋_GB2312" w:cs="仿宋_GB2312" w:eastAsia="仿宋_GB2312"/>
                <w:sz w:val="21"/>
              </w:rPr>
              <w:t>4.1 病人数据管理软件可以进行数据备份。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4.2 病人数据管理软件可以管理病人的治疗方法、使用的药物以及假体信息采购</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4.3 提供药物方案选项卡(提供产品使用操作界面截图)</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4.4 提供假体方案选项卡(提供产品使用操作界面截图)</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1"/>
              </w:rPr>
              <w:t>5 其他要求:</w:t>
            </w:r>
          </w:p>
          <w:p>
            <w:pPr>
              <w:pStyle w:val="null3"/>
              <w:jc w:val="left"/>
            </w:pPr>
            <w:r>
              <w:rPr>
                <w:rFonts w:ascii="仿宋_GB2312" w:hAnsi="仿宋_GB2312" w:cs="仿宋_GB2312" w:eastAsia="仿宋_GB2312"/>
                <w:sz w:val="21"/>
              </w:rPr>
              <w:t>5.1 事件标记电缆:可以使用事件标记电缆来标记患者数据中的相关事项(需提供产品注册证佐证)。</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5.2 产品使用期限大于等于8 年</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w:t>
            </w:r>
          </w:p>
          <w:tbl>
            <w:tblPr>
              <w:tblBorders>
                <w:top w:val="none" w:color="000000" w:sz="4"/>
                <w:left w:val="none" w:color="000000" w:sz="4"/>
                <w:bottom w:val="none" w:color="000000" w:sz="4"/>
                <w:right w:val="none" w:color="000000" w:sz="4"/>
                <w:insideH w:val="none"/>
                <w:insideV w:val="none"/>
              </w:tblBorders>
            </w:tblPr>
            <w:tblGrid>
              <w:gridCol w:w="717"/>
              <w:gridCol w:w="873"/>
              <w:gridCol w:w="953"/>
            </w:tblGrid>
            <w:tr>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阴茎硬度测量仪</w:t>
                  </w:r>
                </w:p>
              </w:tc>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牵拉导线</w:t>
                  </w:r>
                  <w:r>
                    <w:rPr>
                      <w:rFonts w:ascii="仿宋_GB2312" w:hAnsi="仿宋_GB2312" w:cs="仿宋_GB2312" w:eastAsia="仿宋_GB2312"/>
                      <w:sz w:val="24"/>
                    </w:rPr>
                    <w:t>(根部)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牵拉导线</w:t>
                  </w:r>
                  <w:r>
                    <w:rPr>
                      <w:rFonts w:ascii="仿宋_GB2312" w:hAnsi="仿宋_GB2312" w:cs="仿宋_GB2312" w:eastAsia="仿宋_GB2312"/>
                      <w:sz w:val="24"/>
                    </w:rPr>
                    <w:t>(头部)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阴茎圈套子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付</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通讯电缆线</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腿部绷带</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充电电池</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节</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充电器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中文说明书</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工作站</w:t>
                  </w:r>
                  <w:r>
                    <w:rPr>
                      <w:rFonts w:ascii="仿宋_GB2312" w:hAnsi="仿宋_GB2312" w:cs="仿宋_GB2312" w:eastAsia="仿宋_GB2312"/>
                      <w:sz w:val="24"/>
                    </w:rPr>
                    <w:t>(</w:t>
                  </w:r>
                  <w:r>
                    <w:rPr>
                      <w:rFonts w:ascii="仿宋_GB2312" w:hAnsi="仿宋_GB2312" w:cs="仿宋_GB2312" w:eastAsia="仿宋_GB2312"/>
                      <w:sz w:val="24"/>
                    </w:rPr>
                    <w:t>电脑</w:t>
                  </w:r>
                  <w:r>
                    <w:rPr>
                      <w:rFonts w:ascii="仿宋_GB2312" w:hAnsi="仿宋_GB2312" w:cs="仿宋_GB2312" w:eastAsia="仿宋_GB2312"/>
                      <w:sz w:val="24"/>
                    </w:rPr>
                    <w:t>+</w:t>
                  </w:r>
                  <w:r>
                    <w:rPr>
                      <w:rFonts w:ascii="仿宋_GB2312" w:hAnsi="仿宋_GB2312" w:cs="仿宋_GB2312" w:eastAsia="仿宋_GB2312"/>
                      <w:sz w:val="24"/>
                    </w:rPr>
                    <w:t>打印机</w:t>
                  </w:r>
                  <w:r>
                    <w:rPr>
                      <w:rFonts w:ascii="仿宋_GB2312" w:hAnsi="仿宋_GB2312" w:cs="仿宋_GB2312" w:eastAsia="仿宋_GB2312"/>
                      <w:sz w:val="24"/>
                    </w:rPr>
                    <w:t>+</w:t>
                  </w:r>
                  <w:r>
                    <w:rPr>
                      <w:rFonts w:ascii="仿宋_GB2312" w:hAnsi="仿宋_GB2312" w:cs="仿宋_GB2312" w:eastAsia="仿宋_GB2312"/>
                      <w:sz w:val="24"/>
                    </w:rPr>
                    <w:t>平台</w:t>
                  </w:r>
                  <w:r>
                    <w:rPr>
                      <w:rFonts w:ascii="仿宋_GB2312" w:hAnsi="仿宋_GB2312" w:cs="仿宋_GB2312" w:eastAsia="仿宋_GB2312"/>
                      <w:sz w:val="24"/>
                    </w:rPr>
                    <w:t>)</w:t>
                  </w:r>
                  <w:r>
                    <w:rPr>
                      <w:rFonts w:ascii="仿宋_GB2312" w:hAnsi="仿宋_GB2312" w:cs="仿宋_GB2312" w:eastAsia="仿宋_GB2312"/>
                      <w:sz w:val="32"/>
                    </w:rPr>
                    <w:t xml:space="preserve"> </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视频眼镜</w:t>
                  </w:r>
                  <w:r>
                    <w:rPr>
                      <w:rFonts w:ascii="仿宋_GB2312" w:hAnsi="仿宋_GB2312" w:cs="仿宋_GB2312" w:eastAsia="仿宋_GB2312"/>
                      <w:sz w:val="32"/>
                    </w:rPr>
                    <w:t xml:space="preserve"> </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手提箱</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bl>
          <w:p/>
        </w:tc>
      </w:tr>
    </w:tbl>
    <w:p>
      <w:pPr>
        <w:pStyle w:val="null3"/>
        <w:jc w:val="left"/>
      </w:pPr>
      <w:r>
        <w:rPr>
          <w:rFonts w:ascii="仿宋_GB2312" w:hAnsi="仿宋_GB2312" w:cs="仿宋_GB2312" w:eastAsia="仿宋_GB2312"/>
        </w:rPr>
        <w:t>标的名称：等离子双极电切电凝系统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1.等离子手术设备</w:t>
            </w:r>
          </w:p>
          <w:p>
            <w:pPr>
              <w:pStyle w:val="null3"/>
              <w:jc w:val="left"/>
            </w:pPr>
            <w:r>
              <w:rPr>
                <w:rFonts w:ascii="仿宋_GB2312" w:hAnsi="仿宋_GB2312" w:cs="仿宋_GB2312" w:eastAsia="仿宋_GB2312"/>
                <w:sz w:val="21"/>
              </w:rPr>
              <w:t>1.1主机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1.1.1具有等离子双极电切和电凝的手术功能（宫腔、膀胱和前列腺组织切割和凝血功能）。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1.1.2额定输出频率 375KHz±10%，切割模式下额定负载150Ω,最大输出功率200 W， 凝血模式下额定负载100Ω，最大输出功率120 W，产品各输出功率误差范围为±20%。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1.1.3工作状态显示为LCD液晶屏显示，≥5.6吋，多界面可同时显示：动态阻抗、电极状态和切凝的模式、功率等图形、字母和数字。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1.1.4具有凝血模式和切割模式的输出选择及各模式输出功率的增减控制，并可显示，同时具有自动识别不同代码（不同形状）电极的功能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1.1.5具有超负荷保护装置，输出过载时终止输出并亮起提示灯, 同时屏幕显示字样。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1.1.6具有切割模式手术时帮助判定组织效应的阻抗条图显示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1.1.7具有电极安装状态显示（未接上电极时显示闪烁）。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1.1.8具有1种切割模式、3种凝血模式，凝血模式中包含一种独立输出的双极凝血模式。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1.1.9具有凝血模式或切割模式手术时输出功率设定值的闪烁显示。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1.2双踏板脚踏开关：双踏板</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▲1.3专用双极电极（双极环状电极）：大环或粗环可选，电极符合国家标准要求即医疗器械管理分类为Ⅲ类的医疗产品，与等离子主机为同一厂家生产产品，单环状自带正负极，电极与导线一体式双极电极。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1.3.1专用双极电极（多形状电极）：具有多种手术配套用的双极电极，包括环状、铲状、杆状、针状、勾状、滚状、电凝钩(腹腔镜用)等，其中杆状和针状满足270mm、330mm、570mm三种规格长度。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2电切内窥镜：可连续进出水冲洗对流，与等离子主机为同一厂家产品。</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2.1内窥镜：12°/30°可选, 高清内窥镜,可高温高压消毒。</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2.2被动式操作器：被动式，新型人体工程学被动式工作手件，前操控手柄可同时四手指抓握，从中指至小指由上至下逐渐向后倾斜，与后拇指始终形成圆弧型的自然抓握状态，可提高操控性，减少操作疲劳。</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2.3外鞘：26Fr设置进、出水通道和控制开关。</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2.4内鞘：24Fr 可360°旋转。</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2.5闭孔鞘芯：与内鞘配套使用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2.6冲洗接头：与内鞘配套使用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2.7内鞘进水接头：遇尿道狭窄时可配合内鞘实现腔内进水，实施单鞘手术。</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 置 清 单：</w:t>
            </w:r>
          </w:p>
          <w:tbl>
            <w:tblPr>
              <w:tblBorders>
                <w:top w:val="none" w:color="000000" w:sz="4"/>
                <w:left w:val="none" w:color="000000" w:sz="4"/>
                <w:bottom w:val="none" w:color="000000" w:sz="4"/>
                <w:right w:val="none" w:color="000000" w:sz="4"/>
                <w:insideH w:val="none"/>
                <w:insideV w:val="none"/>
              </w:tblBorders>
            </w:tblPr>
            <w:tblGrid>
              <w:gridCol w:w="391"/>
              <w:gridCol w:w="937"/>
              <w:gridCol w:w="457"/>
              <w:gridCol w:w="759"/>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序号</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货物名称</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数量</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备注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一</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等离子手术设备</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主机</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双踏板脚踏开关</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等离子双极电切电凝系统</w:t>
                  </w:r>
                  <w:r>
                    <w:rPr>
                      <w:rFonts w:ascii="仿宋_GB2312" w:hAnsi="仿宋_GB2312" w:cs="仿宋_GB2312" w:eastAsia="仿宋_GB2312"/>
                      <w:sz w:val="24"/>
                    </w:rPr>
                    <w:t>-</w:t>
                  </w:r>
                  <w:r>
                    <w:rPr>
                      <w:rFonts w:ascii="仿宋_GB2312" w:hAnsi="仿宋_GB2312" w:cs="仿宋_GB2312" w:eastAsia="仿宋_GB2312"/>
                      <w:sz w:val="24"/>
                    </w:rPr>
                    <w:t>专用双极电极</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2</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电切内窥镜</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内窥镜</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°可选</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2</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被动式操作器</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把</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外鞘</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内鞘</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冲洗接头</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个</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闭孔鞘芯</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内鞘进水接头</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个</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冲洗器</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350ml</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标的名称：血液透析设备（血液透析机）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 功能要求</w:t>
            </w:r>
          </w:p>
          <w:p>
            <w:pPr>
              <w:pStyle w:val="null3"/>
              <w:jc w:val="left"/>
            </w:pPr>
            <w:r>
              <w:rPr>
                <w:rFonts w:ascii="仿宋_GB2312" w:hAnsi="仿宋_GB2312" w:cs="仿宋_GB2312" w:eastAsia="仿宋_GB2312"/>
                <w:sz w:val="21"/>
              </w:rPr>
              <w:t>▲1.1有中文/英文等语言操作，可随意切换，有信息网络接口；</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彩色液晶触摸屏，屏幕大于10英寸；</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▲1.3显示屏幕可旋转，旋转角度大于120度，方便观察，亮度可调节；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1.4机器报警时，机器不列入治疗时间，可以保证患者的治疗时间准确；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1.5机器自带专用排液口，预冲管路时无需废液袋；</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1.6支持肝素泵事前和事后停止功能，并且带有注射器脱落检测功能；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1.7具备全自动联机排除废液，可一键式操作排空血液管路及透析器膜内外液体；</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1.8具有Kt/V在线监测功能，在线预评估功能，在患者治疗前模拟治疗方案计算出Kt/V值，作为优化质量方案的参考；</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1.9机器标配智能自动血压计，实时在线监测病人血压；</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▲1.10具备血压联动功能，机器可根据患者血压变化自动停止超滤、自动停止透析液、自动降低血泵流速；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1.11标配碳酸氢盐干粉装置（B粉干粉桶支架）；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1.12机器具备在自检和治疗过程中CF泄漏检测功能，保障治疗安全；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1.13具有UPS功能，断电后备用电池满充电时，血泵流量200mL/min，肝素泵流量2mL/min，可运行大于等于30分钟；</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1.14机器可自动提示透析器和管路更换；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1.15支持静脉壶液面调节功能；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1.16 支持动脉壶液面调节功能；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1.17 自动血泵滚轮间隙调整,可使用任意厂家的血液管路；</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1.18 配置高位四色工作报警指示灯；</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1.19 机器准备完成后，未治疗时，透析液流量可自动降低小于等于100ml/min,可节约成本；</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▲1.20 具备自动双向引血功能，引血时无需使用废液袋；</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1.21 具备自动开机、自动关机功能；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1"/>
              </w:rPr>
              <w:t>2 血路部分</w:t>
            </w:r>
          </w:p>
          <w:p>
            <w:pPr>
              <w:pStyle w:val="null3"/>
              <w:jc w:val="left"/>
            </w:pPr>
            <w:r>
              <w:rPr>
                <w:rFonts w:ascii="仿宋_GB2312" w:hAnsi="仿宋_GB2312" w:cs="仿宋_GB2312" w:eastAsia="仿宋_GB2312"/>
                <w:sz w:val="21"/>
              </w:rPr>
              <w:t xml:space="preserve"> 2.1 血泵：流量设定：0-500mL/min，精度：±10%；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2.2肝素泵适用注射器：注射器10、20、30mL注射器；流量设定：0.0-10.0mL/小时；精度：±10%；</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 肝素泵具有注入速度异常检测，超过设定注入量±20%时报警；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 动脉压检测范围：-400~+400mmHg；精度：±10mmHg；</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 静脉压检测范围：-400~+400mmHg；精度：±10mmHg；</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▲2.6跨膜压检测范围：-100~+500mmHg；精度：±10mmHg；</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2.7气泡监测能力：最小检测气泡：小于等于0.3µL；</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2.8漏血检测能力：最小检测单位：小于等于50ppm；</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透析液部分</w:t>
            </w:r>
          </w:p>
          <w:p>
            <w:pPr>
              <w:pStyle w:val="null3"/>
              <w:jc w:val="left"/>
            </w:pPr>
            <w:r>
              <w:rPr>
                <w:rFonts w:ascii="仿宋_GB2312" w:hAnsi="仿宋_GB2312" w:cs="仿宋_GB2312" w:eastAsia="仿宋_GB2312"/>
              </w:rPr>
              <w:t>▲3.1 透析液配比方式：平衡腔+流量泵；</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3.2 透析液A液、B液的电导度在治疗过程中可随时调整；</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3.3 A原液：活塞泵的定量混合方式；B原液：活塞泵反馈方式；</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3.4透析液流量：0-800mL/min；调节梯度：小于等于150ml可调；</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3.5 透析液温度控制33.0-38.0℃；</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3.6 透析液浓度设定范围：130-160mEq/L（每1lEq/L)；</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3.7 电导度监测方式：电极方式；监测范围：设定值的±2.0~±9.9%；</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3.8 超滤率：0.00-5.00L/h，脱水精度：±30g/h；</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3.9 适合任意厂家任意种类的透析液配方，浓度设定范围广。</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21"/>
              </w:rPr>
              <w:t>4 清洗消毒</w:t>
            </w:r>
          </w:p>
          <w:p>
            <w:pPr>
              <w:pStyle w:val="null3"/>
              <w:jc w:val="left"/>
            </w:pPr>
            <w:r>
              <w:rPr>
                <w:rFonts w:ascii="仿宋_GB2312" w:hAnsi="仿宋_GB2312" w:cs="仿宋_GB2312" w:eastAsia="仿宋_GB2312"/>
                <w:sz w:val="21"/>
              </w:rPr>
              <w:t xml:space="preserve"> 4.1 支持多种消毒方式可供选择并且保证消毒质量</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4.2 在保证消毒质量的情况下，最短消毒时间应小于40分钟</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 具备热消毒模式，控制温度大于等于：95℃，可兼容化学消毒模式；</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4.4 支持消毒后自动关机功能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sz w:val="21"/>
              </w:rPr>
              <w:t>5 维修菜单</w:t>
            </w:r>
          </w:p>
          <w:p>
            <w:pPr>
              <w:pStyle w:val="null3"/>
              <w:jc w:val="left"/>
            </w:pPr>
            <w:r>
              <w:rPr>
                <w:rFonts w:ascii="仿宋_GB2312" w:hAnsi="仿宋_GB2312" w:cs="仿宋_GB2312" w:eastAsia="仿宋_GB2312"/>
                <w:sz w:val="21"/>
              </w:rPr>
              <w:t xml:space="preserve"> 5.1 水路、电路分离</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5.2 具有维修菜单、故障自我诊断，屏幕上显示即时工作状态。</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w:t>
            </w:r>
          </w:p>
          <w:p>
            <w:pPr>
              <w:pStyle w:val="null3"/>
              <w:jc w:val="left"/>
            </w:pPr>
            <w:r>
              <w:rPr>
                <w:rFonts w:ascii="仿宋_GB2312" w:hAnsi="仿宋_GB2312" w:cs="仿宋_GB2312" w:eastAsia="仿宋_GB2312"/>
              </w:rPr>
              <w:t>1、主机                                                1台</w:t>
            </w:r>
          </w:p>
          <w:p>
            <w:pPr>
              <w:pStyle w:val="null3"/>
              <w:jc w:val="left"/>
            </w:pPr>
            <w:r>
              <w:rPr>
                <w:rFonts w:ascii="仿宋_GB2312" w:hAnsi="仿宋_GB2312" w:cs="仿宋_GB2312" w:eastAsia="仿宋_GB2312"/>
              </w:rPr>
              <w:t>2、灯杆                                                1支</w:t>
            </w:r>
          </w:p>
          <w:p>
            <w:pPr>
              <w:pStyle w:val="null3"/>
              <w:jc w:val="left"/>
            </w:pPr>
            <w:r>
              <w:rPr>
                <w:rFonts w:ascii="仿宋_GB2312" w:hAnsi="仿宋_GB2312" w:cs="仿宋_GB2312" w:eastAsia="仿宋_GB2312"/>
              </w:rPr>
              <w:t>3、指示灯                                              1个</w:t>
            </w:r>
          </w:p>
          <w:p>
            <w:pPr>
              <w:pStyle w:val="null3"/>
              <w:jc w:val="left"/>
            </w:pPr>
            <w:r>
              <w:rPr>
                <w:rFonts w:ascii="仿宋_GB2312" w:hAnsi="仿宋_GB2312" w:cs="仿宋_GB2312" w:eastAsia="仿宋_GB2312"/>
              </w:rPr>
              <w:t>4、挂钩                                                1个</w:t>
            </w:r>
          </w:p>
          <w:p>
            <w:pPr>
              <w:pStyle w:val="null3"/>
              <w:jc w:val="left"/>
            </w:pPr>
            <w:r>
              <w:rPr>
                <w:rFonts w:ascii="仿宋_GB2312" w:hAnsi="仿宋_GB2312" w:cs="仿宋_GB2312" w:eastAsia="仿宋_GB2312"/>
              </w:rPr>
              <w:t>5、透析器夹子                                          1个</w:t>
            </w:r>
          </w:p>
          <w:p>
            <w:pPr>
              <w:pStyle w:val="null3"/>
              <w:jc w:val="left"/>
            </w:pPr>
            <w:r>
              <w:rPr>
                <w:rFonts w:ascii="仿宋_GB2312" w:hAnsi="仿宋_GB2312" w:cs="仿宋_GB2312" w:eastAsia="仿宋_GB2312"/>
              </w:rPr>
              <w:t>6、进水管                                              1条</w:t>
            </w:r>
          </w:p>
          <w:p>
            <w:pPr>
              <w:pStyle w:val="null3"/>
              <w:jc w:val="left"/>
            </w:pPr>
            <w:r>
              <w:rPr>
                <w:rFonts w:ascii="仿宋_GB2312" w:hAnsi="仿宋_GB2312" w:cs="仿宋_GB2312" w:eastAsia="仿宋_GB2312"/>
              </w:rPr>
              <w:t>7、排液管                                              1条</w:t>
            </w:r>
          </w:p>
          <w:p>
            <w:pPr>
              <w:pStyle w:val="null3"/>
              <w:jc w:val="left"/>
            </w:pPr>
            <w:r>
              <w:rPr>
                <w:rFonts w:ascii="仿宋_GB2312" w:hAnsi="仿宋_GB2312" w:cs="仿宋_GB2312" w:eastAsia="仿宋_GB2312"/>
              </w:rPr>
              <w:t>8、不锈钢卡箍                                          3个</w:t>
            </w:r>
          </w:p>
          <w:p>
            <w:pPr>
              <w:pStyle w:val="null3"/>
              <w:jc w:val="left"/>
            </w:pPr>
            <w:r>
              <w:rPr>
                <w:rFonts w:ascii="仿宋_GB2312" w:hAnsi="仿宋_GB2312" w:cs="仿宋_GB2312" w:eastAsia="仿宋_GB2312"/>
              </w:rPr>
              <w:t>9、使用说明书                                          1本</w:t>
            </w:r>
          </w:p>
          <w:p>
            <w:pPr>
              <w:pStyle w:val="null3"/>
              <w:jc w:val="left"/>
            </w:pPr>
            <w:r>
              <w:rPr>
                <w:rFonts w:ascii="仿宋_GB2312" w:hAnsi="仿宋_GB2312" w:cs="仿宋_GB2312" w:eastAsia="仿宋_GB2312"/>
              </w:rPr>
              <w:t>10、托盘                                               1个</w:t>
            </w:r>
          </w:p>
          <w:p>
            <w:pPr>
              <w:pStyle w:val="null3"/>
              <w:jc w:val="left"/>
            </w:pPr>
            <w:r>
              <w:rPr>
                <w:rFonts w:ascii="仿宋_GB2312" w:hAnsi="仿宋_GB2312" w:cs="仿宋_GB2312" w:eastAsia="仿宋_GB2312"/>
              </w:rPr>
              <w:t>11、消毒液吸管（黄色：消毒）                           1个</w:t>
            </w:r>
          </w:p>
          <w:p>
            <w:pPr>
              <w:pStyle w:val="null3"/>
              <w:jc w:val="left"/>
            </w:pPr>
            <w:r>
              <w:rPr>
                <w:rFonts w:ascii="仿宋_GB2312" w:hAnsi="仿宋_GB2312" w:cs="仿宋_GB2312" w:eastAsia="仿宋_GB2312"/>
              </w:rPr>
              <w:t>12、消毒液吸管（灰色：酸洗）                           1个</w:t>
            </w:r>
          </w:p>
          <w:p>
            <w:pPr>
              <w:pStyle w:val="null3"/>
              <w:jc w:val="left"/>
            </w:pPr>
            <w:r>
              <w:rPr>
                <w:rFonts w:ascii="仿宋_GB2312" w:hAnsi="仿宋_GB2312" w:cs="仿宋_GB2312" w:eastAsia="仿宋_GB2312"/>
              </w:rPr>
              <w:t>13、内毒素过滤器盖                                     1个</w:t>
            </w:r>
          </w:p>
          <w:p>
            <w:pPr>
              <w:pStyle w:val="null3"/>
              <w:jc w:val="left"/>
            </w:pPr>
            <w:r>
              <w:rPr>
                <w:rFonts w:ascii="仿宋_GB2312" w:hAnsi="仿宋_GB2312" w:cs="仿宋_GB2312" w:eastAsia="仿宋_GB2312"/>
              </w:rPr>
              <w:t>14、内毒素过滤器支架                                   1个</w:t>
            </w:r>
          </w:p>
          <w:p>
            <w:pPr>
              <w:pStyle w:val="null3"/>
              <w:jc w:val="left"/>
            </w:pPr>
            <w:r>
              <w:rPr>
                <w:rFonts w:ascii="仿宋_GB2312" w:hAnsi="仿宋_GB2312" w:cs="仿宋_GB2312" w:eastAsia="仿宋_GB2312"/>
              </w:rPr>
              <w:t>15、消毒液罐支架                                       1个</w:t>
            </w:r>
          </w:p>
          <w:p>
            <w:pPr>
              <w:pStyle w:val="null3"/>
              <w:jc w:val="left"/>
            </w:pPr>
            <w:r>
              <w:rPr>
                <w:rFonts w:ascii="仿宋_GB2312" w:hAnsi="仿宋_GB2312" w:cs="仿宋_GB2312" w:eastAsia="仿宋_GB2312"/>
              </w:rPr>
              <w:t>16、袖带软管及袖带                                     1套</w:t>
            </w:r>
          </w:p>
        </w:tc>
      </w:tr>
    </w:tbl>
    <w:p>
      <w:pPr>
        <w:pStyle w:val="null3"/>
        <w:jc w:val="left"/>
      </w:pPr>
      <w:r>
        <w:rPr>
          <w:rFonts w:ascii="仿宋_GB2312" w:hAnsi="仿宋_GB2312" w:cs="仿宋_GB2312" w:eastAsia="仿宋_GB2312"/>
        </w:rPr>
        <w:t>标的名称：血液透析滤过装置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一．功能配置</w:t>
            </w:r>
          </w:p>
          <w:p>
            <w:pPr>
              <w:pStyle w:val="null3"/>
              <w:jc w:val="left"/>
            </w:pPr>
            <w:r>
              <w:rPr>
                <w:rFonts w:ascii="仿宋_GB2312" w:hAnsi="仿宋_GB2312" w:cs="仿宋_GB2312" w:eastAsia="仿宋_GB2312"/>
                <w:sz w:val="21"/>
              </w:rPr>
              <w:t xml:space="preserve"> ▲1.具有常规血液透析(HD)、血液滤过（HF）和血液透析滤过（HDF）功能，具有碳酸氢盐/醋酸盐/单超透析多种透析模式，适用各种配方透析液。</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2.可进行全天24小时的缓慢持续的治疗，可应用于急性肾脏替代治疗。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3.15英寸±3，可270度旋转的彩色触屏液晶显示屏，中文操作系统，带报警、警告、提示三色信号灯。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4.电导度检测为A/B液混合后总电导度检测。</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▲5.标配有用户卡和病人卡，便于中心责任分级管理。</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▲6.有数字化信息网络接口，可直接联网远程诊断和维修。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7.可设定自动开、关机时间，自动预冲及选择自动消毒程序。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8.具备固定及自由设定的钠曲线和可调超滤曲线，实现个体化透析治疗。</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9.完全水电上下分离设计，单独水路控制系统，增加安全性。</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10.准备结束和回血时，透析液流量自动调整为≤100mL/min。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11.透析液与置换液流量可根据病人实际血流量来自动调节适应匹配。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12.具有自动连接测试功能：保证体外循环、肝素注射器、透析液系统连接正确。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13.具有漏液传感器系统：体外循环或机器内部有泄漏时自动报警，保证治疗安全性。</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14.采用密闭式双容量平衡腔超滤控制系统，透析治疗过程中，每12.5分钟进行一次压力密闭平衡测试，检查水路系统密闭性，保证超滤精度和治疗安全。</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15.具备静脉脱针报警功能，检测到静脉脱针时，应触发声光报警，停止血泵、置换液泵，关闭静脉管路钳夹及动脉管路钳夹。最大失血量小于200mL。</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16.全自动的清洗，脱脂，化学加热消毒。柠檬酸消毒液可加热到85℃，在进入实质消毒阶段后机器自动进行强制冲洗，以确保无药液残留。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17.热化学消毒（消毒＋脱钙）一键完成，完成时间小于40分钟。</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18.透析液A\B液吸管自动消毒。</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19.机器内置紧急按钮：当病人出现低血压等临床不适应症状时，可通过激活此按钮，自动终止超滤、自动测量血压、自动降低有效血流量至50mL/min、自动追加置换液。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20.标配透析液滤过装置，并配备原装防尘保护罩，能进行至少11 次次氯酸钠消毒，有效去除水路中的脂质和蛋白沉积。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21.标配碳酸氢盐干粉自动配制系统，同时具备B液吸管系统。</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22.标配血压监测仪BPM，可显示血压图表趋势，全自动记录患者的收缩压，舒张压，平均动脉压和脉搏。</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23.血压监测仪BPM可通过编程设定自动测量时间，时间间隔可设为5,10,15,30, 45和60分钟。周期结束后，会进行新的单次测量。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24.血压监测仪BPM具有快速（短期间隔测量）模式，快速模式是用于需要连续测量血压的特殊情况，快速模式会在短时间内连续进行多个单次测量。</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▲25.配置联机清除率监测装置OCM，可持续监测，且非侵入性的，无需额外耗材，实验室检查或者人员投入，无额外治疗费用。</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▲26.联机清除率监测装置OCM可实时测量并图形显示患者体内尿素清除率 (K)，实际透析治疗时间，透析剂量(Kt/V)，血浆钠浓度。</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▲27.满足三种透析液供给方式：小桶浓缩液供给；中央浓缩液供给；联机浓缩干粉自动配液系统。</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 xml:space="preserve"> 1.体积（高×宽×厚）=1680mm×520mm×780mm误差为±20毫米。</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2.供水：进水压1.5～6.0 bar；进水温度5℃～30℃；浓缩液供应最大吸入高度1米。</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3.血流量输注速率：30～600mL/min，分辨率10mL/min，泵段直径8.0mm。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4.肝素泵：0.5-10mL/h，注射器尺寸20mL、30mL，可编定停泵时间，显示累积量，可作大剂量追加给药。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5.动脉压力监测范围 -300mmHg～+300mmHg, 精度7mmHg,分辨率5mmHg。</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6.静脉压力监测范围 -100mmHg～+500mmHg,精度7mmHg，分辨率5mmHg。</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7.空气检测：液平面探测器（电容测定）、光学探测器（红外传输）、气泡探测器（管路上超声波发射测定）。</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8.跨膜压监测范围-100mmHg～+400mmHg，分辨率5mmHg。有跨膜压自动跟踪报警功能。</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9.透析液配制为容积式连续配制方式，透析液电导率范围12.8～15.7mS/cm，精度0.1mS/cm。</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10.透析液流量显示范围100-1000mL/min，分辨率100 mL/min，透析液流量自动适应有效血流量。</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11.透析液温度控制在34-39℃，可实时监测及可调，并有超温保护。</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12.密闭式双容量平衡腔超滤系统，平衡腔容量=30.35mL。</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▲13.超滤率：0～4000mL/h（增量单位10mL），精确度±1%；参数显示：超滤目标，超滤时间，超滤速率，超滤容量。</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14.随机配备内置不间断电源，可支持血泵连续工作不少于15分钟。机器断电时自动切换并可维持血泵正常运转及监测，治疗数据不丢失。</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15.漏血探测器灵敏度：红细胞比容0.32时，响应阈值是每分钟≤0.35mL的失血流入透析液（流速100-1000mL/min）。</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16.置换液速率为25-600mL/min，精度为±10%。采用自动置换液追加（自动置换程序）时根据连续采集的透析机负荷率自动控制置换速率。</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17.血压监测仪BPM显示范围—收缩压：30mmHg～280mmHg；舒张压：10mmHg～240 mmHg；平均动脉压：20mmHg～255mmHg；准确度±3 mmHg。</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★配置清单： </w:t>
            </w:r>
          </w:p>
          <w:tbl>
            <w:tblPr>
              <w:tblInd w:type="dxa" w:w="135"/>
              <w:tblBorders>
                <w:top w:val="none" w:color="000000" w:sz="4"/>
                <w:left w:val="none" w:color="000000" w:sz="4"/>
                <w:bottom w:val="none" w:color="000000" w:sz="4"/>
                <w:right w:val="none" w:color="000000" w:sz="4"/>
                <w:insideH w:val="none"/>
                <w:insideV w:val="none"/>
              </w:tblBorders>
            </w:tblPr>
            <w:tblGrid>
              <w:gridCol w:w="354"/>
              <w:gridCol w:w="1600"/>
              <w:gridCol w:w="599"/>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r>
                    <w:rPr>
                      <w:rFonts w:ascii="仿宋_GB2312" w:hAnsi="仿宋_GB2312" w:cs="仿宋_GB2312" w:eastAsia="仿宋_GB2312"/>
                      <w:sz w:val="24"/>
                    </w:rPr>
                    <w:t>号</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配置清单</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w:t>
                  </w:r>
                  <w:r>
                    <w:rPr>
                      <w:rFonts w:ascii="仿宋_GB2312" w:hAnsi="仿宋_GB2312" w:cs="仿宋_GB2312" w:eastAsia="仿宋_GB2312"/>
                      <w:sz w:val="24"/>
                    </w:rPr>
                    <w:t>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血液透析滤过主机</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w:t>
                  </w:r>
                  <w:r>
                    <w:rPr>
                      <w:rFonts w:ascii="仿宋_GB2312" w:hAnsi="仿宋_GB2312" w:cs="仿宋_GB2312" w:eastAsia="仿宋_GB2312"/>
                      <w:sz w:val="24"/>
                    </w:rPr>
                    <w:t>/排</w:t>
                  </w:r>
                  <w:r>
                    <w:rPr>
                      <w:rFonts w:ascii="仿宋_GB2312" w:hAnsi="仿宋_GB2312" w:cs="仿宋_GB2312" w:eastAsia="仿宋_GB2312"/>
                      <w:sz w:val="24"/>
                    </w:rPr>
                    <w:t>水管</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组</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静脉盐水支架</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透析器固定夹子</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挂钩</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在线血压监测仪袖带</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透析液</w:t>
                  </w:r>
                  <w:r>
                    <w:rPr>
                      <w:rFonts w:ascii="仿宋_GB2312" w:hAnsi="仿宋_GB2312" w:cs="仿宋_GB2312" w:eastAsia="仿宋_GB2312"/>
                      <w:sz w:val="24"/>
                    </w:rPr>
                    <w:t>过滤器</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2支</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中文操作手册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1本</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天内、进口设备自合同签订后</w:t>
            </w:r>
            <w:r>
              <w:rPr>
                <w:rFonts w:ascii="仿宋_GB2312" w:hAnsi="仿宋_GB2312" w:cs="仿宋_GB2312" w:eastAsia="仿宋_GB2312"/>
                <w:sz w:val="21"/>
              </w:rPr>
              <w:t>90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2、交付地点：海口市龙华区龙华路31号（海南医科大学第一附属医院）。在乙方发货日前7天须通知甲方接货人（告知送货车号和送货车型）。</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3、包装和运输：采用公路运输为主，其他必要运输方式组合，运输优先使用清洁能源汽车。乙方应将设备(器械)运至甲方指定地点并负责卸货安装。包装及运输环节的全部风险责任由乙方承担。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4、付款方法和条件：合同签订后, 乙方货物全部运送到甲方指定地点，待全部货物到货、安装、调试、培训且经甲方验收合格后，甲方凭乙方提交的合法、有效增值税发票及项目验收报告单、采购合同，向乙方支付合同总金额百分之三十（30%）的标的款，之后每月向乙方支付合同总金额百分之十，直至付完六十五（65%）为止。余下合同总金额百分之五（5%）的货款，在货物质保期满，经甲方确认乙方所提供货物无任何产品质量、售后问题后支付，作为本合同最终结款。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5、质保要求：①质保期为自验收合格之日起三年以上。②质保期内供方应免费负责设备维修及抢修，维修响应速度为48小时内。③供方保证年开机率大于95％（按工作日计算），若≤95％则相应延长保修期。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10.配套要求：如提供的设备配有专机专用的耗材，需说明相应的耗材名称、型号规格及价格。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11.其他：配合需方进行场地装修、免费进行第三方设备或系统对接等相关事宜。</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天内、进口设备自合同签订后</w:t>
            </w:r>
            <w:r>
              <w:rPr>
                <w:rFonts w:ascii="仿宋_GB2312" w:hAnsi="仿宋_GB2312" w:cs="仿宋_GB2312" w:eastAsia="仿宋_GB2312"/>
                <w:sz w:val="21"/>
              </w:rPr>
              <w:t>90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2、交付地点：海口市龙华区龙华路31号（海南医科大学第一附属医院）。在乙方发货日前7天须通知甲方接货人（告知送货车号和送货车型）。</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3、包装和运输：采用公路运输为主，其他必要运输方式组合，运输优先使用清洁能源汽车。乙方应将设备(器械)运至甲方指定地点并负责卸货安装。包装及运输环节的全部风险责任由乙方承担。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4、付款方法和条件：合同签订后, 乙方货物全部运送到甲方指定地点，待全部货物到货、安装、调试、培训且经甲方验收合格后，甲方凭乙方提交的合法、有效增值税发票及项目验收报告单、采购合同，向乙方支付合同总金额百分之三十（30%）的标的款，之后每月向乙方支付合同总金额百分之十，直至付完六十五（65%）为止。余下合同总金额百分之五（5%）的货款，在货物质保期满，经甲方确认乙方所提供货物无任何产品质量、售后问题后支付，作为本合同最终结款。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5、质保要求：①质保期为自验收合格之日起三年以上。②质保期内供方应免费负责设备维修及抢修，维修响应速度为48小时内。③供方保证年开机率大于95％（按工作日计算），若≤95％则相应延长保修期。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10.配套要求：如提供的设备配有专机专用的耗材，需说明相应的耗材名称、型号规格及价格。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11.其他：配合需方进行场地装修、免费进行第三方设备或系统对接等相关事宜。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服务方案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服务方案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带“▲”条款的技术指标共11项，满分12.1分，每一项不满足扣1.1分；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12.10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非带“▲”条款的技术指标共47项，满分32.9分，每一项不满足扣0.7分。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32.90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带“▲”条款的技术指标共15项，满分18分，每一项不满足扣1.2分；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非带“▲”条款的技术指标共53项，满分26.5分，每一项不满足扣0.5分。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26.50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3.5分，每缺少一项内容扣0.7分。应急预案方案内容存在一处缺陷（缺陷是指方案内容不符合项目实际要求、描述不详细、缺乏针对性、缺乏可操作性、不合理、内容缺少关键节点、前后相互矛盾、存在无法实现预期目标的风险等）扣0.3分，最多扣1.5分。</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带“▲”条款的技术指标共14项，满分15.4分，每一项不满足扣1.1分；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15.40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非带“▲”条款的技术指标共74项，满分29.6分，每一项不满足扣0.4分。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29.60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0.6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ZKGSF(ZB)-20250865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海南医科大学第一附属医院药学、肾内、手术室、口腔等科室设备采购项目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高频电刀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无影灯</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ZKGSF(ZB)-20250865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海南医科大学第一附属医院药学、肾内、手术室、口腔等科室设备采购项目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ATR红外光谱自动分析仪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286666.67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阴茎硬度测量仪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403333.33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等离子双极电切电凝系统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253333.33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ZKGSF(ZB)-20250865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海南医科大学第一附属医院药学、肾内、手术室、口腔等科室设备采购项目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血液透析设备（血液透析机）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血液透析滤过装置</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