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教师教育实训教室设备购置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HNZS2025-067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海南师范大学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海南师范大学</w:t>
      </w:r>
      <w:r>
        <w:rPr>
          <w:rFonts w:ascii="仿宋_GB2312" w:hAnsi="仿宋_GB2312" w:cs="仿宋_GB2312" w:eastAsia="仿宋_GB2312"/>
        </w:rPr>
        <w:t xml:space="preserve"> 的委托，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教师教育实训教室设备购置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HNZS2025-067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教师教育实训教室设备购置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自合同签订之日起40天内完成供货及安装调试。</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1、参加政府采购活动前三年内，无环保类行政处罚记录（提供承诺函）：参加政府采购活动前三年内，无环保类行政处罚记录（提供承诺函）</w:t>
      </w:r>
    </w:p>
    <w:p>
      <w:pPr>
        <w:pStyle w:val="null3"/>
        <w:jc w:val="left"/>
      </w:pPr>
      <w:r>
        <w:rPr>
          <w:rFonts w:ascii="仿宋_GB2312" w:hAnsi="仿宋_GB2312" w:cs="仿宋_GB2312" w:eastAsia="仿宋_GB2312"/>
        </w:rPr>
        <w:t>2、提供无围标、串通投标等违法行为承诺函（提供承诺函）：提供无围标、串通投标等违法行为承诺函（提供承诺函）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 。关于本项目采购文件的补遗、澄清及变更信息以上述网站公告为准，代理机构不再另行通知，采购文件与更正公告的内容相互矛盾时，以最后发出的更正公告内容为准。 2.供应商须在海南政府采购网(https://ccgp-hainan.gov.cn/maincms-web/)中的海南省政府采购智慧云平台进行注册并完善信息，然后下载参与采购项目电子采购文件（数据包）及其他文件。 3.注意事项：电子标采用全程电子化操作，供应商应详细阅读海南政府采购网的通知《海南省财政厅关于进一步推进政府采购全流程电子化的通知》，供应商使用交易系统遇到问题可致电技术支持：0591-38352553；如需云平台相关咨询，请拨打热线电话：400-1691288。 4.本项目支持小微企业，监狱企业、残疾人福利性单位发展等相关扶持政策。 5.本项目采用不见面开标形式，供应商远程参加开标会。远程参与开标流程的供应商需提前在海南省政府采购智慧云平台-服务专区中下载电子交易系统操作手册，并按照操作手册的要求参与开标会。如因供应商自身原因造成无法正常参与开标过程的，不利后果由供应商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海南师范大学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海南省海口市龙昆南路99号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0898-65880756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15790464996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代理服务费收费标准：成交方应向海南中顺项目管理有限公司支付的成交服务费，成交服务费按照“中华人民共和国国家计划委员会[计价格 ［2002］1980号]”文件规定收取。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16.2是否接受进口产品投标：否 16.3采购需求：（1）采购需求中未列明偏差的除特殊订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 16.6交货地点：用户指定地点。 16.7供应商应在投标（响应）文件中如实描述技术商务情况，真实填写响应（偏离）情况。除采购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16.8本采购活动采用全流程电子化的方式，响应、签到、解密、磋商、报价、评审等全流程均通过线上进行.（供应商要准备二次报价或最后报价环节）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联系人：简工</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地址：海口市美兰区蓝天路名门广场北区C座1006房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本项目建设普通话标准化考场</w:t>
      </w:r>
      <w:r>
        <w:rPr>
          <w:rFonts w:ascii="仿宋_GB2312" w:hAnsi="仿宋_GB2312" w:cs="仿宋_GB2312" w:eastAsia="仿宋_GB2312"/>
          <w:sz w:val="24"/>
        </w:rPr>
        <w:t>2间，满足学校普通话考试站点建设的要求，达到最新国家普通话考场建设标准，极大提高学校普通话测试站的测试能力。实现普通话水平等级认证、语言表达能力实训、语音课程实践教学等功能。</w:t>
      </w:r>
    </w:p>
    <w:p>
      <w:pPr>
        <w:pStyle w:val="null3"/>
        <w:ind w:firstLine="480"/>
        <w:jc w:val="both"/>
      </w:pPr>
      <w:r>
        <w:rPr>
          <w:rFonts w:ascii="仿宋_GB2312" w:hAnsi="仿宋_GB2312" w:cs="仿宋_GB2312" w:eastAsia="仿宋_GB2312"/>
          <w:sz w:val="24"/>
        </w:rPr>
        <w:t>建设三笔字实训室</w:t>
      </w:r>
      <w:r>
        <w:rPr>
          <w:rFonts w:ascii="仿宋_GB2312" w:hAnsi="仿宋_GB2312" w:cs="仿宋_GB2312" w:eastAsia="仿宋_GB2312"/>
          <w:sz w:val="24"/>
        </w:rPr>
        <w:t>2间，其中软笔书法专用教室1间，粉笔书法实训室1间，满足学校三笔字教学需求、学生教育教学能力考核要求。</w:t>
      </w:r>
    </w:p>
    <w:p>
      <w:pPr>
        <w:pStyle w:val="null3"/>
        <w:ind w:firstLine="480"/>
        <w:jc w:val="both"/>
      </w:pPr>
      <w:r>
        <w:rPr>
          <w:rFonts w:ascii="仿宋_GB2312" w:hAnsi="仿宋_GB2312" w:cs="仿宋_GB2312" w:eastAsia="仿宋_GB2312"/>
          <w:sz w:val="24"/>
        </w:rPr>
        <w:t>软笔书法专用教室用于学生传统书法技艺研习、书法创作实践、中华优秀传统文化传承教育等功能。</w:t>
      </w:r>
    </w:p>
    <w:p>
      <w:pPr>
        <w:pStyle w:val="null3"/>
        <w:ind w:firstLine="480"/>
        <w:jc w:val="both"/>
      </w:pPr>
      <w:r>
        <w:rPr>
          <w:rFonts w:ascii="仿宋_GB2312" w:hAnsi="仿宋_GB2312" w:cs="仿宋_GB2312" w:eastAsia="仿宋_GB2312"/>
          <w:sz w:val="24"/>
        </w:rPr>
        <w:t>粉笔书法实训室用于学生板书书写技法训练、课堂教学板面设计、师范生教学技能竞赛等功能。</w:t>
      </w:r>
    </w:p>
    <w:p>
      <w:pPr>
        <w:pStyle w:val="null3"/>
        <w:ind w:firstLine="480"/>
        <w:jc w:val="both"/>
      </w:pPr>
      <w:r>
        <w:rPr>
          <w:rFonts w:ascii="仿宋_GB2312" w:hAnsi="仿宋_GB2312" w:cs="仿宋_GB2312" w:eastAsia="仿宋_GB2312"/>
          <w:sz w:val="24"/>
        </w:rPr>
        <w:t>建设班主任综合实训室</w:t>
      </w:r>
      <w:r>
        <w:rPr>
          <w:rFonts w:ascii="仿宋_GB2312" w:hAnsi="仿宋_GB2312" w:cs="仿宋_GB2312" w:eastAsia="仿宋_GB2312"/>
          <w:sz w:val="24"/>
        </w:rPr>
        <w:t>1间，满足学校老师、学生实训讨论需求，以及班级管理情景模拟、主题教育活动策划实践等功能。</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3,378,681.00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A02010299-其他网络设备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A02010299-其他网络设备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3,378,681.00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标的名称：A02010299-其他网络设备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设备的安装调试、试运行和</w:t>
            </w:r>
            <w:r>
              <w:rPr>
                <w:rFonts w:ascii="仿宋_GB2312" w:hAnsi="仿宋_GB2312" w:cs="仿宋_GB2312" w:eastAsia="仿宋_GB2312"/>
                <w:sz w:val="24"/>
                <w:shd w:fill="FFFFFF" w:val="clear"/>
              </w:rPr>
              <w:t>验收标准要求</w:t>
            </w:r>
          </w:p>
          <w:p>
            <w:pPr>
              <w:pStyle w:val="null3"/>
              <w:numPr>
                <w:ilvl w:val="0"/>
                <w:numId w:val="1"/>
              </w:numPr>
              <w:jc w:val="both"/>
            </w:pPr>
            <w:r>
              <w:rPr>
                <w:rFonts w:ascii="仿宋_GB2312" w:hAnsi="仿宋_GB2312" w:cs="仿宋_GB2312" w:eastAsia="仿宋_GB2312"/>
                <w:sz w:val="24"/>
              </w:rPr>
              <w:t>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numPr>
                <w:ilvl w:val="0"/>
                <w:numId w:val="1"/>
              </w:numPr>
              <w:jc w:val="both"/>
            </w:pPr>
            <w:r>
              <w:rPr>
                <w:rFonts w:ascii="仿宋_GB2312" w:hAnsi="仿宋_GB2312" w:cs="仿宋_GB2312" w:eastAsia="仿宋_GB2312"/>
                <w:sz w:val="24"/>
              </w:rPr>
              <w:t>中标采购设备到达目的地，经安装、调试、技术培训后，中标供应商向业主提请设备验收。业主在接到投标人通知的</w:t>
            </w:r>
            <w:r>
              <w:rPr>
                <w:rFonts w:ascii="仿宋_GB2312" w:hAnsi="仿宋_GB2312" w:cs="仿宋_GB2312" w:eastAsia="仿宋_GB2312"/>
                <w:sz w:val="24"/>
              </w:rPr>
              <w:t>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、技术资料</w:t>
            </w:r>
          </w:p>
          <w:p>
            <w:pPr>
              <w:pStyle w:val="null3"/>
              <w:ind w:firstLine="626"/>
              <w:jc w:val="left"/>
            </w:pPr>
            <w:r>
              <w:rPr>
                <w:rFonts w:ascii="仿宋_GB2312" w:hAnsi="仿宋_GB2312" w:cs="仿宋_GB2312" w:eastAsia="仿宋_GB2312"/>
                <w:sz w:val="24"/>
              </w:rPr>
              <w:t>投标人应保证所提交给招标人和招标代理机构的资料和数据是真实的，因提交的资料和数据不真实所引起的责任由投标人自行承担。</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、工具</w:t>
            </w:r>
          </w:p>
          <w:p>
            <w:pPr>
              <w:pStyle w:val="null3"/>
              <w:ind w:firstLine="420"/>
              <w:jc w:val="both"/>
            </w:pPr>
            <w:r>
              <w:rPr>
                <w:rFonts w:ascii="仿宋_GB2312" w:hAnsi="仿宋_GB2312" w:cs="仿宋_GB2312" w:eastAsia="仿宋_GB2312"/>
                <w:sz w:val="24"/>
              </w:rPr>
              <w:t>投标人提供产品设备所带专用工具清单，并标明其种类、用途和生产厂，并在货物到货时同时提供给业主，此价格应包含在投标价中。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、备件</w:t>
            </w:r>
          </w:p>
          <w:p>
            <w:pPr>
              <w:pStyle w:val="null3"/>
              <w:ind w:firstLine="420"/>
              <w:jc w:val="left"/>
            </w:pPr>
            <w:r>
              <w:rPr>
                <w:rFonts w:ascii="仿宋_GB2312" w:hAnsi="仿宋_GB2312" w:cs="仿宋_GB2312" w:eastAsia="仿宋_GB2312"/>
                <w:sz w:val="24"/>
              </w:rPr>
              <w:t>投标人可提供一个在正常情况使用下，保质期满后一年内可保证仪器设备正常使用的备件和材料清单，并标明其种类、生产厂、单价和总价，业主有权决定全部或有选择的购买。</w:t>
            </w:r>
          </w:p>
          <w:p>
            <w:pPr>
              <w:pStyle w:val="null3"/>
              <w:jc w:val="both"/>
            </w:pPr>
            <w:r>
              <w:rPr>
                <w:rFonts w:ascii="仿宋_GB2312" w:hAnsi="仿宋_GB2312" w:cs="仿宋_GB2312" w:eastAsia="仿宋_GB2312"/>
                <w:sz w:val="24"/>
              </w:rPr>
              <w:t>五</w:t>
            </w:r>
            <w:r>
              <w:rPr>
                <w:rFonts w:ascii="仿宋_GB2312" w:hAnsi="仿宋_GB2312" w:cs="仿宋_GB2312" w:eastAsia="仿宋_GB2312"/>
                <w:sz w:val="24"/>
              </w:rPr>
              <w:t>、易损件</w:t>
            </w:r>
          </w:p>
          <w:p>
            <w:pPr>
              <w:pStyle w:val="null3"/>
              <w:ind w:firstLine="480"/>
              <w:jc w:val="both"/>
            </w:pPr>
            <w:r>
              <w:rPr>
                <w:rFonts w:ascii="仿宋_GB2312" w:hAnsi="仿宋_GB2312" w:cs="仿宋_GB2312" w:eastAsia="仿宋_GB2312"/>
                <w:sz w:val="24"/>
              </w:rPr>
              <w:t>投标人可提供一个易损、易耗件清单，并标明用途、生产厂、常规使用寿命和单价。</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、除招标文件明确外，未经业主同意，中标供应商不得以任何方式转包或分包本项目。</w:t>
            </w:r>
          </w:p>
          <w:p>
            <w:pPr>
              <w:pStyle w:val="null3"/>
              <w:jc w:val="both"/>
            </w:pPr>
            <w:r>
              <w:rPr>
                <w:rFonts w:ascii="仿宋_GB2312" w:hAnsi="仿宋_GB2312" w:cs="仿宋_GB2312" w:eastAsia="仿宋_GB2312"/>
                <w:sz w:val="24"/>
              </w:rPr>
              <w:t>七</w:t>
            </w:r>
            <w:r>
              <w:rPr>
                <w:rFonts w:ascii="仿宋_GB2312" w:hAnsi="仿宋_GB2312" w:cs="仿宋_GB2312" w:eastAsia="仿宋_GB2312"/>
                <w:sz w:val="24"/>
              </w:rPr>
              <w:t>、签订合同：中标供应商在收到《中标通知书》后</w:t>
            </w:r>
            <w:r>
              <w:rPr>
                <w:rFonts w:ascii="仿宋_GB2312" w:hAnsi="仿宋_GB2312" w:cs="仿宋_GB2312" w:eastAsia="仿宋_GB2312"/>
                <w:sz w:val="24"/>
              </w:rPr>
              <w:t>5个工作日内与业主签订合同。</w:t>
            </w:r>
          </w:p>
          <w:p>
            <w:pPr>
              <w:pStyle w:val="null3"/>
              <w:jc w:val="both"/>
            </w:pPr>
            <w:r>
              <w:rPr>
                <w:rFonts w:ascii="仿宋_GB2312" w:hAnsi="仿宋_GB2312" w:cs="仿宋_GB2312" w:eastAsia="仿宋_GB2312"/>
                <w:sz w:val="24"/>
              </w:rPr>
              <w:t>八</w:t>
            </w:r>
            <w:r>
              <w:rPr>
                <w:rFonts w:ascii="仿宋_GB2312" w:hAnsi="仿宋_GB2312" w:cs="仿宋_GB2312" w:eastAsia="仿宋_GB2312"/>
                <w:sz w:val="24"/>
              </w:rPr>
              <w:t>、其它注意事项</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.1提供正常系统维护和免费提供软件系统升级。</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.2中标方负责设备的安装、调试。</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.3未尽事宜由双方商议解决。</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sz w:val="24"/>
              </w:rPr>
              <w:t>、质量保质期</w:t>
            </w:r>
          </w:p>
          <w:p>
            <w:pPr>
              <w:pStyle w:val="null3"/>
              <w:ind w:firstLine="470"/>
              <w:jc w:val="both"/>
            </w:pPr>
            <w:r>
              <w:rPr>
                <w:rFonts w:ascii="仿宋_GB2312" w:hAnsi="仿宋_GB2312" w:cs="仿宋_GB2312" w:eastAsia="仿宋_GB2312"/>
                <w:sz w:val="24"/>
                <w:shd w:fill="FFFFFF" w:val="clear"/>
              </w:rPr>
              <w:t>设备类提供不得低于</w:t>
            </w:r>
            <w:r>
              <w:rPr>
                <w:rFonts w:ascii="仿宋_GB2312" w:hAnsi="仿宋_GB2312" w:cs="仿宋_GB2312" w:eastAsia="仿宋_GB2312"/>
                <w:sz w:val="24"/>
                <w:shd w:fill="FFFFFF" w:val="clear"/>
              </w:rPr>
              <w:t>3 年（验收合格之日起计）免费维修服务和终生维修、保养服务，</w:t>
            </w:r>
            <w:r>
              <w:rPr>
                <w:rFonts w:ascii="仿宋_GB2312" w:hAnsi="仿宋_GB2312" w:cs="仿宋_GB2312" w:eastAsia="仿宋_GB2312"/>
                <w:sz w:val="24"/>
                <w:b/>
                <w:shd w:fill="FFFFFF" w:val="clear"/>
              </w:rPr>
              <w:t>所有设备保修不低于国家标准</w:t>
            </w:r>
            <w:r>
              <w:rPr>
                <w:rFonts w:ascii="仿宋_GB2312" w:hAnsi="仿宋_GB2312" w:cs="仿宋_GB2312" w:eastAsia="仿宋_GB2312"/>
                <w:sz w:val="24"/>
                <w:b/>
              </w:rPr>
              <w:t>。</w:t>
            </w:r>
            <w:r>
              <w:rPr>
                <w:rFonts w:ascii="仿宋_GB2312" w:hAnsi="仿宋_GB2312" w:cs="仿宋_GB2312" w:eastAsia="仿宋_GB2312"/>
                <w:sz w:val="24"/>
                <w:shd w:fill="FFFFFF" w:val="clear"/>
              </w:rPr>
              <w:t>（采购清单中免费保修期有特殊要求的按照采购清单中的为准）。若厂家有超过期限免费保修期的按厂家方案执行。</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应用软件及平台服务需确保终身免费使用，且质保期内免费更新、维护，不再收取其他软件维护类费用。</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、售后服务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.1供货方中标后需在项目所在地具有相应的技术支持及售后服务网点，确保设备使用的用户能够得到及时优质的售后服务。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.2在保质期以内，投标人在接到业主的维修通知后需及时响应，并派出有能力的维修人员赶到业主现场进行维修处理。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.3在保质期满后，投标人应保证以合理的价格提供备件和保养服务，当发生故障时，投标人应按保质期内同样的要求进行维修处理，合理收取维修费。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无环保类行政处罚记录声明函 开标（报价）一览表 其他材料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参加政府采购活动前三年内，无环保类行政处罚记录（提供承诺函）</w:t>
            </w:r>
          </w:p>
        </w:tc>
        <w:tc>
          <w:tcPr>
            <w:tcW w:type="dxa" w:w="3322"/>
          </w:tcPr>
          <w:p>
            <w:pPr>
              <w:pStyle w:val="null3"/>
              <w:jc w:val="left"/>
            </w:pPr>
            <w:r>
              <w:rPr>
                <w:rFonts w:ascii="仿宋_GB2312" w:hAnsi="仿宋_GB2312" w:cs="仿宋_GB2312" w:eastAsia="仿宋_GB2312"/>
              </w:rPr>
              <w:t>参加政府采购活动前三年内，无环保类行政处罚记录（提供承诺函）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提供无围标、串通投标等违法行为承诺函（提供承诺函）</w:t>
            </w:r>
          </w:p>
        </w:tc>
        <w:tc>
          <w:tcPr>
            <w:tcW w:type="dxa" w:w="3322"/>
          </w:tcPr>
          <w:p>
            <w:pPr>
              <w:pStyle w:val="null3"/>
              <w:jc w:val="left"/>
            </w:pPr>
            <w:r>
              <w:rPr>
                <w:rFonts w:ascii="仿宋_GB2312" w:hAnsi="仿宋_GB2312" w:cs="仿宋_GB2312" w:eastAsia="仿宋_GB2312"/>
              </w:rPr>
              <w:t>提供无围标、串通投标等违法行为承诺函（提供承诺函）</w:t>
            </w:r>
          </w:p>
        </w:tc>
        <w:tc>
          <w:tcPr>
            <w:tcW w:type="dxa" w:w="1661"/>
          </w:tcPr>
          <w:p>
            <w:pPr>
              <w:pStyle w:val="null3"/>
              <w:jc w:val="left"/>
            </w:pPr>
            <w:r>
              <w:rPr>
                <w:rFonts w:ascii="仿宋_GB2312" w:hAnsi="仿宋_GB2312" w:cs="仿宋_GB2312" w:eastAsia="仿宋_GB2312"/>
              </w:rPr>
              <w:t>无围标、串通投标等违法行为承诺函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供应商承诺函 无围标、串通投标等违法行为承诺函 其他材料 投标（响应）报价明细表 供应商应提交的相关证明材料 无重大违法记录声明函 无不良信用记录承诺函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无围标、串通投标等违法行为承诺函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采购需求技术参数响应</w:t>
            </w:r>
          </w:p>
        </w:tc>
        <w:tc>
          <w:tcPr>
            <w:tcW w:type="dxa" w:w="2492"/>
          </w:tcPr>
          <w:p>
            <w:pPr>
              <w:pStyle w:val="null3"/>
              <w:jc w:val="left"/>
            </w:pPr>
            <w:r>
              <w:rPr>
                <w:rFonts w:ascii="仿宋_GB2312" w:hAnsi="仿宋_GB2312" w:cs="仿宋_GB2312" w:eastAsia="仿宋_GB2312"/>
              </w:rPr>
              <w:t>根据采购需求技术参数响应情况评审，技术参数内容全部满足的得40分； （1）带“▲”号招标要求的78项，每有 1项负偏离扣0.35分，标注“▲”的技术，参数总扣分超过15分（含） 的，已严重偏离采购目标，则本部分采购需求系统配置技术参数性能项得分为 0 分； （2）非“▲”项技术参数377项，每累计达到5项负偏离的扣0.17分（不足5项按5项计算）。 注“▲”项为重要性参数。 非“▲”项为一般参数要求；采购需求参数中有明确规定相关佐证材料的应按照采购需求的要求提供相关佐证材料并加盖供应公章，不按要求提供者不得分。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投标人提供的项目实施方案进行综合评审，包含但不限于①项目供货组织方案；②货物安装时间节点；③安装调试方案；④实施步骤方案；⑤质量保障措施。方案中包含以上5个要素且上述内容完整切实可行得的得10分，每缺少一项扣2分，一项有缺陷扣1分。本方案满分10分。(内容缺陷是指: 内容非专门针对本项目或不适用项目特性的情形、内容不够完整或缺少关键节点、套用其他项目方案、内容前后矛盾、涉及的规范及标准错误、不利于项目实施、不可能实现的情形等任意一种情形。)不提供不得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w:t>
            </w:r>
          </w:p>
        </w:tc>
      </w:tr>
      <w:tr>
        <w:tc>
          <w:tcPr>
            <w:tcW w:type="dxa" w:w="831"/>
            <w:vMerge/>
          </w:tcPr>
          <w:p/>
        </w:tc>
        <w:tc>
          <w:tcPr>
            <w:tcW w:type="dxa" w:w="1661"/>
          </w:tcPr>
          <w:p>
            <w:pPr>
              <w:pStyle w:val="null3"/>
              <w:jc w:val="left"/>
            </w:pPr>
            <w:r>
              <w:rPr>
                <w:rFonts w:ascii="仿宋_GB2312" w:hAnsi="仿宋_GB2312" w:cs="仿宋_GB2312" w:eastAsia="仿宋_GB2312"/>
              </w:rPr>
              <w:t>突发情况应急处置方案</w:t>
            </w:r>
          </w:p>
        </w:tc>
        <w:tc>
          <w:tcPr>
            <w:tcW w:type="dxa" w:w="2492"/>
          </w:tcPr>
          <w:p>
            <w:pPr>
              <w:pStyle w:val="null3"/>
              <w:jc w:val="left"/>
            </w:pPr>
            <w:r>
              <w:rPr>
                <w:rFonts w:ascii="仿宋_GB2312" w:hAnsi="仿宋_GB2312" w:cs="仿宋_GB2312" w:eastAsia="仿宋_GB2312"/>
              </w:rPr>
              <w:t>根据供应商提供的“突发情况应急处置方案”细致程度进行综合评审，包含但不限于①应急组织架构及职责；②应急响应流程；③各类突发情况的应急处置措施；④应急保障措施等内容。方案中包含以上要求全部内容且上述内容完整、契合项目实际情况的得4分，每缺少一项内容扣1分:方案内容存在一处缺陷扣0.5分内容缺陷是指:与采购需求毫无关联、内容不完全符合项目实际要求、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突发情况应急处置方案</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根据投标人提供的售后服务方案的响应程度进行综合评比(包括但不限于①故障响应时间；②备品备件供应；③服务人员配备；④本地化售后服务机构等)进行评审: 方案中包含以上4个要素且上述内容完整切实可行得的得10分，每缺少一项扣2.5分，一项有缺陷扣1分。本方案满分10分。(内容缺陷是指: 内容非专门针对本项目或不适用项目特性的情形、内容不够完整或缺少关键节点、套用其他项目方案、内容前后矛盾、涉及的规范及标准错误、不利于项目实施、不可能实现的情形等任意一种情形。) 不提供不得分。扣完为止。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供应商须提供2022年1月1日至今承担过类似项目业绩：每提供一个得2分，满分6分。不提供不得分。证明材料：须提供合同双方盖章关键页的扫描件，并加盖供应商公章。时间以合同签订时间为准。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HNZS2025-067</w:t>
      </w:r>
    </w:p>
    <w:p>
      <w:pPr>
        <w:pStyle w:val="null3"/>
        <w:jc w:val="left"/>
      </w:pPr>
      <w:r>
        <w:rPr>
          <w:rFonts w:ascii="仿宋_GB2312" w:hAnsi="仿宋_GB2312" w:cs="仿宋_GB2312" w:eastAsia="仿宋_GB2312"/>
        </w:rPr>
        <w:t>项目名称：</w:t>
      </w:r>
      <w:r>
        <w:rPr>
          <w:rFonts w:ascii="仿宋_GB2312" w:hAnsi="仿宋_GB2312" w:cs="仿宋_GB2312" w:eastAsia="仿宋_GB2312"/>
        </w:rPr>
        <w:t>教师教育实训教室设备购置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教师教育实训教室设备购置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A02010299-其他网络设备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3378681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详见附件：无围标、串通投标等违法行为承诺函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详见附件：实施方案</w:t>
      </w:r>
    </w:p>
    <w:p>
      <w:pPr>
        <w:pStyle w:val="null3"/>
        <w:ind w:firstLine="960"/>
        <w:jc w:val="left"/>
      </w:pPr>
      <w:r>
        <w:rPr>
          <w:rFonts w:ascii="仿宋_GB2312" w:hAnsi="仿宋_GB2312" w:cs="仿宋_GB2312" w:eastAsia="仿宋_GB2312"/>
        </w:rPr>
        <w:t>详见附件：突发情况应急处置方案</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详见附件：类似业绩</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