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BA806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其他证明材料（若有）</w:t>
      </w:r>
    </w:p>
    <w:p w14:paraId="7AD6E202">
      <w:pPr>
        <w:jc w:val="center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（自由格式）</w:t>
      </w:r>
    </w:p>
    <w:p w14:paraId="72694191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1、信用查询：必须为未被列入信用中国网站(www.creditchina.gov.cn)的“失信被执行人”、“重大税收违法失信主体”和中国政府采购网(www.ccgp.gov.cn) 的“政府采购严重违法失信行为记录名单”的投标人。（投标人提供信用查询截图或采购人（或代理机构）现场查询打印，最终信用结果以现场查询结果为准）。</w:t>
      </w:r>
    </w:p>
    <w:p w14:paraId="70085E66"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</w:rPr>
        <w:t>除招标文件另有规定外，投标人认为需要提交的其他证明材料或资料</w:t>
      </w:r>
      <w:r>
        <w:rPr>
          <w:rFonts w:hint="eastAsia"/>
          <w:sz w:val="28"/>
          <w:szCs w:val="28"/>
          <w:lang w:eastAsia="zh-CN"/>
        </w:rPr>
        <w:t>。</w:t>
      </w:r>
    </w:p>
    <w:p w14:paraId="14B1223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E45EF"/>
    <w:rsid w:val="02D57534"/>
    <w:rsid w:val="0FD2320A"/>
    <w:rsid w:val="36BB4FD6"/>
    <w:rsid w:val="568D0F14"/>
    <w:rsid w:val="61F416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211</Characters>
  <Lines>0</Lines>
  <Paragraphs>0</Paragraphs>
  <TotalTime>8</TotalTime>
  <ScaleCrop>false</ScaleCrop>
  <LinksUpToDate>false</LinksUpToDate>
  <CharactersWithSpaces>212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2025-03-06T03:40:00Z</dcterms:created>
  <dc:creator>Admin</dc:creator>
  <cp:lastModifiedBy>HNMJ</cp:lastModifiedBy>
  <dcterms:modified xsi:type="dcterms:W3CDTF">2025-07-02T11:08:13Z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eyJoZGlkIjoiZDdlZmFkYzExOTRmZjhjNzMwNGQ4NGY0NTI1NGNhNzciLCJ1c2VySWQiOiIyNDY1MDE5ODUifQ==</vt:lpwstr>
  </property>
  <property fmtid="{D5CDD505-2E9C-101B-9397-08002B2CF9AE}" pid="4" name="ICV">
    <vt:lpwstr>0F6ADC04054F4556922138E53AF2D4F4_13</vt:lpwstr>
  </property>
</Properties>
</file>