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80" w:line="222" w:lineRule="auto"/>
        <w:ind w:left="3181"/>
        <w:outlineLvl w:val="2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-2"/>
          <w:sz w:val="28"/>
          <w:szCs w:val="28"/>
          <w:highlight w:val="none"/>
          <w:lang w:eastAsia="zh-CN"/>
        </w:rPr>
        <w:t>采购包</w:t>
      </w:r>
      <w:r>
        <w:rPr>
          <w:rFonts w:hint="eastAsia" w:ascii="宋体" w:hAnsi="宋体" w:cs="宋体"/>
          <w:b/>
          <w:bCs/>
          <w:color w:val="auto"/>
          <w:spacing w:val="-2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pacing w:val="-2"/>
          <w:sz w:val="28"/>
          <w:szCs w:val="28"/>
          <w:highlight w:val="none"/>
        </w:rPr>
        <w:t>技术响应表</w:t>
      </w:r>
    </w:p>
    <w:p>
      <w:pPr>
        <w:pStyle w:val="2"/>
        <w:spacing w:before="75" w:line="353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说明：投标人必须仔细阅读招标文件“第三章采购需求”要求在《技术响应</w:t>
      </w:r>
      <w:r>
        <w:rPr>
          <w:rFonts w:hint="eastAsia" w:ascii="宋体" w:hAnsi="宋体" w:eastAsia="宋体" w:cs="宋体"/>
          <w:color w:val="auto"/>
          <w:spacing w:val="14"/>
          <w:sz w:val="24"/>
          <w:szCs w:val="24"/>
          <w:highlight w:val="none"/>
        </w:rPr>
        <w:t>表》中需要进行响应的技术条款，并对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“第三章采购需求”</w:t>
      </w:r>
      <w:r>
        <w:rPr>
          <w:rFonts w:hint="eastAsia" w:ascii="宋体" w:hAnsi="宋体" w:cs="宋体"/>
          <w:color w:val="auto"/>
          <w:spacing w:val="6"/>
          <w:sz w:val="24"/>
          <w:szCs w:val="24"/>
          <w:highlight w:val="none"/>
          <w:lang w:val="en-US" w:eastAsia="zh-CN"/>
        </w:rPr>
        <w:t>中1.3监理技术要求中所有</w:t>
      </w:r>
      <w:r>
        <w:rPr>
          <w:rFonts w:hint="eastAsia" w:ascii="宋体" w:hAnsi="宋体" w:eastAsia="宋体" w:cs="宋体"/>
          <w:color w:val="auto"/>
          <w:spacing w:val="14"/>
          <w:sz w:val="24"/>
          <w:szCs w:val="24"/>
          <w:highlight w:val="none"/>
        </w:rPr>
        <w:t>条款的响应情况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>逐项列入该表，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以及对其响应情况进行说明；未列入该表的视作投标人不响应。</w:t>
      </w:r>
    </w:p>
    <w:p>
      <w:pPr>
        <w:pStyle w:val="2"/>
        <w:spacing w:before="68" w:line="357" w:lineRule="auto"/>
        <w:ind w:left="128" w:right="250" w:firstLine="49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11"/>
          <w:sz w:val="24"/>
          <w:szCs w:val="24"/>
          <w:highlight w:val="none"/>
        </w:rPr>
        <w:t>投标人必须根据标的的实际情况如实填写，评标委员会如发现有虚假描述</w:t>
      </w:r>
      <w:r>
        <w:rPr>
          <w:rFonts w:hint="eastAsia" w:ascii="宋体" w:hAnsi="宋体" w:eastAsia="宋体" w:cs="宋体"/>
          <w:b/>
          <w:bCs/>
          <w:color w:val="auto"/>
          <w:spacing w:val="3"/>
          <w:sz w:val="24"/>
          <w:szCs w:val="24"/>
          <w:highlight w:val="none"/>
        </w:rPr>
        <w:t>的，该投标文件作无效投标文件处理。</w:t>
      </w:r>
    </w:p>
    <w:tbl>
      <w:tblPr>
        <w:tblStyle w:val="7"/>
        <w:tblW w:w="83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67"/>
        <w:gridCol w:w="1756"/>
        <w:gridCol w:w="1480"/>
        <w:gridCol w:w="996"/>
        <w:gridCol w:w="1340"/>
        <w:gridCol w:w="13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634" w:type="dxa"/>
            <w:shd w:val="clear" w:color="auto" w:fill="D8D8D8"/>
            <w:textDirection w:val="tbRlV"/>
            <w:vAlign w:val="center"/>
          </w:tcPr>
          <w:p>
            <w:pPr>
              <w:pStyle w:val="6"/>
              <w:spacing w:before="99" w:line="19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宋体"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767" w:type="dxa"/>
            <w:shd w:val="clear" w:color="auto" w:fill="D8D8D8"/>
            <w:vAlign w:val="center"/>
          </w:tcPr>
          <w:p>
            <w:pPr>
              <w:pStyle w:val="6"/>
              <w:spacing w:before="282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标的名称</w:t>
            </w:r>
          </w:p>
        </w:tc>
        <w:tc>
          <w:tcPr>
            <w:tcW w:w="1756" w:type="dxa"/>
            <w:shd w:val="clear" w:color="auto" w:fill="D8D8D8"/>
            <w:vAlign w:val="center"/>
          </w:tcPr>
          <w:p>
            <w:pPr>
              <w:pStyle w:val="6"/>
              <w:spacing w:before="282" w:line="21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招标文件技术条款描述</w:t>
            </w:r>
          </w:p>
        </w:tc>
        <w:tc>
          <w:tcPr>
            <w:tcW w:w="1480" w:type="dxa"/>
            <w:shd w:val="clear" w:color="auto" w:fill="D8D8D8"/>
            <w:vAlign w:val="center"/>
          </w:tcPr>
          <w:p>
            <w:pPr>
              <w:pStyle w:val="6"/>
              <w:spacing w:before="171" w:line="225" w:lineRule="auto"/>
              <w:ind w:right="14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投标人技术响应情况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描述</w:t>
            </w:r>
          </w:p>
        </w:tc>
        <w:tc>
          <w:tcPr>
            <w:tcW w:w="996" w:type="dxa"/>
            <w:shd w:val="clear" w:color="auto" w:fill="D8D8D8"/>
            <w:vAlign w:val="center"/>
          </w:tcPr>
          <w:p>
            <w:pPr>
              <w:pStyle w:val="6"/>
              <w:spacing w:before="42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  <w:highlight w:val="none"/>
              </w:rPr>
              <w:t>响应情况说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明</w:t>
            </w:r>
            <w:r>
              <w:rPr>
                <w:rFonts w:hint="eastAsia" w:ascii="宋体" w:hAnsi="宋体" w:eastAsia="宋体" w:cs="宋体"/>
                <w:color w:val="auto"/>
                <w:spacing w:val="28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(</w:t>
            </w:r>
            <w:r>
              <w:rPr>
                <w:rFonts w:hint="eastAsia" w:ascii="宋体" w:hAnsi="宋体" w:eastAsia="宋体" w:cs="宋体"/>
                <w:color w:val="auto"/>
                <w:spacing w:val="-5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+</w:t>
            </w:r>
            <w:r>
              <w:rPr>
                <w:rFonts w:hint="eastAsia" w:ascii="宋体" w:hAnsi="宋体" w:eastAsia="宋体" w:cs="宋体"/>
                <w:color w:val="auto"/>
                <w:spacing w:val="-6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/</w:t>
            </w:r>
            <w:r>
              <w:rPr>
                <w:rFonts w:hint="eastAsia" w:ascii="宋体" w:hAnsi="宋体" w:eastAsia="宋体" w:cs="宋体"/>
                <w:color w:val="auto"/>
                <w:spacing w:val="-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sz w:val="24"/>
                <w:szCs w:val="24"/>
                <w:highlight w:val="none"/>
              </w:rPr>
              <w:t>=</w:t>
            </w:r>
          </w:p>
          <w:p>
            <w:pPr>
              <w:pStyle w:val="6"/>
              <w:spacing w:before="12" w:line="164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/-)</w:t>
            </w:r>
          </w:p>
        </w:tc>
        <w:tc>
          <w:tcPr>
            <w:tcW w:w="1340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证明材料（如有）的页码索引</w:t>
            </w:r>
          </w:p>
        </w:tc>
        <w:tc>
          <w:tcPr>
            <w:tcW w:w="1340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28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59" w:line="184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59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59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3" w:hRule="atLeast"/>
        </w:trPr>
        <w:tc>
          <w:tcPr>
            <w:tcW w:w="634" w:type="dxa"/>
            <w:vAlign w:val="center"/>
          </w:tcPr>
          <w:p>
            <w:pPr>
              <w:pStyle w:val="6"/>
              <w:spacing w:before="164" w:line="276" w:lineRule="auto"/>
              <w:ind w:right="7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9"/>
                <w:sz w:val="24"/>
                <w:szCs w:val="24"/>
                <w:highlight w:val="none"/>
              </w:rPr>
              <w:t>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67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8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6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before="55" w:line="213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注：1.此表为表样，行数可自行添加，但表式不变。</w:t>
      </w:r>
    </w:p>
    <w:p>
      <w:pPr>
        <w:pStyle w:val="2"/>
        <w:spacing w:before="124" w:line="329" w:lineRule="auto"/>
        <w:ind w:left="124" w:right="246" w:firstLine="35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2.招标文件“第三章采购需求”未要求在该表中进行响应的技术条款，投标人无需填写；可是，投标人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9"/>
          <w:sz w:val="24"/>
          <w:szCs w:val="24"/>
          <w:highlight w:val="none"/>
        </w:rPr>
        <w:t>根据项目情况需要添加的设备、材料、服务等请列出，但不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作为无效投标的依据。</w:t>
      </w:r>
    </w:p>
    <w:p>
      <w:pPr>
        <w:pStyle w:val="2"/>
        <w:spacing w:before="42" w:line="222" w:lineRule="auto"/>
        <w:ind w:left="48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>3.请在“投标人技术响应情况描述”中列出标的的详细参数情况。</w:t>
      </w:r>
    </w:p>
    <w:p>
      <w:pPr>
        <w:pStyle w:val="2"/>
        <w:spacing w:before="78" w:line="318" w:lineRule="auto"/>
        <w:ind w:left="124" w:right="78" w:firstLine="35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4. “响应情况说明”应按下列规定填写对招标文件技术条款的响应情况：优于的视为正偏离，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填写“+”;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highlight w:val="none"/>
        </w:rPr>
        <w:t>符合的视为满足，填写“=";低于的视为负偏离或不满足，填写“-”;如不按规定填写或不填写的</w:t>
      </w: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，均视为</w:t>
      </w:r>
    </w:p>
    <w:p>
      <w:pPr>
        <w:pStyle w:val="2"/>
        <w:spacing w:before="43" w:line="223" w:lineRule="auto"/>
        <w:ind w:left="124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不响应。</w:t>
      </w:r>
    </w:p>
    <w:p>
      <w:pPr>
        <w:pStyle w:val="2"/>
        <w:spacing w:before="116" w:line="318" w:lineRule="auto"/>
        <w:ind w:left="124" w:right="34" w:firstLine="35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7"/>
          <w:sz w:val="24"/>
          <w:szCs w:val="24"/>
          <w:highlight w:val="none"/>
        </w:rPr>
        <w:t>5.招标文件有标注“★”条款的为实质性条款，若有任何一条负偏离或不满足则导</w:t>
      </w:r>
      <w:r>
        <w:rPr>
          <w:rFonts w:hint="eastAsia" w:ascii="宋体" w:hAnsi="宋体" w:eastAsia="宋体" w:cs="宋体"/>
          <w:color w:val="auto"/>
          <w:spacing w:val="6"/>
          <w:sz w:val="24"/>
          <w:szCs w:val="24"/>
          <w:highlight w:val="none"/>
        </w:rPr>
        <w:t>致投标无效。非“★”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3"/>
          <w:sz w:val="24"/>
          <w:szCs w:val="24"/>
          <w:highlight w:val="none"/>
        </w:rPr>
        <w:t>号条款未响应或不满足(负偏离),将根据评审要求影响其得分，但不作为无效投标条款。</w:t>
      </w:r>
    </w:p>
    <w:p>
      <w:pPr>
        <w:pStyle w:val="2"/>
        <w:spacing w:before="56" w:line="222" w:lineRule="auto"/>
        <w:jc w:val="right"/>
      </w:pPr>
      <w:r>
        <w:rPr>
          <w:rFonts w:hint="eastAsia" w:ascii="宋体" w:hAnsi="宋体" w:eastAsia="宋体" w:cs="宋体"/>
          <w:color w:val="auto"/>
          <w:spacing w:val="32"/>
          <w:sz w:val="24"/>
          <w:szCs w:val="24"/>
          <w:highlight w:val="none"/>
        </w:rPr>
        <w:t>投标人全称(公章):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9A6410"/>
    <w:rsid w:val="081770D6"/>
    <w:rsid w:val="0B9A6410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2025-06-27T04:12:00Z</dcterms:created>
  <dc:creator>Administrator</dc:creator>
  <cp:lastModifiedBy>Administrator</cp:lastModifiedBy>
  <dcterms:modified xsi:type="dcterms:W3CDTF">2025-06-27T09:29:59Z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