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海南智慧法院综合办公办案平台（一期）项目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HNZC2025-018-001.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海南省高级人民法院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海南省高级人民法院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海南智慧法院综合办公办案平台（一期）项目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HNZC2025-018-001.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海南智慧法院综合办公办案平台（一期）项目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12,956,035.67元</w:t>
      </w:r>
      <w:r>
        <w:rPr>
          <w:rFonts w:ascii="仿宋_GB2312" w:hAnsi="仿宋_GB2312" w:cs="仿宋_GB2312" w:eastAsia="仿宋_GB2312"/>
        </w:rPr>
        <w:t>壹仟贰佰玖拾伍万陆仟零叁拾伍元陆角柒分</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自合同签订之日起24个月。</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本项目监理服务周期自签订合同之日起，至建设项目完成竣工验收。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具有独立承担民事责任的能力：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p>
      <w:pPr>
        <w:pStyle w:val="null3"/>
        <w:jc w:val="left"/>
      </w:pPr>
      <w:r>
        <w:rPr>
          <w:rFonts w:ascii="仿宋_GB2312" w:hAnsi="仿宋_GB2312" w:cs="仿宋_GB2312" w:eastAsia="仿宋_GB2312"/>
        </w:rPr>
        <w:t>3、信用查询：必须为未被列入信用中国网站(www.creditchina.gov.cn)的“失信被执行人”、“重大税收违法失信主体”和中国政府采购网(www.ccgp.gov.cn) 的“政府采购严重违法失信行为记录名单”的投标人。</w:t>
      </w:r>
    </w:p>
    <w:p>
      <w:pPr>
        <w:pStyle w:val="null3"/>
        <w:jc w:val="left"/>
      </w:pPr>
      <w:r>
        <w:rPr>
          <w:rFonts w:ascii="仿宋_GB2312" w:hAnsi="仿宋_GB2312" w:cs="仿宋_GB2312" w:eastAsia="仿宋_GB2312"/>
        </w:rPr>
        <w:t>4、环保类行政声明函：参加政府采购活动前三年内，在经营活动中没有环保类行政处罚记录（提供声明函）。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1.本项目采购包1和采购包2均不收取投标保证金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海南省高级人民法院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海南省海口市龙昆南路123号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尧先生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0898-66969655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采购包1：12,796,753.29元</w:t>
            </w:r>
          </w:p>
          <w:p>
            <w:pPr>
              <w:pStyle w:val="null3"/>
              <w:jc w:val="left"/>
            </w:pPr>
            <w:r>
              <w:rPr>
                <w:rFonts w:ascii="仿宋_GB2312" w:hAnsi="仿宋_GB2312" w:cs="仿宋_GB2312" w:eastAsia="仿宋_GB2312"/>
              </w:rPr>
              <w:t>采购包2：159,282.38元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说明：项目终验通过后，乙方提交以甲方为受益人、履约保证金金额为合同总金额的3%、担保期限为项目终验通过之日起3年的履约保证金给甲方。 项目终验通过3年后无质量问题，甲方向乙方退还乙方所提交的履约保证金。</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代理服务费收费标准：参照国家发展计划委员会文件《招标代理服务收费管理暂行办法》(计价格【2002】1980号)中相关规定93折优惠向中标人收取代理服务费。不足6000.00元的按照6000.00元收取。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2.政府采购评审中出现下列情形之一的，评审委员会应当启动异常低价投标（响应）审查程序：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（2）投标（响应）报价低于通过符合性审查且报价次低供应商投标（响应）报价50%的，即投标（响应）报价&lt;通过符合性审查且报价次低供应商投标（响应）报价×50%； （3）投标（响应）报价低于采购项目最高限价45%的，即投标（响应）报价&lt;采购项目最高限价×45%；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3.开标时，投标人应当使用数字证书在解密时限内完成全部已投标采购包的投标文件在线解密，若出现系统异常情况，工作人员可适当延长解密时长。如在开启过程中出现解密失败的情况,允许供应商导入备用响应文件继续开启，若导入的备用响应文件仍解密失败，供应商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项目紧紧围绕人民法院信息化建设目标，基于科学、合理、可行的海南省法院信息化顶层设计，以全省司法数据中心为核心，以五大网系为纽带、融合大数据、人工智能等技术以及“互联网+”理念，致力于完成海南省法院信息化横向底层支撑体系及纵向应用体系的建设，深入开展全省法院司法数据的“聚”、“通”、“用”、“融”实现海南法院信息化水平的跨越式发展。</w:t>
      </w:r>
      <w:r>
        <w:br/>
      </w:r>
      <w:r>
        <w:rPr>
          <w:rFonts w:ascii="仿宋_GB2312" w:hAnsi="仿宋_GB2312" w:cs="仿宋_GB2312" w:eastAsia="仿宋_GB2312"/>
        </w:rPr>
        <w:t xml:space="preserve"> 本次项目建设内容：</w:t>
      </w:r>
      <w:r>
        <w:br/>
      </w:r>
      <w:r>
        <w:rPr>
          <w:rFonts w:ascii="仿宋_GB2312" w:hAnsi="仿宋_GB2312" w:cs="仿宋_GB2312" w:eastAsia="仿宋_GB2312"/>
        </w:rPr>
        <w:t xml:space="preserve"> 一、海南法院智慧审判系统：证券纠纷代表人诉讼服务系统、智慧审判密码改造。</w:t>
      </w:r>
      <w:r>
        <w:br/>
      </w:r>
      <w:r>
        <w:rPr>
          <w:rFonts w:ascii="仿宋_GB2312" w:hAnsi="仿宋_GB2312" w:cs="仿宋_GB2312" w:eastAsia="仿宋_GB2312"/>
        </w:rPr>
        <w:t xml:space="preserve"> 二、海南法院智慧诉服系统：智慧诉服密码改造。</w:t>
      </w:r>
      <w:r>
        <w:br/>
      </w:r>
      <w:r>
        <w:rPr>
          <w:rFonts w:ascii="仿宋_GB2312" w:hAnsi="仿宋_GB2312" w:cs="仿宋_GB2312" w:eastAsia="仿宋_GB2312"/>
        </w:rPr>
        <w:t xml:space="preserve"> 三、海南法院智慧执行系统：智慧执行系统密码改造。</w:t>
      </w:r>
      <w:r>
        <w:br/>
      </w:r>
      <w:r>
        <w:rPr>
          <w:rFonts w:ascii="仿宋_GB2312" w:hAnsi="仿宋_GB2312" w:cs="仿宋_GB2312" w:eastAsia="仿宋_GB2312"/>
        </w:rPr>
        <w:t xml:space="preserve"> 四、海南法院智慧管理系统：智慧教学管理系统。</w:t>
      </w:r>
      <w:r>
        <w:br/>
      </w:r>
      <w:r>
        <w:rPr>
          <w:rFonts w:ascii="仿宋_GB2312" w:hAnsi="仿宋_GB2312" w:cs="仿宋_GB2312" w:eastAsia="仿宋_GB2312"/>
        </w:rPr>
        <w:t xml:space="preserve"> 五、信息基础设施支撑系统：网络安全（安全等保、网络建设）、信任体系建设、安防监控系统与门禁、科技法庭及互联网法庭、DNS。</w:t>
      </w:r>
      <w:r>
        <w:br/>
      </w:r>
      <w:r>
        <w:rPr>
          <w:rFonts w:ascii="仿宋_GB2312" w:hAnsi="仿宋_GB2312" w:cs="仿宋_GB2312" w:eastAsia="仿宋_GB2312"/>
        </w:rPr>
        <w:t xml:space="preserve"> 具体采购需求详见附件！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12,796,753.29</w:t>
      </w:r>
    </w:p>
    <w:p>
      <w:pPr>
        <w:pStyle w:val="null3"/>
        <w:jc w:val="left"/>
      </w:pPr>
      <w:r>
        <w:rPr>
          <w:rFonts w:ascii="仿宋_GB2312" w:hAnsi="仿宋_GB2312" w:cs="仿宋_GB2312" w:eastAsia="仿宋_GB2312"/>
        </w:rPr>
        <w:t>采购包最高限价（元）: 12,796,753.29</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海南智慧法院综合办公办案平台（一期）项目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12,796,753.29</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159,282.38</w:t>
      </w:r>
    </w:p>
    <w:p>
      <w:pPr>
        <w:pStyle w:val="null3"/>
        <w:jc w:val="left"/>
      </w:pPr>
      <w:r>
        <w:rPr>
          <w:rFonts w:ascii="仿宋_GB2312" w:hAnsi="仿宋_GB2312" w:cs="仿宋_GB2312" w:eastAsia="仿宋_GB2312"/>
        </w:rPr>
        <w:t>采购包最高限价（元）: 159,282.38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海南智慧法院综合办公办案平台（一期）项目监理服务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159,282.38</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海南智慧法院综合办公办案平台（一期）项目</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12,796,753.29</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海南智慧法院综合办公办案平台（一期）项目监理服务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159,282.38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标的名称：海南智慧法院综合办公办案平台（一期）项目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具体技术参数与性能指标、参数性质详见附件《采购需求》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标的名称：海南智慧法院综合办公办案平台（一期）项目监理服务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具体技术参数与性能指标详见附件《采购需求》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具体商务要求，详见附件《采购需求》</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具体商务要求，详见附件《采购需求》</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满足第二十二条规定的承诺函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满足第二十二条规定的承诺函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提供法人或者其他组织的营业执照等证明文件、自然人的身份证明复印件加盖公章。根据《政府采购法实施条例》释义，银行、保险、石油石化、电力、电信等有行业特殊情况的，允许法人的分支机构参加投标。分支机构投标的，需要在投标时提供具有法人资格的总公司授权</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信用查询</w:t>
            </w:r>
          </w:p>
        </w:tc>
        <w:tc>
          <w:tcPr>
            <w:tcW w:type="dxa" w:w="3322"/>
          </w:tcPr>
          <w:p>
            <w:pPr>
              <w:pStyle w:val="null3"/>
              <w:jc w:val="left"/>
            </w:pPr>
            <w:r>
              <w:rPr>
                <w:rFonts w:ascii="仿宋_GB2312" w:hAnsi="仿宋_GB2312" w:cs="仿宋_GB2312" w:eastAsia="仿宋_GB2312"/>
              </w:rPr>
              <w:t>必须为未被列入信用中国网站(www.creditchina.gov.cn)的“失信被执行人”、“重大税收违法失信主体”和中国政府采购网(www.ccgp.gov.cn) 的“政府采购严重违法失信行为记录名单”的投标人。</w:t>
            </w:r>
          </w:p>
        </w:tc>
        <w:tc>
          <w:tcPr>
            <w:tcW w:type="dxa" w:w="1661"/>
          </w:tcPr>
          <w:p>
            <w:pPr>
              <w:pStyle w:val="null3"/>
              <w:jc w:val="left"/>
            </w:pPr>
            <w:r>
              <w:rPr>
                <w:rFonts w:ascii="仿宋_GB2312" w:hAnsi="仿宋_GB2312" w:cs="仿宋_GB2312" w:eastAsia="仿宋_GB2312"/>
              </w:rPr>
              <w:t>信用查询</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政府采购活动前三年内无环保类行政处罚记录声明函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采购包1商务响应表 自觉抵制政府采购领域商业贿赂行为承诺书 封面 法定代表人资格证明书或法定代表人授权委托书 采购包1投标（响应）报价明细表 采购包1技术响应表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采购包1投标（响应）报价明细表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采购包1商务响应表 采购包1技术响应表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其他材料 采购包1商务响应表 采购包1技术响应表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采购包2投标（响应）报价明细表 采购包2商务响应表 开标（报价）一览表 投标函 自觉抵制政府采购领域商业贿赂行为承诺书 封面 法定代表人资格证明书或法定代表人授权委托书 采购包2技术响应表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采购包2投标（响应）报价明细表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采购包2商务响应表 其他材料 采购包2技术响应表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采购包2商务响应表 其他材料 采购包2技术响应表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技术部分41.00分</w:t>
            </w:r>
          </w:p>
          <w:p>
            <w:pPr>
              <w:pStyle w:val="null3"/>
              <w:jc w:val="both"/>
            </w:pPr>
            <w:r>
              <w:rPr>
                <w:rFonts w:ascii="仿宋_GB2312" w:hAnsi="仿宋_GB2312" w:cs="仿宋_GB2312" w:eastAsia="仿宋_GB2312"/>
              </w:rPr>
              <w:t>商务部分29.00分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根据本项目的特点和要求，制定对本项目总体设计方案，至少包括： （1）对本项目建设内容的理解 （2）对本项目重点难点的分析及对策 （3）总体设计思路 （4）项目设计主要创新点 （5）制定对本项目详细设计方案。 A.方案涵盖上述所有内容，项目针对性强，且满足招标文件要求的，得5分； B.方案每缺少一项上述内容的，扣1分，扣完为止； C.每项内容每存在一项缺陷的，扣0.5分，扣完为止。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项目管理及组织实施方案</w:t>
            </w:r>
          </w:p>
        </w:tc>
        <w:tc>
          <w:tcPr>
            <w:tcW w:type="dxa" w:w="2492"/>
          </w:tcPr>
          <w:p>
            <w:pPr>
              <w:pStyle w:val="null3"/>
              <w:jc w:val="both"/>
            </w:pPr>
            <w:r>
              <w:rPr>
                <w:rFonts w:ascii="仿宋_GB2312" w:hAnsi="仿宋_GB2312" w:cs="仿宋_GB2312" w:eastAsia="仿宋_GB2312"/>
              </w:rPr>
              <w:t>根据本项目的特点和要求，提供项目管理及组织实施方案，至少包括： （1）项目实施管理方案 （2）详细实施进度计划 （3）项目实施团队构成 （4）项目质量保障方案 （5）项目风险识别与规避方案。 A.方案涵盖上述所有内容，项目针对性强，且满足招标文件要求的，得5分； B.方案每缺少一项上述内容的，扣1分，扣完为止； C.每项内容每存在一项缺陷的，扣0.5分，扣完为止。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根据本项目的特点和要求，提供售后服务方案，至少包括： 1、提供售后服务方案至少包括： （1）服务承诺 （2）售后技术支持与服务措施 （3）运维保障方案 （4）应急处置预案。 A.方案涵盖上述所有内容，项目针对性强，且满足招标文件要求的，得4分； B.方案每缺少一项上述内容的，扣1分，扣完为止； C.每项内容每存在一项缺陷的，扣0.5分，扣完为止。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提供培训方案至少包括： （1）培训计划及培训方式 （2）培训内容 （3）培训策略 （4）培训效果跟踪 （5）培训资料及培训考核。 A.方案涵盖上述所有内容，项目针对性强，且满足招标文件要求的，得5分； B.方案每缺少一项上述内容的，扣1分，扣完为止； C.每项内容每存在一项缺陷的，扣0.5分，扣完为止。 缺陷是指：方案存在不适用项目特性的情形、内容缺少关键节点、套用其他项目方案、内容前后矛盾、涉及的规范及标准错误，不利于项目实施，不可能实现的情形。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标注“▲”技术参数要求响应</w:t>
            </w:r>
          </w:p>
        </w:tc>
        <w:tc>
          <w:tcPr>
            <w:tcW w:type="dxa" w:w="2492"/>
          </w:tcPr>
          <w:p>
            <w:pPr>
              <w:pStyle w:val="null3"/>
              <w:jc w:val="both"/>
            </w:pPr>
            <w:r>
              <w:rPr>
                <w:rFonts w:ascii="仿宋_GB2312" w:hAnsi="仿宋_GB2312" w:cs="仿宋_GB2312" w:eastAsia="仿宋_GB2312"/>
              </w:rPr>
              <w:t>技术参数完全满足或优于招标文件第三章采购需求-1.1.4.1详细技术要求中标注“▲”指标满分15.6分，每有一项不满足扣0.4分，扣完为止； 评审依据：以技术响应偏离表为准，需按要求逐条响应。相同的软硬件设备技术参数不满足的不累计扣分。注：重复产品的参数不进行重复扣分。【重复产品是指相同名称且所有技术参数完全相同的产品，但其中（1）法院专网（专享云接入区）-入侵防御和法院专网（网络边界接入区）-入侵防御为同一类产品（2）24口楼层接入交换机和24口跨网接入交换机为同一类产品（3）汇聚交换机（共15条技术参数）和楼层接入交换机为同一类产品】</w:t>
            </w:r>
          </w:p>
        </w:tc>
        <w:tc>
          <w:tcPr>
            <w:tcW w:type="dxa" w:w="831"/>
          </w:tcPr>
          <w:p>
            <w:pPr>
              <w:pStyle w:val="null3"/>
              <w:jc w:val="right"/>
            </w:pPr>
            <w:r>
              <w:rPr>
                <w:rFonts w:ascii="仿宋_GB2312" w:hAnsi="仿宋_GB2312" w:cs="仿宋_GB2312" w:eastAsia="仿宋_GB2312"/>
              </w:rPr>
              <w:t>15.60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采购包1技术响应表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一般技术参数要求响应</w:t>
            </w:r>
          </w:p>
        </w:tc>
        <w:tc>
          <w:tcPr>
            <w:tcW w:type="dxa" w:w="2492"/>
          </w:tcPr>
          <w:p>
            <w:pPr>
              <w:pStyle w:val="null3"/>
              <w:jc w:val="both"/>
            </w:pPr>
            <w:r>
              <w:rPr>
                <w:rFonts w:ascii="仿宋_GB2312" w:hAnsi="仿宋_GB2312" w:cs="仿宋_GB2312" w:eastAsia="仿宋_GB2312"/>
              </w:rPr>
              <w:t>技术参数完全满足或优于招标文件第三章采购需求-1.1.4.1详细技术要求中非“▲”指标满分6.4分，每有一项不满足扣0.01分，扣完为止。 评审依据：以技术响应偏离表为准，需按要求逐条响应。相同的软硬件设备技术参数不满足的不累计扣分。注：重复产品的参数不进行重复扣分。【重复产品是指相同名称且所有技术参数完全相同的产品，但其中（1）法院专网（专享云接入区）-入侵防御和法院专网（网络边界接入区）-入侵防御为同一类产品（2）24口楼层接入交换机和24口跨网接入交换机为同一类产品（3）汇聚交换机（共15条技术参数）和楼层接入交换机为同一类产品】</w:t>
            </w:r>
          </w:p>
        </w:tc>
        <w:tc>
          <w:tcPr>
            <w:tcW w:type="dxa" w:w="831"/>
          </w:tcPr>
          <w:p>
            <w:pPr>
              <w:pStyle w:val="null3"/>
              <w:jc w:val="right"/>
            </w:pPr>
            <w:r>
              <w:rPr>
                <w:rFonts w:ascii="仿宋_GB2312" w:hAnsi="仿宋_GB2312" w:cs="仿宋_GB2312" w:eastAsia="仿宋_GB2312"/>
              </w:rPr>
              <w:t>6.40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采购包1技术响应表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1、投标人具有：ISO 9001质量管理体系认证证书，得2分。须提供有效期内的资质证书复印件，并加盖投标人公章，否则不得分。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2、投标人具有：ISO 27001信息安全管理体系认证证书，得2分。须提供有效期内的资质证书复印件，并加盖投标人公章，否则不得分。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3、投标人具有：ISO 20000信息技术服务管理体系认证证书，得2分。须提供有效期内的资质证书复印件，并加盖投标人公章，否则不得分。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4、投标人具有：信息系统建设和服务能力等级证书，五级得3分，四级得2分，三级得1分，其他不得分； 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5、投标人具有：ITSS信息技术服务运行维护符合性证书，一级得3分，二级得2分，三级得1分，其他不得分； 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6、投标人具有：CCRC信息安全服务资质证书（信息系统安全集成）,一级得3分，二级得2分，三级得1分，其他不得分； 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7、投标人具有：通信网络安全服务能力证书（风险评估）,三级得3分，二级得2分，一级得1分，其他不得分； 须提供有效期内的资质证书复印件，并加盖投标人公章，否则不得分。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w:t>
            </w:r>
          </w:p>
        </w:tc>
        <w:tc>
          <w:tcPr>
            <w:tcW w:type="dxa" w:w="2492"/>
          </w:tcPr>
          <w:p>
            <w:pPr>
              <w:pStyle w:val="null3"/>
              <w:jc w:val="both"/>
            </w:pPr>
            <w:r>
              <w:rPr>
                <w:rFonts w:ascii="仿宋_GB2312" w:hAnsi="仿宋_GB2312" w:cs="仿宋_GB2312" w:eastAsia="仿宋_GB2312"/>
              </w:rPr>
              <w:t>投标人所响应的对应项为成品软件（智慧庭审应用系统、证券纠纷代表人诉讼服务系统）的，需提供计算机软件著作权登记证书（或厂商授权书），每提供一项得1分，满分2分。（证明资料：提供有效的软件著作权证书或厂商授权书，复印件加盖投标人公章，提供证书不全或不提供均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投标人自2022年1月至今具有已完成的类似项目业绩，每提供一个1.5分，满分3分。（须提供中标（成交）通知书、合同关键页以及验收报告复印件并加盖公章，以验收报告时间为准。[合同关键页包括项目名称、合同主体单位名称、合同主要内容、合同金额、签订日期。]</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一、拟派项目经理（1人）具有： 1、信息系统项目管理师证书，得2分 证明材料：上述人员须提供证书复印件、身份证复印件，并提供所在单位2024年6月以来任意三个月的社保缴费证明，并加盖公章，不提供不得分。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采购包1项目经理委任书及简历表</w:t>
            </w:r>
          </w:p>
        </w:tc>
      </w:tr>
      <w:tr>
        <w:tc>
          <w:tcPr>
            <w:tcW w:type="dxa" w:w="831"/>
            <w:vMerge/>
          </w:tcPr>
          <w:p/>
        </w:tc>
        <w:tc>
          <w:tcPr>
            <w:tcW w:type="dxa" w:w="1661"/>
          </w:tcPr>
          <w:p>
            <w:pPr>
              <w:pStyle w:val="null3"/>
              <w:jc w:val="both"/>
            </w:pPr>
            <w:r>
              <w:rPr>
                <w:rFonts w:ascii="仿宋_GB2312" w:hAnsi="仿宋_GB2312" w:cs="仿宋_GB2312" w:eastAsia="仿宋_GB2312"/>
              </w:rPr>
              <w:t>项目团队实力</w:t>
            </w:r>
          </w:p>
        </w:tc>
        <w:tc>
          <w:tcPr>
            <w:tcW w:type="dxa" w:w="2492"/>
          </w:tcPr>
          <w:p>
            <w:pPr>
              <w:pStyle w:val="null3"/>
              <w:jc w:val="both"/>
            </w:pPr>
            <w:r>
              <w:rPr>
                <w:rFonts w:ascii="仿宋_GB2312" w:hAnsi="仿宋_GB2312" w:cs="仿宋_GB2312" w:eastAsia="仿宋_GB2312"/>
              </w:rPr>
              <w:t>二、拟派技术团队成员（除项目经理外）具有： 1、系统架构设计师证书； 2、系统分析师证书； 每提供1个证书得2分，对于技术团队成员中同一人持有多个证件的只计算一次 证明材料：上述人员须提供证书复印件、身份证复印件，并提供所在单位2024年6月以来任意三个月的社保缴费证明，并加盖公章，不提供不得分。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采购包1拟任本项目人员汇总表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采购包1投标（响应）报价明细表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采购包1投标（响应）报价明细表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残疾人福利性单位声明函 中小企业声明函（货物）（适用采购包1）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需求分析</w:t>
            </w:r>
          </w:p>
        </w:tc>
        <w:tc>
          <w:tcPr>
            <w:tcW w:type="dxa" w:w="2492"/>
          </w:tcPr>
          <w:p>
            <w:pPr>
              <w:pStyle w:val="null3"/>
              <w:jc w:val="both"/>
            </w:pPr>
            <w:r>
              <w:rPr>
                <w:rFonts w:ascii="仿宋_GB2312" w:hAnsi="仿宋_GB2312" w:cs="仿宋_GB2312" w:eastAsia="仿宋_GB2312"/>
              </w:rPr>
              <w:t>根据供应商针对本项目重难点的理解和分析、建设内容要求、对项目各系统的理解、措施评价打分。 （1）能够针对各项建设有专门的对应分析，方案合理，措施特点明确，完全满足采购人的需求，得10分； （2）思路较清晰、执行方案基本完整，基本满足采购人的需求，得8分； （3）思路不清晰、不具体、可行性一般，得6分； （4）不提供不得分。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五项控制</w:t>
            </w:r>
          </w:p>
        </w:tc>
        <w:tc>
          <w:tcPr>
            <w:tcW w:type="dxa" w:w="2492"/>
          </w:tcPr>
          <w:p>
            <w:pPr>
              <w:pStyle w:val="null3"/>
              <w:jc w:val="both"/>
            </w:pPr>
            <w:r>
              <w:rPr>
                <w:rFonts w:ascii="仿宋_GB2312" w:hAnsi="仿宋_GB2312" w:cs="仿宋_GB2312" w:eastAsia="仿宋_GB2312"/>
              </w:rPr>
              <w:t>根据项目监理服务方案中对应质量、进度、投资、安全管理、知识产权五项控制评分： （1）五项控制内容细化完整、全面性、针对性强，得6分； （2）五项控制内容较完整、较全面性、比较有针对性，得5分； （3）五项控制内容不完整，不全面，没有针对性，得4分； （4）不提供不得分。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服务方案</w:t>
            </w:r>
          </w:p>
        </w:tc>
        <w:tc>
          <w:tcPr>
            <w:tcW w:type="dxa" w:w="2492"/>
          </w:tcPr>
          <w:p>
            <w:pPr>
              <w:pStyle w:val="null3"/>
              <w:jc w:val="both"/>
            </w:pPr>
            <w:r>
              <w:rPr>
                <w:rFonts w:ascii="仿宋_GB2312" w:hAnsi="仿宋_GB2312" w:cs="仿宋_GB2312" w:eastAsia="仿宋_GB2312"/>
              </w:rPr>
              <w:t>根据项目监理服务方案中对合同管理、信息管理、组织沟通协调部分的内容评分： （1）合同管理、信息管理、组织沟通协调的完整描述内容完整，全面性强，得8分； （2）合同管理、信息管理、组织沟通协调的完整描述内容比较完整和全面，得6分； （3）合同管理、信息管理、组织沟通协调的完整描述内容的完整性全面性一般，得3分；（4）不提供不得分。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承诺及合理化建议</w:t>
            </w:r>
          </w:p>
        </w:tc>
        <w:tc>
          <w:tcPr>
            <w:tcW w:type="dxa" w:w="2492"/>
          </w:tcPr>
          <w:p>
            <w:pPr>
              <w:pStyle w:val="null3"/>
              <w:jc w:val="both"/>
            </w:pPr>
            <w:r>
              <w:rPr>
                <w:rFonts w:ascii="仿宋_GB2312" w:hAnsi="仿宋_GB2312" w:cs="仿宋_GB2312" w:eastAsia="仿宋_GB2312"/>
              </w:rPr>
              <w:t>监理服务响应、服务承诺和针对本项目的合理化建议，合理化建议应包括项目管理合理化建议和项目建设内容合理化建议。根据内容进行综合打分。 （1）保障措施有力，承诺明确详细完整，合理化建议内容可行得9分； （2）服务措施及服务承诺、合理化建议一般得7分； （3）响应内容不完整，相关服务较差得5分； （4）不提供不得分。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监理各阶段措施及方法</w:t>
            </w:r>
          </w:p>
        </w:tc>
        <w:tc>
          <w:tcPr>
            <w:tcW w:type="dxa" w:w="2492"/>
          </w:tcPr>
          <w:p>
            <w:pPr>
              <w:pStyle w:val="null3"/>
              <w:jc w:val="both"/>
            </w:pPr>
            <w:r>
              <w:rPr>
                <w:rFonts w:ascii="仿宋_GB2312" w:hAnsi="仿宋_GB2312" w:cs="仿宋_GB2312" w:eastAsia="仿宋_GB2312"/>
              </w:rPr>
              <w:t>根据监理各阶段（准备阶段、项目实施阶段、测试阶段、试运行阶段、验收阶段）采用措施及方法科学综合打分。 （1）措施及方法合理可行，得8分； （2）措施及方法基本可行，得6分； （3）措施及方法一般，得4分 （4）不提供不得分。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项目监理规划细则及编制</w:t>
            </w:r>
          </w:p>
        </w:tc>
        <w:tc>
          <w:tcPr>
            <w:tcW w:type="dxa" w:w="2492"/>
          </w:tcPr>
          <w:p>
            <w:pPr>
              <w:pStyle w:val="null3"/>
              <w:jc w:val="both"/>
            </w:pPr>
            <w:r>
              <w:rPr>
                <w:rFonts w:ascii="仿宋_GB2312" w:hAnsi="仿宋_GB2312" w:cs="仿宋_GB2312" w:eastAsia="仿宋_GB2312"/>
              </w:rPr>
              <w:t>根据项目监理规划细则及编制方案进行综合打分：（1）规划细则编制针对性强且合理可行、管理内容齐全，得9分； （2）规划细则编制针对性较强、管理内容基本完整，得7分； （3）规划细则编制存在不合理性、管理内容不完整得5分； （4）不提供不得分。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1、供应商具有ISO9001质量管理体系认证（认证范围须包括信息系统工程监理），得2分（证明资料：须提供有效期内证书的原件扫描件加盖公章，不提供不得分）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2、ISO14001环境管理体系认证（认证范围须包括信息系统工程监理），得2分（证明资料：须提供有效期内证书的原件扫描件加盖公章，不提供不得分）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3、ISO45001职业健康安全管理体系认证（认证范围须包括信息系统工程监理），得2分（证明资料：须提供有效期内证书的原件扫描件加盖公章，不提供不得分）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4、ISO27001信息安全管理体系认证（认证范围须包括信息系统工程监理），得2分（证明资料：须提供有效期内证书的原件扫描件加盖公章，不提供不得分）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5、ISO20000信息技术服务管理体系认证（认证范围须包括信息系统工程监理），得2分（证明资料：须提供有效期内证书的原件扫描件加盖公章，不提供不得分）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公司信息化管理水平</w:t>
            </w:r>
          </w:p>
        </w:tc>
        <w:tc>
          <w:tcPr>
            <w:tcW w:type="dxa" w:w="2492"/>
          </w:tcPr>
          <w:p>
            <w:pPr>
              <w:pStyle w:val="null3"/>
              <w:jc w:val="both"/>
            </w:pPr>
            <w:r>
              <w:rPr>
                <w:rFonts w:ascii="仿宋_GB2312" w:hAnsi="仿宋_GB2312" w:cs="仿宋_GB2312" w:eastAsia="仿宋_GB2312"/>
              </w:rPr>
              <w:t>供应商具有监理业务管理系统、业务文档管理系统、绩效管理系统、项目合同管理系统、项目档案管理系统自主知识产权的系统软件，有一项得1分，满分5分。（提供相关证明材料加盖公章）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供应商自2021年1月1日以来具有政务信息化监理服务合同案例，每个合同得2分，同一项目签订多个合同按1个计算，满分12分（须提供合同关键页，关键页需体现合同内容、签署页，时间以合同签订时间为准，同一项目签订多个合同按1个计算，加盖投标人公章，提供信息不完整或不提供均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jc w:val="both"/>
            </w:pPr>
            <w:r>
              <w:rPr>
                <w:rFonts w:ascii="仿宋_GB2312" w:hAnsi="仿宋_GB2312" w:cs="仿宋_GB2312" w:eastAsia="仿宋_GB2312"/>
              </w:rPr>
              <w:t>项目团队配置</w:t>
            </w:r>
          </w:p>
        </w:tc>
        <w:tc>
          <w:tcPr>
            <w:tcW w:type="dxa" w:w="2492"/>
          </w:tcPr>
          <w:p>
            <w:pPr>
              <w:pStyle w:val="null3"/>
              <w:jc w:val="both"/>
            </w:pPr>
            <w:r>
              <w:rPr>
                <w:rFonts w:ascii="仿宋_GB2312" w:hAnsi="仿宋_GB2312" w:cs="仿宋_GB2312" w:eastAsia="仿宋_GB2312"/>
              </w:rPr>
              <w:t>总监理工程师（1人）具有信息系统项目管理师或PMP资格证书的，得3分。本项最高3分。 证明材料：上述人员须提供证书复印件、身份证复印件，并提供所在单位2024年6月以来任意三个月的社保缴费证明，并加盖公章，不提供不得分。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采购包2总监理工程师委任书及简历表</w:t>
            </w:r>
          </w:p>
        </w:tc>
      </w:tr>
      <w:tr>
        <w:tc>
          <w:tcPr>
            <w:tcW w:type="dxa" w:w="831"/>
            <w:vMerge/>
          </w:tcPr>
          <w:p/>
        </w:tc>
        <w:tc>
          <w:tcPr>
            <w:tcW w:type="dxa" w:w="1661"/>
          </w:tcPr>
          <w:p>
            <w:pPr>
              <w:pStyle w:val="null3"/>
              <w:jc w:val="both"/>
            </w:pPr>
            <w:r>
              <w:rPr>
                <w:rFonts w:ascii="仿宋_GB2312" w:hAnsi="仿宋_GB2312" w:cs="仿宋_GB2312" w:eastAsia="仿宋_GB2312"/>
              </w:rPr>
              <w:t>项目团队配置</w:t>
            </w:r>
          </w:p>
        </w:tc>
        <w:tc>
          <w:tcPr>
            <w:tcW w:type="dxa" w:w="2492"/>
          </w:tcPr>
          <w:p>
            <w:pPr>
              <w:pStyle w:val="null3"/>
              <w:jc w:val="both"/>
            </w:pPr>
            <w:r>
              <w:rPr>
                <w:rFonts w:ascii="仿宋_GB2312" w:hAnsi="仿宋_GB2312" w:cs="仿宋_GB2312" w:eastAsia="仿宋_GB2312"/>
              </w:rPr>
              <w:t>拟投入本项目的监理工程师（除总监理工程师外）：具备软考中级及以上证书的或注册信息安全专业人员CISP(CISO或CISE)资质的，每提供一人得2.5分，同一人员具备多个证书的不重复计分，本小项最高10分。 证明材料：上述人员须提供证书复印件、身份证复印件，并提供所在单位2024年6月以来任意三个月的社保缴费证明，并加盖公章，不提供不得分。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采购包2拟任本项目人员汇总表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采购包2投标（响应）报价明细表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采购包2投标（响应）报价明细表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中小企业声明函(工程、服务)（适用采购包2）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详见附件：采购包1投标（响应）报价明细表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HNZC2025-018-001.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海南智慧法院综合办公办案平台（一期）项目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海南智慧法院综合办公办案平台（一期）项目（采购包1）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593"/>
        <w:gridCol w:w="593"/>
        <w:gridCol w:w="593"/>
        <w:gridCol w:w="593"/>
        <w:gridCol w:w="593"/>
        <w:gridCol w:w="593"/>
        <w:gridCol w:w="593"/>
        <w:gridCol w:w="593"/>
        <w:gridCol w:w="593"/>
        <w:gridCol w:w="593"/>
        <w:gridCol w:w="593"/>
        <w:gridCol w:w="593"/>
        <w:gridCol w:w="593"/>
        <w:gridCol w:w="593"/>
      </w:tblGrid>
      <w:tr>
        <w:tc>
          <w:tcPr>
            <w:tcW w:type="dxa" w:w="593"/>
          </w:tcPr>
          <w:p>
            <w:pPr>
              <w:pStyle w:val="null3"/>
              <w:jc w:val="left"/>
            </w:pPr>
            <w:r>
              <w:rPr>
                <w:rFonts w:ascii="仿宋_GB2312" w:hAnsi="仿宋_GB2312" w:cs="仿宋_GB2312" w:eastAsia="仿宋_GB2312"/>
              </w:rPr>
              <w:t xml:space="preserve"> 序号</w:t>
            </w:r>
          </w:p>
        </w:tc>
        <w:tc>
          <w:tcPr>
            <w:tcW w:type="dxa" w:w="593"/>
          </w:tcPr>
          <w:p>
            <w:pPr>
              <w:pStyle w:val="null3"/>
              <w:jc w:val="left"/>
            </w:pPr>
            <w:r>
              <w:rPr>
                <w:rFonts w:ascii="仿宋_GB2312" w:hAnsi="仿宋_GB2312" w:cs="仿宋_GB2312" w:eastAsia="仿宋_GB2312"/>
              </w:rPr>
              <w:t xml:space="preserve"> 报价内容</w:t>
            </w:r>
          </w:p>
        </w:tc>
        <w:tc>
          <w:tcPr>
            <w:tcW w:type="dxa" w:w="593"/>
          </w:tcPr>
          <w:p>
            <w:pPr>
              <w:pStyle w:val="null3"/>
              <w:jc w:val="left"/>
            </w:pPr>
            <w:r>
              <w:rPr>
                <w:rFonts w:ascii="仿宋_GB2312" w:hAnsi="仿宋_GB2312" w:cs="仿宋_GB2312" w:eastAsia="仿宋_GB2312"/>
              </w:rPr>
              <w:t xml:space="preserve"> 数量</w:t>
            </w:r>
          </w:p>
        </w:tc>
        <w:tc>
          <w:tcPr>
            <w:tcW w:type="dxa" w:w="593"/>
          </w:tcPr>
          <w:p>
            <w:pPr>
              <w:pStyle w:val="null3"/>
              <w:jc w:val="left"/>
            </w:pPr>
            <w:r>
              <w:rPr>
                <w:rFonts w:ascii="仿宋_GB2312" w:hAnsi="仿宋_GB2312" w:cs="仿宋_GB2312" w:eastAsia="仿宋_GB2312"/>
              </w:rPr>
              <w:t xml:space="preserve"> 计量单位</w:t>
            </w:r>
          </w:p>
        </w:tc>
        <w:tc>
          <w:tcPr>
            <w:tcW w:type="dxa" w:w="593"/>
          </w:tcPr>
          <w:p>
            <w:pPr>
              <w:pStyle w:val="null3"/>
              <w:jc w:val="left"/>
            </w:pPr>
            <w:r>
              <w:rPr>
                <w:rFonts w:ascii="仿宋_GB2312" w:hAnsi="仿宋_GB2312" w:cs="仿宋_GB2312" w:eastAsia="仿宋_GB2312"/>
              </w:rPr>
              <w:t xml:space="preserve"> 最高限价</w:t>
            </w:r>
          </w:p>
        </w:tc>
        <w:tc>
          <w:tcPr>
            <w:tcW w:type="dxa" w:w="593"/>
          </w:tcPr>
          <w:p>
            <w:pPr>
              <w:pStyle w:val="null3"/>
              <w:jc w:val="left"/>
            </w:pPr>
            <w:r>
              <w:rPr>
                <w:rFonts w:ascii="仿宋_GB2312" w:hAnsi="仿宋_GB2312" w:cs="仿宋_GB2312" w:eastAsia="仿宋_GB2312"/>
              </w:rPr>
              <w:t xml:space="preserve"> 响应报价</w:t>
            </w:r>
          </w:p>
        </w:tc>
        <w:tc>
          <w:tcPr>
            <w:tcW w:type="dxa" w:w="593"/>
          </w:tcPr>
          <w:p>
            <w:pPr>
              <w:pStyle w:val="null3"/>
              <w:jc w:val="left"/>
            </w:pPr>
            <w:r>
              <w:rPr>
                <w:rFonts w:ascii="仿宋_GB2312" w:hAnsi="仿宋_GB2312" w:cs="仿宋_GB2312" w:eastAsia="仿宋_GB2312"/>
              </w:rPr>
              <w:t xml:space="preserve"> 单价</w:t>
            </w:r>
          </w:p>
        </w:tc>
        <w:tc>
          <w:tcPr>
            <w:tcW w:type="dxa" w:w="593"/>
          </w:tcPr>
          <w:p>
            <w:pPr>
              <w:pStyle w:val="null3"/>
              <w:jc w:val="left"/>
            </w:pPr>
            <w:r>
              <w:rPr>
                <w:rFonts w:ascii="仿宋_GB2312" w:hAnsi="仿宋_GB2312" w:cs="仿宋_GB2312" w:eastAsia="仿宋_GB2312"/>
              </w:rPr>
              <w:t xml:space="preserve"> 价款形式</w:t>
            </w:r>
          </w:p>
        </w:tc>
        <w:tc>
          <w:tcPr>
            <w:tcW w:type="dxa" w:w="593"/>
          </w:tcPr>
          <w:p>
            <w:pPr>
              <w:pStyle w:val="null3"/>
              <w:jc w:val="left"/>
            </w:pPr>
            <w:r>
              <w:rPr>
                <w:rFonts w:ascii="仿宋_GB2312" w:hAnsi="仿宋_GB2312" w:cs="仿宋_GB2312" w:eastAsia="仿宋_GB2312"/>
              </w:rPr>
              <w:t xml:space="preserve"> 产地</w:t>
            </w:r>
          </w:p>
        </w:tc>
        <w:tc>
          <w:tcPr>
            <w:tcW w:type="dxa" w:w="593"/>
          </w:tcPr>
          <w:p>
            <w:pPr>
              <w:pStyle w:val="null3"/>
              <w:jc w:val="left"/>
            </w:pPr>
            <w:r>
              <w:rPr>
                <w:rFonts w:ascii="仿宋_GB2312" w:hAnsi="仿宋_GB2312" w:cs="仿宋_GB2312" w:eastAsia="仿宋_GB2312"/>
              </w:rPr>
              <w:t xml:space="preserve"> 品牌</w:t>
            </w:r>
          </w:p>
        </w:tc>
        <w:tc>
          <w:tcPr>
            <w:tcW w:type="dxa" w:w="593"/>
          </w:tcPr>
          <w:p>
            <w:pPr>
              <w:pStyle w:val="null3"/>
              <w:jc w:val="left"/>
            </w:pPr>
            <w:r>
              <w:rPr>
                <w:rFonts w:ascii="仿宋_GB2312" w:hAnsi="仿宋_GB2312" w:cs="仿宋_GB2312" w:eastAsia="仿宋_GB2312"/>
              </w:rPr>
              <w:t xml:space="preserve"> 规格</w:t>
            </w:r>
          </w:p>
        </w:tc>
        <w:tc>
          <w:tcPr>
            <w:tcW w:type="dxa" w:w="593"/>
          </w:tcPr>
          <w:p>
            <w:pPr>
              <w:pStyle w:val="null3"/>
              <w:jc w:val="left"/>
            </w:pPr>
            <w:r>
              <w:rPr>
                <w:rFonts w:ascii="仿宋_GB2312" w:hAnsi="仿宋_GB2312" w:cs="仿宋_GB2312" w:eastAsia="仿宋_GB2312"/>
              </w:rPr>
              <w:t xml:space="preserve"> 工期</w:t>
            </w:r>
          </w:p>
        </w:tc>
        <w:tc>
          <w:tcPr>
            <w:tcW w:type="dxa" w:w="593"/>
          </w:tcPr>
          <w:p>
            <w:pPr>
              <w:pStyle w:val="null3"/>
              <w:jc w:val="left"/>
            </w:pPr>
            <w:r>
              <w:rPr>
                <w:rFonts w:ascii="仿宋_GB2312" w:hAnsi="仿宋_GB2312" w:cs="仿宋_GB2312" w:eastAsia="仿宋_GB2312"/>
              </w:rPr>
              <w:t xml:space="preserve"> 交货地点</w:t>
            </w:r>
          </w:p>
        </w:tc>
        <w:tc>
          <w:tcPr>
            <w:tcW w:type="dxa" w:w="593"/>
          </w:tcPr>
          <w:p>
            <w:pPr>
              <w:pStyle w:val="null3"/>
              <w:jc w:val="left"/>
            </w:pPr>
            <w:r>
              <w:rPr>
                <w:rFonts w:ascii="仿宋_GB2312" w:hAnsi="仿宋_GB2312" w:cs="仿宋_GB2312" w:eastAsia="仿宋_GB2312"/>
              </w:rPr>
              <w:t xml:space="preserve"> 备注</w:t>
            </w:r>
          </w:p>
        </w:tc>
      </w:tr>
      <w:tr>
        <w:tc>
          <w:tcPr>
            <w:tcW w:type="dxa" w:w="593"/>
          </w:tcPr>
          <w:p>
            <w:pPr>
              <w:pStyle w:val="null3"/>
              <w:jc w:val="left"/>
            </w:pPr>
            <w:r>
              <w:rPr>
                <w:rFonts w:ascii="仿宋_GB2312" w:hAnsi="仿宋_GB2312" w:cs="仿宋_GB2312" w:eastAsia="仿宋_GB2312"/>
              </w:rPr>
              <w:t xml:space="preserve"> 1</w:t>
            </w:r>
          </w:p>
        </w:tc>
        <w:tc>
          <w:tcPr>
            <w:tcW w:type="dxa" w:w="593"/>
          </w:tcPr>
          <w:p>
            <w:pPr>
              <w:pStyle w:val="null3"/>
              <w:jc w:val="left"/>
            </w:pPr>
            <w:r>
              <w:rPr>
                <w:rFonts w:ascii="仿宋_GB2312" w:hAnsi="仿宋_GB2312" w:cs="仿宋_GB2312" w:eastAsia="仿宋_GB2312"/>
              </w:rPr>
              <w:t xml:space="preserve"> 海南智慧法院综合办公办案平台（一期）项目</w:t>
            </w:r>
          </w:p>
        </w:tc>
        <w:tc>
          <w:tcPr>
            <w:tcW w:type="dxa" w:w="593"/>
          </w:tcPr>
          <w:p>
            <w:pPr>
              <w:pStyle w:val="null3"/>
              <w:jc w:val="left"/>
            </w:pPr>
            <w:r>
              <w:rPr>
                <w:rFonts w:ascii="仿宋_GB2312" w:hAnsi="仿宋_GB2312" w:cs="仿宋_GB2312" w:eastAsia="仿宋_GB2312"/>
              </w:rPr>
              <w:t xml:space="preserve"> 1.00</w:t>
            </w:r>
          </w:p>
        </w:tc>
        <w:tc>
          <w:tcPr>
            <w:tcW w:type="dxa" w:w="593"/>
          </w:tcPr>
          <w:p>
            <w:pPr>
              <w:pStyle w:val="null3"/>
              <w:jc w:val="left"/>
            </w:pPr>
            <w:r>
              <w:rPr>
                <w:rFonts w:ascii="仿宋_GB2312" w:hAnsi="仿宋_GB2312" w:cs="仿宋_GB2312" w:eastAsia="仿宋_GB2312"/>
              </w:rPr>
              <w:t xml:space="preserve"> 套</w:t>
            </w:r>
          </w:p>
        </w:tc>
        <w:tc>
          <w:tcPr>
            <w:tcW w:type="dxa" w:w="593"/>
          </w:tcPr>
          <w:p>
            <w:pPr>
              <w:pStyle w:val="null3"/>
              <w:jc w:val="left"/>
            </w:pPr>
            <w:r>
              <w:rPr>
                <w:rFonts w:ascii="仿宋_GB2312" w:hAnsi="仿宋_GB2312" w:cs="仿宋_GB2312" w:eastAsia="仿宋_GB2312"/>
              </w:rPr>
              <w:t xml:space="preserve"> 12796753.29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593"/>
          </w:tcPr>
          <w:p>
            <w:pPr>
              <w:pStyle w:val="null3"/>
              <w:jc w:val="left"/>
            </w:pPr>
            <w:r>
              <w:rPr>
                <w:rFonts w:ascii="仿宋_GB2312" w:hAnsi="仿宋_GB2312" w:cs="仿宋_GB2312" w:eastAsia="仿宋_GB2312"/>
              </w:rPr>
              <w:t xml:space="preserve"> {=响应报价/数量}</w:t>
            </w:r>
          </w:p>
        </w:tc>
        <w:tc>
          <w:tcPr>
            <w:tcW w:type="dxa" w:w="593"/>
          </w:tcPr>
          <w:p>
            <w:pPr>
              <w:pStyle w:val="null3"/>
              <w:jc w:val="left"/>
            </w:pPr>
            <w:r>
              <w:rPr>
                <w:rFonts w:ascii="仿宋_GB2312" w:hAnsi="仿宋_GB2312" w:cs="仿宋_GB2312" w:eastAsia="仿宋_GB2312"/>
              </w:rPr>
              <w:t xml:space="preserve"> 总价</w:t>
            </w:r>
          </w:p>
        </w:tc>
        <w:tc>
          <w:tcPr>
            <w:tcW w:type="dxa" w:w="593"/>
          </w:tcPr>
          <w:p>
            <w:pPr>
              <w:pStyle w:val="null3"/>
              <w:jc w:val="left"/>
            </w:pPr>
          </w:p>
        </w:tc>
        <w:tc>
          <w:tcPr>
            <w:tcW w:type="dxa" w:w="593"/>
          </w:tcPr>
          <w:p>
            <w:pPr>
              <w:pStyle w:val="null3"/>
              <w:jc w:val="left"/>
            </w:pPr>
            <w:r>
              <w:rPr>
                <w:rFonts w:ascii="仿宋_GB2312" w:hAnsi="仿宋_GB2312" w:cs="仿宋_GB2312" w:eastAsia="仿宋_GB2312"/>
              </w:rPr>
              <w:t xml:space="preserve"> {供应商响应}</w:t>
            </w:r>
          </w:p>
        </w:tc>
        <w:tc>
          <w:tcPr>
            <w:tcW w:type="dxa" w:w="593"/>
          </w:tcPr>
          <w:p>
            <w:pPr>
              <w:pStyle w:val="null3"/>
              <w:jc w:val="left"/>
            </w:pPr>
          </w:p>
        </w:tc>
        <w:tc>
          <w:tcPr>
            <w:tcW w:type="dxa" w:w="593"/>
          </w:tcPr>
          <w:p/>
        </w:tc>
        <w:tc>
          <w:tcPr>
            <w:tcW w:type="dxa" w:w="593"/>
          </w:tcPr>
          <w:p/>
        </w:tc>
        <w:tc>
          <w:tcPr>
            <w:tcW w:type="dxa" w:w="593"/>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备注：1、因智慧云系统设置问题，投标人在开标（报价）一览表中“响应报价”和“单价”仅填报本采购包的总报价</w:t>
      </w:r>
    </w:p>
    <w:p>
      <w:pPr>
        <w:pStyle w:val="null3"/>
        <w:jc w:val="left"/>
      </w:pPr>
      <w:r>
        <w:rPr>
          <w:rFonts w:ascii="仿宋_GB2312" w:hAnsi="仿宋_GB2312" w:cs="仿宋_GB2312" w:eastAsia="仿宋_GB2312"/>
        </w:rPr>
        <w:t>2、因智慧云系统设置问题，投标人在开标（报价）一览表中“产地”只能选填一个，请选填“法院专网（专享云接入区）-入侵防御”的产地。</w:t>
      </w:r>
    </w:p>
    <w:p>
      <w:pPr>
        <w:pStyle w:val="null3"/>
        <w:jc w:val="left"/>
      </w:pPr>
      <w:r>
        <w:rPr>
          <w:rFonts w:ascii="仿宋_GB2312" w:hAnsi="仿宋_GB2312" w:cs="仿宋_GB2312" w:eastAsia="仿宋_GB2312"/>
        </w:rPr>
        <w:t>3、投标人在开标（报价）一览表中“品牌”“规格”栏，请填写“详见采购包1投标（响应）报价明细表”</w:t>
      </w:r>
    </w:p>
    <w:p>
      <w:pPr>
        <w:pStyle w:val="null3"/>
        <w:jc w:val="left"/>
      </w:pPr>
      <w:r>
        <w:rPr>
          <w:rFonts w:ascii="仿宋_GB2312" w:hAnsi="仿宋_GB2312" w:cs="仿宋_GB2312" w:eastAsia="仿宋_GB2312"/>
        </w:rPr>
        <w:t>4.投标人在开标（报价）一览表中“备注”栏，请填写“具体产品的单价、产地、品牌及规格详见采购包1投标（响应）报价明细表”</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详见附件：采购包2投标（响应）报价明细表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HNZC2025-018-001.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海南智慧法院综合办公办案平台（一期）项目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海南智慧法院综合办公办案平台（一期）项目监理服务（采购包2）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服务期限</w:t>
            </w:r>
          </w:p>
        </w:tc>
        <w:tc>
          <w:tcPr>
            <w:tcW w:type="dxa" w:w="1038"/>
          </w:tcPr>
          <w:p>
            <w:pPr>
              <w:pStyle w:val="null3"/>
              <w:jc w:val="left"/>
            </w:pPr>
            <w:r>
              <w:rPr>
                <w:rFonts w:ascii="仿宋_GB2312" w:hAnsi="仿宋_GB2312" w:cs="仿宋_GB2312" w:eastAsia="仿宋_GB2312"/>
              </w:rPr>
              <w:t xml:space="preserve"> 服务地点</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海南智慧法院综合办公办案平台（一期）项目监理服务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159282.38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详见附件：采购包1商务响应表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详见附件：采购包1技术响应表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详见附件：中小企业声明函（货物）（适用采购包1）</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详见附件：满足第二十二条规定的承诺函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详见附件：采购包1项目经理委任书及简历表</w:t>
      </w:r>
    </w:p>
    <w:p>
      <w:pPr>
        <w:pStyle w:val="null3"/>
        <w:ind w:firstLine="960"/>
        <w:jc w:val="left"/>
      </w:pPr>
      <w:r>
        <w:rPr>
          <w:rFonts w:ascii="仿宋_GB2312" w:hAnsi="仿宋_GB2312" w:cs="仿宋_GB2312" w:eastAsia="仿宋_GB2312"/>
        </w:rPr>
        <w:t>详见附件：采购包1拟任本项目人员汇总表</w:t>
      </w:r>
    </w:p>
    <w:p>
      <w:pPr>
        <w:pStyle w:val="null3"/>
        <w:ind w:firstLine="960"/>
        <w:jc w:val="left"/>
      </w:pPr>
      <w:r>
        <w:rPr>
          <w:rFonts w:ascii="仿宋_GB2312" w:hAnsi="仿宋_GB2312" w:cs="仿宋_GB2312" w:eastAsia="仿宋_GB2312"/>
        </w:rPr>
        <w:t>详见附件：采购包2总监理工程师委任书及简历表</w:t>
      </w:r>
    </w:p>
    <w:p>
      <w:pPr>
        <w:pStyle w:val="null3"/>
        <w:ind w:firstLine="960"/>
        <w:jc w:val="left"/>
      </w:pPr>
      <w:r>
        <w:rPr>
          <w:rFonts w:ascii="仿宋_GB2312" w:hAnsi="仿宋_GB2312" w:cs="仿宋_GB2312" w:eastAsia="仿宋_GB2312"/>
        </w:rPr>
        <w:t>详见附件：采购包2拟任本项目人员汇总表</w:t>
      </w:r>
    </w:p>
    <w:p>
      <w:pPr>
        <w:pStyle w:val="null3"/>
        <w:ind w:firstLine="960"/>
        <w:jc w:val="left"/>
      </w:pPr>
      <w:r>
        <w:rPr>
          <w:rFonts w:ascii="仿宋_GB2312" w:hAnsi="仿宋_GB2312" w:cs="仿宋_GB2312" w:eastAsia="仿宋_GB2312"/>
        </w:rPr>
        <w:t>详见附件：供应商类似项目业绩一览表</w:t>
      </w:r>
    </w:p>
    <w:p>
      <w:pPr>
        <w:pStyle w:val="null3"/>
        <w:ind w:firstLine="960"/>
        <w:jc w:val="left"/>
      </w:pPr>
      <w:r>
        <w:rPr>
          <w:rFonts w:ascii="仿宋_GB2312" w:hAnsi="仿宋_GB2312" w:cs="仿宋_GB2312" w:eastAsia="仿宋_GB2312"/>
        </w:rPr>
        <w:t>详见附件：政府采购活动前三年内无环保类行政处罚记录声明函</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详见附件：满足第二十二条规定的承诺函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详见附件：信用查询</w:t>
      </w:r>
    </w:p>
    <w:p>
      <w:pPr>
        <w:pStyle w:val="null3"/>
        <w:ind w:firstLine="960"/>
        <w:jc w:val="left"/>
      </w:pPr>
      <w:r>
        <w:rPr>
          <w:rFonts w:ascii="仿宋_GB2312" w:hAnsi="仿宋_GB2312" w:cs="仿宋_GB2312" w:eastAsia="仿宋_GB2312"/>
        </w:rPr>
        <w:t>详见附件：中小企业声明函(工程、服务)（适用采购包2）</w:t>
      </w:r>
    </w:p>
    <w:p>
      <w:pPr>
        <w:pStyle w:val="null3"/>
        <w:ind w:firstLine="960"/>
        <w:jc w:val="left"/>
      </w:pPr>
      <w:r>
        <w:rPr>
          <w:rFonts w:ascii="仿宋_GB2312" w:hAnsi="仿宋_GB2312" w:cs="仿宋_GB2312" w:eastAsia="仿宋_GB2312"/>
        </w:rPr>
        <w:t>详见附件：采购包2技术响应表</w:t>
      </w:r>
    </w:p>
    <w:p>
      <w:pPr>
        <w:pStyle w:val="null3"/>
        <w:ind w:firstLine="960"/>
        <w:jc w:val="left"/>
      </w:pPr>
      <w:r>
        <w:rPr>
          <w:rFonts w:ascii="仿宋_GB2312" w:hAnsi="仿宋_GB2312" w:cs="仿宋_GB2312" w:eastAsia="仿宋_GB2312"/>
        </w:rPr>
        <w:t>详见附件：采购包2商务响应表</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