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80" w:line="222" w:lineRule="auto"/>
        <w:ind w:left="3181"/>
        <w:outlineLvl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1" w:name="_GoBack"/>
      <w:r>
        <w:rPr>
          <w:rFonts w:hint="eastAsia" w:ascii="宋体" w:hAnsi="宋体" w:cs="宋体"/>
          <w:b/>
          <w:bCs/>
          <w:color w:val="auto"/>
          <w:spacing w:val="-2"/>
          <w:sz w:val="28"/>
          <w:szCs w:val="28"/>
          <w:highlight w:val="none"/>
          <w:lang w:val="en-US" w:eastAsia="zh-CN"/>
        </w:rPr>
        <w:t>采购包1</w:t>
      </w:r>
      <w:r>
        <w:rPr>
          <w:rFonts w:hint="eastAsia" w:ascii="宋体" w:hAnsi="宋体" w:eastAsia="宋体" w:cs="宋体"/>
          <w:b/>
          <w:bCs/>
          <w:color w:val="auto"/>
          <w:spacing w:val="-2"/>
          <w:sz w:val="28"/>
          <w:szCs w:val="28"/>
          <w:highlight w:val="none"/>
        </w:rPr>
        <w:t>技术响应表</w:t>
      </w:r>
    </w:p>
    <w:bookmarkEnd w:id="1"/>
    <w:p>
      <w:pPr>
        <w:pStyle w:val="2"/>
        <w:spacing w:before="75" w:line="353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说明：投标人必须仔细阅读招标文件“第三章采购需求”要求在《技术响应</w:t>
      </w:r>
      <w:r>
        <w:rPr>
          <w:rFonts w:hint="eastAsia" w:ascii="宋体" w:hAnsi="宋体" w:eastAsia="宋体" w:cs="宋体"/>
          <w:color w:val="auto"/>
          <w:spacing w:val="14"/>
          <w:sz w:val="24"/>
          <w:szCs w:val="24"/>
          <w:highlight w:val="none"/>
        </w:rPr>
        <w:t>表》中需要进行响应的技术条款，并对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“第三章采购需求”</w:t>
      </w:r>
      <w:r>
        <w:rPr>
          <w:rFonts w:hint="eastAsia" w:ascii="宋体" w:hAnsi="宋体" w:cs="宋体"/>
          <w:color w:val="auto"/>
          <w:spacing w:val="6"/>
          <w:sz w:val="24"/>
          <w:szCs w:val="24"/>
          <w:highlight w:val="none"/>
          <w:lang w:val="en-US" w:eastAsia="zh-CN"/>
        </w:rPr>
        <w:t>中1.1技术要求中所有</w:t>
      </w:r>
      <w:r>
        <w:rPr>
          <w:rFonts w:hint="eastAsia" w:ascii="宋体" w:hAnsi="宋体" w:eastAsia="宋体" w:cs="宋体"/>
          <w:color w:val="auto"/>
          <w:spacing w:val="14"/>
          <w:sz w:val="24"/>
          <w:szCs w:val="24"/>
          <w:highlight w:val="none"/>
        </w:rPr>
        <w:t>条款的响应情况</w:t>
      </w:r>
      <w:r>
        <w:rPr>
          <w:rFonts w:hint="eastAsia" w:ascii="宋体" w:hAnsi="宋体" w:eastAsia="宋体" w:cs="宋体"/>
          <w:color w:val="auto"/>
          <w:spacing w:val="13"/>
          <w:sz w:val="24"/>
          <w:szCs w:val="24"/>
          <w:highlight w:val="none"/>
        </w:rPr>
        <w:t>逐项列入该表，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highlight w:val="none"/>
        </w:rPr>
        <w:t>以及对其响应情况进行说明；未列入该表的视作投标人不响应。</w:t>
      </w:r>
    </w:p>
    <w:p>
      <w:pPr>
        <w:pStyle w:val="2"/>
        <w:spacing w:before="68" w:line="357" w:lineRule="auto"/>
        <w:ind w:left="128" w:right="250" w:firstLine="49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11"/>
          <w:sz w:val="24"/>
          <w:szCs w:val="24"/>
          <w:highlight w:val="none"/>
        </w:rPr>
        <w:t>投标人必须根据标的的实际情况如实填写，评标委员会如发现有虚假描述</w:t>
      </w:r>
      <w:r>
        <w:rPr>
          <w:rFonts w:hint="eastAsia" w:ascii="宋体" w:hAnsi="宋体" w:eastAsia="宋体" w:cs="宋体"/>
          <w:b/>
          <w:bCs/>
          <w:color w:val="auto"/>
          <w:spacing w:val="3"/>
          <w:sz w:val="24"/>
          <w:szCs w:val="24"/>
          <w:highlight w:val="none"/>
        </w:rPr>
        <w:t>的，该投标文件作无效投标文件处理。</w:t>
      </w:r>
    </w:p>
    <w:tbl>
      <w:tblPr>
        <w:tblStyle w:val="7"/>
        <w:tblW w:w="831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4"/>
        <w:gridCol w:w="767"/>
        <w:gridCol w:w="1756"/>
        <w:gridCol w:w="1480"/>
        <w:gridCol w:w="996"/>
        <w:gridCol w:w="1340"/>
        <w:gridCol w:w="13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634" w:type="dxa"/>
            <w:shd w:val="clear" w:color="auto" w:fill="D8D8D8"/>
            <w:textDirection w:val="tbRlV"/>
            <w:vAlign w:val="center"/>
          </w:tcPr>
          <w:p>
            <w:pPr>
              <w:pStyle w:val="6"/>
              <w:spacing w:before="99" w:line="199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767" w:type="dxa"/>
            <w:shd w:val="clear" w:color="auto" w:fill="D8D8D8"/>
            <w:vAlign w:val="center"/>
          </w:tcPr>
          <w:p>
            <w:pPr>
              <w:pStyle w:val="6"/>
              <w:spacing w:before="282" w:line="22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标的名称</w:t>
            </w:r>
          </w:p>
        </w:tc>
        <w:tc>
          <w:tcPr>
            <w:tcW w:w="1756" w:type="dxa"/>
            <w:shd w:val="clear" w:color="auto" w:fill="D8D8D8"/>
            <w:vAlign w:val="center"/>
          </w:tcPr>
          <w:p>
            <w:pPr>
              <w:pStyle w:val="6"/>
              <w:spacing w:before="282" w:line="219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  <w:highlight w:val="none"/>
              </w:rPr>
              <w:t>招标文件技术条款描述</w:t>
            </w:r>
          </w:p>
        </w:tc>
        <w:tc>
          <w:tcPr>
            <w:tcW w:w="1480" w:type="dxa"/>
            <w:shd w:val="clear" w:color="auto" w:fill="D8D8D8"/>
            <w:vAlign w:val="center"/>
          </w:tcPr>
          <w:p>
            <w:pPr>
              <w:pStyle w:val="6"/>
              <w:spacing w:before="171" w:line="225" w:lineRule="auto"/>
              <w:ind w:right="14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投标人技术响应情况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  <w:t>描述</w:t>
            </w:r>
          </w:p>
        </w:tc>
        <w:tc>
          <w:tcPr>
            <w:tcW w:w="996" w:type="dxa"/>
            <w:shd w:val="clear" w:color="auto" w:fill="D8D8D8"/>
            <w:vAlign w:val="center"/>
          </w:tcPr>
          <w:p>
            <w:pPr>
              <w:pStyle w:val="6"/>
              <w:spacing w:before="42" w:line="22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 w:val="24"/>
                <w:szCs w:val="24"/>
                <w:highlight w:val="none"/>
              </w:rPr>
              <w:t>响应情况说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sz w:val="24"/>
                <w:szCs w:val="24"/>
                <w:highlight w:val="none"/>
              </w:rPr>
              <w:t>明</w:t>
            </w:r>
            <w:r>
              <w:rPr>
                <w:rFonts w:hint="eastAsia" w:ascii="宋体" w:hAnsi="宋体" w:eastAsia="宋体" w:cs="宋体"/>
                <w:color w:val="auto"/>
                <w:spacing w:val="28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sz w:val="24"/>
                <w:szCs w:val="24"/>
                <w:highlight w:val="none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sz w:val="24"/>
                <w:szCs w:val="24"/>
                <w:highlight w:val="none"/>
              </w:rPr>
              <w:t>+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sz w:val="24"/>
                <w:szCs w:val="24"/>
                <w:highlight w:val="none"/>
              </w:rPr>
              <w:t>/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sz w:val="24"/>
                <w:szCs w:val="24"/>
                <w:highlight w:val="none"/>
              </w:rPr>
              <w:t>=</w:t>
            </w:r>
          </w:p>
          <w:p>
            <w:pPr>
              <w:pStyle w:val="6"/>
              <w:spacing w:before="12" w:line="164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  <w:t>/-)</w:t>
            </w:r>
          </w:p>
        </w:tc>
        <w:tc>
          <w:tcPr>
            <w:tcW w:w="1340" w:type="dxa"/>
            <w:shd w:val="clear" w:color="auto" w:fill="D8D8D8"/>
            <w:vAlign w:val="center"/>
          </w:tcPr>
          <w:p>
            <w:pPr>
              <w:spacing w:before="283" w:line="221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3"/>
                <w:sz w:val="24"/>
                <w:szCs w:val="24"/>
                <w:highlight w:val="none"/>
                <w:lang w:val="en-US" w:eastAsia="zh-CN"/>
              </w:rPr>
              <w:t>证明材料（如有）的页码索引</w:t>
            </w:r>
          </w:p>
        </w:tc>
        <w:tc>
          <w:tcPr>
            <w:tcW w:w="1340" w:type="dxa"/>
            <w:shd w:val="clear" w:color="auto" w:fill="D8D8D8"/>
            <w:vAlign w:val="center"/>
          </w:tcPr>
          <w:p>
            <w:pPr>
              <w:spacing w:before="283" w:line="221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3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634" w:type="dxa"/>
            <w:vAlign w:val="center"/>
          </w:tcPr>
          <w:p>
            <w:pPr>
              <w:pStyle w:val="6"/>
              <w:spacing w:before="59" w:line="184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6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634" w:type="dxa"/>
            <w:vAlign w:val="center"/>
          </w:tcPr>
          <w:p>
            <w:pPr>
              <w:pStyle w:val="6"/>
              <w:spacing w:before="59" w:line="183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6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634" w:type="dxa"/>
            <w:vAlign w:val="center"/>
          </w:tcPr>
          <w:p>
            <w:pPr>
              <w:pStyle w:val="6"/>
              <w:spacing w:before="59" w:line="183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6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634" w:type="dxa"/>
            <w:vAlign w:val="center"/>
          </w:tcPr>
          <w:p>
            <w:pPr>
              <w:pStyle w:val="6"/>
              <w:spacing w:before="164" w:line="276" w:lineRule="auto"/>
              <w:ind w:right="77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9"/>
                <w:sz w:val="24"/>
                <w:szCs w:val="24"/>
                <w:highlight w:val="none"/>
              </w:rPr>
              <w:t>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9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76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2"/>
        <w:spacing w:before="55" w:line="213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7"/>
          <w:sz w:val="24"/>
          <w:szCs w:val="24"/>
          <w:highlight w:val="none"/>
        </w:rPr>
        <w:t>注：1.此表为表样，行数可自行添加，但表式不变。</w:t>
      </w:r>
    </w:p>
    <w:p>
      <w:pPr>
        <w:pStyle w:val="2"/>
        <w:spacing w:before="124" w:line="329" w:lineRule="auto"/>
        <w:ind w:left="124" w:right="246" w:firstLine="35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2.招标文件“第三章采购需求”未要求在该表中进行响应的技术条款，投标人无需填写；可是，投标人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9"/>
          <w:sz w:val="24"/>
          <w:szCs w:val="24"/>
          <w:highlight w:val="none"/>
        </w:rPr>
        <w:t>根据项目情况需要添加的设备、材料、服务等请列出，但不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highlight w:val="none"/>
        </w:rPr>
        <w:t>作为无效投标的依据。</w:t>
      </w:r>
    </w:p>
    <w:p>
      <w:pPr>
        <w:pStyle w:val="2"/>
        <w:spacing w:before="42" w:line="222" w:lineRule="auto"/>
        <w:ind w:left="48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</w:rPr>
        <w:t>3.请在“投标人技术响应情况描述”中列出标的的详细参数情况。</w:t>
      </w:r>
    </w:p>
    <w:p>
      <w:pPr>
        <w:pStyle w:val="2"/>
        <w:spacing w:before="78" w:line="318" w:lineRule="auto"/>
        <w:ind w:left="124" w:right="78" w:firstLine="35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4. “响应情况说明”应按下列规定填写对招标文件技术条款的响应情况：优于的视为正偏离，</w:t>
      </w:r>
      <w:r>
        <w:rPr>
          <w:rFonts w:hint="eastAsia" w:ascii="宋体" w:hAnsi="宋体" w:eastAsia="宋体" w:cs="宋体"/>
          <w:color w:val="auto"/>
          <w:spacing w:val="3"/>
          <w:sz w:val="24"/>
          <w:szCs w:val="24"/>
          <w:highlight w:val="none"/>
        </w:rPr>
        <w:t>填写“+”;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highlight w:val="none"/>
        </w:rPr>
        <w:t>符合的视为满足，填写“=";低于的视为负偏离或不满足，填写“-”;如不按规定填写或不填写的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highlight w:val="none"/>
        </w:rPr>
        <w:t>，均视为</w:t>
      </w:r>
    </w:p>
    <w:p>
      <w:pPr>
        <w:pStyle w:val="2"/>
        <w:spacing w:before="43" w:line="223" w:lineRule="auto"/>
        <w:ind w:left="12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3"/>
          <w:sz w:val="24"/>
          <w:szCs w:val="24"/>
          <w:highlight w:val="none"/>
        </w:rPr>
        <w:t>不响应。</w:t>
      </w:r>
    </w:p>
    <w:p>
      <w:pPr>
        <w:pStyle w:val="2"/>
        <w:spacing w:before="116" w:line="318" w:lineRule="auto"/>
        <w:ind w:left="124" w:right="34" w:firstLine="35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7"/>
          <w:sz w:val="24"/>
          <w:szCs w:val="24"/>
          <w:highlight w:val="none"/>
        </w:rPr>
        <w:t>5.招标文件有标注“★”条款的为实质性条款，若有任何一条负偏离或不满足则导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致投标无效。非“★”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13"/>
          <w:sz w:val="24"/>
          <w:szCs w:val="24"/>
          <w:highlight w:val="none"/>
        </w:rPr>
        <w:t>号条款未响应或不满足(负偏离),将根据评审要求影响其得分，但不作为无效投标条款。</w:t>
      </w:r>
    </w:p>
    <w:p>
      <w:pPr>
        <w:pStyle w:val="2"/>
        <w:spacing w:before="116" w:line="318" w:lineRule="auto"/>
        <w:ind w:left="124" w:right="34" w:firstLine="359"/>
        <w:rPr>
          <w:rFonts w:hint="eastAsia" w:ascii="宋体" w:hAnsi="宋体" w:eastAsia="宋体" w:cs="宋体"/>
          <w:color w:val="auto"/>
          <w:spacing w:val="7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7"/>
          <w:sz w:val="24"/>
          <w:szCs w:val="24"/>
          <w:highlight w:val="none"/>
          <w:lang w:val="en-US" w:eastAsia="zh-CN"/>
        </w:rPr>
        <w:t>6.</w:t>
      </w:r>
      <w:bookmarkStart w:id="0" w:name="_Toc12175"/>
      <w:r>
        <w:rPr>
          <w:rFonts w:hint="eastAsia" w:ascii="宋体" w:hAnsi="宋体" w:eastAsia="宋体" w:cs="宋体"/>
          <w:color w:val="auto"/>
          <w:spacing w:val="7"/>
          <w:sz w:val="24"/>
          <w:szCs w:val="24"/>
          <w:highlight w:val="none"/>
        </w:rPr>
        <w:t>因第四章评标办法-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highlight w:val="none"/>
          <w:lang w:val="en-US" w:eastAsia="zh-CN"/>
        </w:rPr>
        <w:t>采购包1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highlight w:val="none"/>
        </w:rPr>
        <w:t>详细评审标准-技术参数要求响应中“注:重复产品的参数不进行重复扣分”的要求，为便于评标委员会进行赋分，如某个投标产品技术参数重复存在“负偏离”的情形，第一次出现负偏离时，投标人需在技术要求响应表-偏离情况说明栏用符号“-”表示；第二次出现负偏离时，投标人需在技术要求响应表-偏离情况说明栏用符号“-”表示，并同时注明“此条参数与第X项X产品第X项参数重复”，以此类推。</w:t>
      </w:r>
      <w:bookmarkEnd w:id="0"/>
    </w:p>
    <w:p>
      <w:pPr>
        <w:pStyle w:val="2"/>
        <w:spacing w:before="56" w:line="222" w:lineRule="auto"/>
        <w:ind w:left="0"/>
        <w:rPr>
          <w:rFonts w:hint="default" w:ascii="宋体" w:hAnsi="宋体" w:eastAsia="宋体" w:cs="宋体"/>
          <w:color w:val="auto"/>
          <w:spacing w:val="32"/>
          <w:sz w:val="24"/>
          <w:szCs w:val="24"/>
          <w:highlight w:val="none"/>
          <w:lang w:val="en-US" w:eastAsia="zh-CN"/>
        </w:rPr>
      </w:pPr>
    </w:p>
    <w:p>
      <w:pPr>
        <w:pStyle w:val="2"/>
        <w:spacing w:before="56" w:line="222" w:lineRule="auto"/>
        <w:ind w:firstLine="5168" w:firstLineChars="17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32"/>
          <w:sz w:val="24"/>
          <w:szCs w:val="24"/>
          <w:highlight w:val="none"/>
        </w:rPr>
        <w:t>投标人全称(公章):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94B0B"/>
    <w:rsid w:val="13DA7422"/>
    <w:rsid w:val="1599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120" w:afterLine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2025-06-27T04:02:00Z</dcterms:created>
  <dc:creator>Administrator</dc:creator>
  <cp:lastModifiedBy>Administrator</cp:lastModifiedBy>
  <dcterms:modified xsi:type="dcterms:W3CDTF">2025-06-27T04:02:50Z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